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E9CCD" w14:textId="77777777" w:rsidR="009433A1" w:rsidRPr="009433A1" w:rsidRDefault="009433A1" w:rsidP="009433A1">
      <w:pPr>
        <w:spacing w:after="0" w:line="276" w:lineRule="auto"/>
        <w:jc w:val="center"/>
        <w:rPr>
          <w:rFonts w:ascii="Times New Roman" w:hAnsi="Times New Roman" w:cs="Times New Roman"/>
          <w:b/>
          <w:bCs/>
          <w:sz w:val="30"/>
          <w:szCs w:val="30"/>
          <w:lang w:val="en-GB"/>
        </w:rPr>
      </w:pPr>
      <w:r w:rsidRPr="009433A1">
        <w:rPr>
          <w:rFonts w:ascii="Times New Roman" w:hAnsi="Times New Roman" w:cs="Times New Roman"/>
          <w:b/>
          <w:bCs/>
          <w:sz w:val="30"/>
          <w:szCs w:val="30"/>
          <w:lang w:val="en-GB"/>
        </w:rPr>
        <w:t>Differential Modulation of Keratinocyte Proliferation, Differentiation, and Barrier Function by Hemp Oil, Blackcurrant Seed Oil, and Vitamin D₃ under Atopic-Associated Cytokine Stimulation</w:t>
      </w:r>
    </w:p>
    <w:p w14:paraId="6B824D85" w14:textId="77777777" w:rsidR="009433A1" w:rsidRPr="009433A1" w:rsidRDefault="009433A1" w:rsidP="009433A1">
      <w:pPr>
        <w:spacing w:after="0" w:line="276" w:lineRule="auto"/>
        <w:jc w:val="center"/>
        <w:rPr>
          <w:rFonts w:ascii="Times New Roman" w:hAnsi="Times New Roman" w:cs="Times New Roman"/>
          <w:b/>
          <w:bCs/>
          <w:sz w:val="30"/>
          <w:szCs w:val="30"/>
          <w:lang w:val="en-GB"/>
        </w:rPr>
      </w:pPr>
    </w:p>
    <w:p w14:paraId="00E4DA7C" w14:textId="77777777" w:rsidR="009433A1" w:rsidRDefault="009433A1" w:rsidP="009433A1">
      <w:pPr>
        <w:spacing w:after="0" w:line="276" w:lineRule="auto"/>
        <w:jc w:val="center"/>
        <w:rPr>
          <w:rFonts w:ascii="Times New Roman" w:hAnsi="Times New Roman" w:cs="Times New Roman"/>
          <w:sz w:val="30"/>
          <w:szCs w:val="30"/>
        </w:rPr>
      </w:pPr>
      <w:proofErr w:type="spellStart"/>
      <w:r w:rsidRPr="0057041B">
        <w:rPr>
          <w:rFonts w:ascii="Times New Roman" w:hAnsi="Times New Roman" w:cs="Times New Roman"/>
          <w:sz w:val="30"/>
          <w:szCs w:val="30"/>
        </w:rPr>
        <w:t>Tortolani</w:t>
      </w:r>
      <w:proofErr w:type="spellEnd"/>
      <w:r w:rsidRPr="0057041B">
        <w:rPr>
          <w:rFonts w:ascii="Times New Roman" w:hAnsi="Times New Roman" w:cs="Times New Roman"/>
          <w:sz w:val="30"/>
          <w:szCs w:val="30"/>
        </w:rPr>
        <w:t xml:space="preserve"> D.</w:t>
      </w:r>
      <w:r w:rsidRPr="0057041B">
        <w:rPr>
          <w:rFonts w:ascii="Times New Roman" w:hAnsi="Times New Roman" w:cs="Times New Roman"/>
          <w:sz w:val="30"/>
          <w:szCs w:val="30"/>
          <w:vertAlign w:val="superscript"/>
        </w:rPr>
        <w:t>1,2</w:t>
      </w:r>
      <w:r>
        <w:rPr>
          <w:rFonts w:ascii="Times New Roman" w:hAnsi="Times New Roman" w:cs="Times New Roman"/>
          <w:sz w:val="30"/>
          <w:szCs w:val="30"/>
          <w:vertAlign w:val="superscript"/>
        </w:rPr>
        <w:t>#</w:t>
      </w:r>
      <w:r w:rsidRPr="0057041B">
        <w:rPr>
          <w:rFonts w:ascii="Times New Roman" w:hAnsi="Times New Roman" w:cs="Times New Roman"/>
          <w:sz w:val="30"/>
          <w:szCs w:val="30"/>
        </w:rPr>
        <w:t>, Scipioni L.</w:t>
      </w:r>
      <w:r w:rsidRPr="0057041B">
        <w:rPr>
          <w:rFonts w:ascii="Times New Roman" w:hAnsi="Times New Roman" w:cs="Times New Roman"/>
          <w:sz w:val="30"/>
          <w:szCs w:val="30"/>
          <w:vertAlign w:val="superscript"/>
        </w:rPr>
        <w:t>1,2</w:t>
      </w:r>
      <w:r w:rsidRPr="0057041B">
        <w:rPr>
          <w:rFonts w:ascii="Times New Roman" w:hAnsi="Times New Roman" w:cs="Times New Roman"/>
          <w:sz w:val="30"/>
          <w:szCs w:val="30"/>
        </w:rPr>
        <w:t xml:space="preserve">, </w:t>
      </w:r>
      <w:proofErr w:type="spellStart"/>
      <w:r w:rsidRPr="0057041B">
        <w:rPr>
          <w:rFonts w:ascii="Times New Roman" w:hAnsi="Times New Roman" w:cs="Times New Roman"/>
          <w:sz w:val="30"/>
          <w:szCs w:val="30"/>
        </w:rPr>
        <w:t>Anselmucci</w:t>
      </w:r>
      <w:proofErr w:type="spellEnd"/>
      <w:r w:rsidRPr="0057041B">
        <w:rPr>
          <w:rFonts w:ascii="Times New Roman" w:hAnsi="Times New Roman" w:cs="Times New Roman"/>
          <w:sz w:val="30"/>
          <w:szCs w:val="30"/>
        </w:rPr>
        <w:t xml:space="preserve"> A.</w:t>
      </w:r>
      <w:r w:rsidRPr="0057041B">
        <w:rPr>
          <w:rFonts w:ascii="Times New Roman" w:hAnsi="Times New Roman" w:cs="Times New Roman"/>
          <w:sz w:val="30"/>
          <w:szCs w:val="30"/>
          <w:vertAlign w:val="superscript"/>
        </w:rPr>
        <w:t>1</w:t>
      </w:r>
      <w:r w:rsidRPr="0057041B">
        <w:rPr>
          <w:rFonts w:ascii="Times New Roman" w:hAnsi="Times New Roman" w:cs="Times New Roman"/>
          <w:sz w:val="30"/>
          <w:szCs w:val="30"/>
        </w:rPr>
        <w:t>, Ciaramellano F.</w:t>
      </w:r>
      <w:r w:rsidRPr="0057041B">
        <w:rPr>
          <w:rFonts w:ascii="Times New Roman" w:hAnsi="Times New Roman" w:cs="Times New Roman"/>
          <w:sz w:val="30"/>
          <w:szCs w:val="30"/>
          <w:vertAlign w:val="superscript"/>
        </w:rPr>
        <w:t>1,2</w:t>
      </w:r>
      <w:r w:rsidRPr="0057041B">
        <w:rPr>
          <w:rFonts w:ascii="Times New Roman" w:hAnsi="Times New Roman" w:cs="Times New Roman"/>
          <w:sz w:val="30"/>
          <w:szCs w:val="30"/>
        </w:rPr>
        <w:t xml:space="preserve">, </w:t>
      </w:r>
    </w:p>
    <w:p w14:paraId="669E8190" w14:textId="77777777" w:rsidR="009433A1" w:rsidRPr="007F1D38" w:rsidRDefault="009433A1" w:rsidP="009433A1">
      <w:pPr>
        <w:spacing w:after="0" w:line="276" w:lineRule="auto"/>
        <w:jc w:val="center"/>
        <w:rPr>
          <w:rFonts w:ascii="Times New Roman" w:hAnsi="Times New Roman" w:cs="Times New Roman"/>
          <w:sz w:val="30"/>
          <w:szCs w:val="30"/>
        </w:rPr>
      </w:pPr>
      <w:r>
        <w:rPr>
          <w:rFonts w:ascii="Times New Roman" w:hAnsi="Times New Roman" w:cs="Times New Roman"/>
          <w:sz w:val="30"/>
          <w:szCs w:val="30"/>
        </w:rPr>
        <w:t>Di Leonardo M.</w:t>
      </w:r>
      <w:r w:rsidRPr="002751E0">
        <w:rPr>
          <w:rFonts w:ascii="Times New Roman" w:hAnsi="Times New Roman" w:cs="Times New Roman"/>
          <w:sz w:val="30"/>
          <w:szCs w:val="30"/>
          <w:vertAlign w:val="superscript"/>
        </w:rPr>
        <w:t>3</w:t>
      </w:r>
      <w:r>
        <w:rPr>
          <w:rFonts w:ascii="Times New Roman" w:hAnsi="Times New Roman" w:cs="Times New Roman"/>
          <w:sz w:val="30"/>
          <w:szCs w:val="30"/>
        </w:rPr>
        <w:t>, Fusaro I.</w:t>
      </w:r>
      <w:r w:rsidRPr="007F1D38">
        <w:rPr>
          <w:rFonts w:ascii="Times New Roman" w:hAnsi="Times New Roman" w:cs="Times New Roman"/>
          <w:sz w:val="30"/>
          <w:szCs w:val="30"/>
          <w:vertAlign w:val="superscript"/>
        </w:rPr>
        <w:t xml:space="preserve"> </w:t>
      </w:r>
      <w:r w:rsidRPr="0057041B">
        <w:rPr>
          <w:rFonts w:ascii="Times New Roman" w:hAnsi="Times New Roman" w:cs="Times New Roman"/>
          <w:sz w:val="30"/>
          <w:szCs w:val="30"/>
          <w:vertAlign w:val="superscript"/>
        </w:rPr>
        <w:t>1</w:t>
      </w:r>
      <w:r>
        <w:rPr>
          <w:rFonts w:ascii="Times New Roman" w:hAnsi="Times New Roman" w:cs="Times New Roman"/>
          <w:sz w:val="30"/>
          <w:szCs w:val="30"/>
        </w:rPr>
        <w:t>,</w:t>
      </w:r>
      <w:r w:rsidRPr="0057041B">
        <w:rPr>
          <w:rFonts w:ascii="Times New Roman" w:hAnsi="Times New Roman" w:cs="Times New Roman"/>
          <w:sz w:val="30"/>
          <w:szCs w:val="30"/>
        </w:rPr>
        <w:t xml:space="preserve"> Oddi S.</w:t>
      </w:r>
      <w:r w:rsidRPr="0057041B">
        <w:rPr>
          <w:rFonts w:ascii="Times New Roman" w:hAnsi="Times New Roman" w:cs="Times New Roman"/>
          <w:sz w:val="30"/>
          <w:szCs w:val="30"/>
          <w:vertAlign w:val="superscript"/>
        </w:rPr>
        <w:t>1,2</w:t>
      </w:r>
      <w:r>
        <w:rPr>
          <w:rFonts w:ascii="Times New Roman" w:hAnsi="Times New Roman" w:cs="Times New Roman"/>
          <w:sz w:val="30"/>
          <w:szCs w:val="30"/>
          <w:vertAlign w:val="superscript"/>
        </w:rPr>
        <w:t>#</w:t>
      </w:r>
      <w:r w:rsidRPr="0057041B">
        <w:rPr>
          <w:rFonts w:ascii="Times New Roman" w:hAnsi="Times New Roman" w:cs="Times New Roman"/>
          <w:sz w:val="30"/>
          <w:szCs w:val="30"/>
        </w:rPr>
        <w:t>, Gramenzi A.</w:t>
      </w:r>
      <w:r w:rsidRPr="0057041B">
        <w:rPr>
          <w:rFonts w:ascii="Times New Roman" w:hAnsi="Times New Roman" w:cs="Times New Roman"/>
          <w:sz w:val="30"/>
          <w:szCs w:val="30"/>
          <w:vertAlign w:val="superscript"/>
        </w:rPr>
        <w:t>1</w:t>
      </w:r>
    </w:p>
    <w:p w14:paraId="69DD6C32" w14:textId="77777777" w:rsidR="009433A1" w:rsidRPr="009433A1" w:rsidRDefault="009433A1" w:rsidP="009433A1">
      <w:pPr>
        <w:spacing w:after="0" w:line="276" w:lineRule="auto"/>
        <w:jc w:val="center"/>
        <w:rPr>
          <w:rFonts w:ascii="Times New Roman" w:hAnsi="Times New Roman" w:cs="Times New Roman"/>
          <w:lang w:val="en-GB"/>
        </w:rPr>
      </w:pPr>
      <w:r w:rsidRPr="009433A1">
        <w:rPr>
          <w:rFonts w:ascii="Times New Roman" w:hAnsi="Times New Roman" w:cs="Times New Roman"/>
          <w:lang w:val="en-GB"/>
        </w:rPr>
        <w:t>1. Department of Veterinary Medicine, University of Teramo, 64100 Teramo, Italy.</w:t>
      </w:r>
    </w:p>
    <w:p w14:paraId="6E8C9B45" w14:textId="77777777" w:rsidR="009433A1" w:rsidRDefault="009433A1" w:rsidP="009433A1">
      <w:pPr>
        <w:spacing w:after="0" w:line="276" w:lineRule="auto"/>
        <w:jc w:val="center"/>
        <w:rPr>
          <w:rFonts w:ascii="Times New Roman" w:hAnsi="Times New Roman" w:cs="Times New Roman"/>
        </w:rPr>
      </w:pPr>
      <w:r w:rsidRPr="0057041B">
        <w:rPr>
          <w:rFonts w:ascii="Times New Roman" w:hAnsi="Times New Roman" w:cs="Times New Roman"/>
        </w:rPr>
        <w:t xml:space="preserve">2. </w:t>
      </w:r>
      <w:proofErr w:type="spellStart"/>
      <w:r w:rsidRPr="0057041B">
        <w:rPr>
          <w:rFonts w:ascii="Times New Roman" w:hAnsi="Times New Roman" w:cs="Times New Roman"/>
        </w:rPr>
        <w:t>European</w:t>
      </w:r>
      <w:proofErr w:type="spellEnd"/>
      <w:r w:rsidRPr="0057041B">
        <w:rPr>
          <w:rFonts w:ascii="Times New Roman" w:hAnsi="Times New Roman" w:cs="Times New Roman"/>
        </w:rPr>
        <w:t xml:space="preserve"> Center of Brain </w:t>
      </w:r>
      <w:proofErr w:type="spellStart"/>
      <w:r w:rsidRPr="0057041B">
        <w:rPr>
          <w:rFonts w:ascii="Times New Roman" w:hAnsi="Times New Roman" w:cs="Times New Roman"/>
        </w:rPr>
        <w:t>Research</w:t>
      </w:r>
      <w:proofErr w:type="spellEnd"/>
      <w:r w:rsidRPr="0057041B">
        <w:rPr>
          <w:rFonts w:ascii="Times New Roman" w:hAnsi="Times New Roman" w:cs="Times New Roman"/>
        </w:rPr>
        <w:t xml:space="preserve">/Fondazione Santa Lucia IRCCS, 00143 Rome, Italy, </w:t>
      </w:r>
    </w:p>
    <w:p w14:paraId="232D8F7E" w14:textId="77777777" w:rsidR="009433A1" w:rsidRPr="0057041B" w:rsidRDefault="009433A1" w:rsidP="009433A1">
      <w:pPr>
        <w:spacing w:after="0" w:line="276" w:lineRule="auto"/>
        <w:jc w:val="center"/>
        <w:rPr>
          <w:rFonts w:ascii="Times New Roman" w:hAnsi="Times New Roman" w:cs="Times New Roman"/>
        </w:rPr>
      </w:pPr>
      <w:r>
        <w:rPr>
          <w:rFonts w:ascii="Times New Roman" w:hAnsi="Times New Roman" w:cs="Times New Roman"/>
        </w:rPr>
        <w:t xml:space="preserve">3. </w:t>
      </w:r>
      <w:r w:rsidRPr="00AB39BF">
        <w:rPr>
          <w:rFonts w:ascii="Times New Roman" w:hAnsi="Times New Roman" w:cs="Times New Roman"/>
        </w:rPr>
        <w:t>Azienda Sanitaria Locale di Teramo, 64100 Teramo, Italy.</w:t>
      </w:r>
    </w:p>
    <w:p w14:paraId="25E69E21" w14:textId="77777777" w:rsidR="009433A1" w:rsidRPr="00BD3108" w:rsidRDefault="009433A1" w:rsidP="009433A1">
      <w:pPr>
        <w:spacing w:after="0" w:line="276" w:lineRule="auto"/>
        <w:rPr>
          <w:rFonts w:ascii="Times New Roman" w:hAnsi="Times New Roman" w:cs="Times New Roman"/>
          <w:sz w:val="20"/>
          <w:szCs w:val="20"/>
        </w:rPr>
      </w:pPr>
    </w:p>
    <w:p w14:paraId="1B4D2B29" w14:textId="77777777" w:rsidR="009433A1" w:rsidRPr="009C64E4" w:rsidRDefault="009433A1" w:rsidP="009433A1">
      <w:pPr>
        <w:spacing w:after="0" w:line="276" w:lineRule="auto"/>
        <w:rPr>
          <w:rFonts w:ascii="Times New Roman" w:hAnsi="Times New Roman" w:cs="Times New Roman"/>
          <w:sz w:val="20"/>
          <w:szCs w:val="20"/>
        </w:rPr>
      </w:pPr>
      <w:r w:rsidRPr="009B3A45">
        <w:rPr>
          <w:rFonts w:ascii="Times New Roman" w:hAnsi="Times New Roman" w:cs="Times New Roman"/>
          <w:sz w:val="20"/>
          <w:szCs w:val="20"/>
        </w:rPr>
        <w:t xml:space="preserve">#corresponding </w:t>
      </w:r>
      <w:proofErr w:type="spellStart"/>
      <w:r w:rsidRPr="009B3A45">
        <w:rPr>
          <w:rFonts w:ascii="Times New Roman" w:hAnsi="Times New Roman" w:cs="Times New Roman"/>
          <w:sz w:val="20"/>
          <w:szCs w:val="20"/>
        </w:rPr>
        <w:t>author</w:t>
      </w:r>
      <w:proofErr w:type="spellEnd"/>
    </w:p>
    <w:p w14:paraId="307EAFA7" w14:textId="77777777" w:rsidR="00A36D45" w:rsidRPr="00A36D45" w:rsidRDefault="00A36D45" w:rsidP="00A36D45">
      <w:pPr>
        <w:spacing w:after="0" w:line="276" w:lineRule="auto"/>
        <w:rPr>
          <w:rFonts w:ascii="Times New Roman" w:hAnsi="Times New Roman" w:cs="Times New Roman"/>
          <w:sz w:val="20"/>
          <w:szCs w:val="20"/>
        </w:rPr>
      </w:pPr>
    </w:p>
    <w:p w14:paraId="1FFC791B" w14:textId="77777777" w:rsidR="009B1F88" w:rsidRDefault="009B1F88" w:rsidP="009B1F88">
      <w:pPr>
        <w:rPr>
          <w:rFonts w:ascii="Times New Roman" w:hAnsi="Times New Roman" w:cs="Times New Roman"/>
          <w:b/>
          <w:bCs/>
          <w:sz w:val="28"/>
          <w:szCs w:val="28"/>
          <w:lang w:val="en-GB"/>
        </w:rPr>
      </w:pPr>
    </w:p>
    <w:p w14:paraId="035C80AD" w14:textId="0EC112D7" w:rsidR="009B1F88" w:rsidRDefault="009B1F88" w:rsidP="009B1F88">
      <w:pPr>
        <w:rPr>
          <w:rFonts w:ascii="Times New Roman" w:hAnsi="Times New Roman" w:cs="Times New Roman"/>
          <w:b/>
          <w:bCs/>
          <w:sz w:val="28"/>
          <w:szCs w:val="28"/>
          <w:lang w:val="en-GB"/>
        </w:rPr>
      </w:pPr>
      <w:r w:rsidRPr="00C54AAE">
        <w:rPr>
          <w:rFonts w:ascii="Times New Roman" w:hAnsi="Times New Roman" w:cs="Times New Roman"/>
          <w:b/>
          <w:bCs/>
          <w:sz w:val="28"/>
          <w:szCs w:val="28"/>
          <w:lang w:val="en-GB"/>
        </w:rPr>
        <w:t>Supplementary material</w:t>
      </w:r>
    </w:p>
    <w:p w14:paraId="04F0736A" w14:textId="77777777" w:rsidR="00983985" w:rsidRDefault="00983985" w:rsidP="009B1F88">
      <w:pPr>
        <w:rPr>
          <w:rFonts w:ascii="Times New Roman" w:hAnsi="Times New Roman" w:cs="Times New Roman"/>
          <w:b/>
          <w:bCs/>
          <w:sz w:val="28"/>
          <w:szCs w:val="28"/>
          <w:lang w:val="en-GB"/>
        </w:rPr>
      </w:pPr>
    </w:p>
    <w:p w14:paraId="65BFFD14" w14:textId="266EE753" w:rsidR="00983985" w:rsidRDefault="00EF7D84" w:rsidP="00EF7D84">
      <w:pPr>
        <w:jc w:val="center"/>
        <w:rPr>
          <w:rFonts w:ascii="Times New Roman" w:hAnsi="Times New Roman" w:cs="Times New Roman"/>
          <w:b/>
          <w:bCs/>
          <w:sz w:val="28"/>
          <w:szCs w:val="28"/>
          <w:lang w:val="en-GB"/>
        </w:rPr>
      </w:pPr>
      <w:r>
        <w:rPr>
          <w:rFonts w:ascii="Times New Roman" w:hAnsi="Times New Roman" w:cs="Times New Roman"/>
          <w:b/>
          <w:bCs/>
          <w:noProof/>
          <w:sz w:val="28"/>
          <w:szCs w:val="28"/>
          <w:lang w:val="en-GB"/>
        </w:rPr>
        <w:drawing>
          <wp:inline distT="0" distB="0" distL="0" distR="0" wp14:anchorId="07AD2C4E" wp14:editId="0C922793">
            <wp:extent cx="3028950" cy="4236088"/>
            <wp:effectExtent l="0" t="0" r="0" b="0"/>
            <wp:docPr id="65085956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859567" name="Immagine 650859567"/>
                    <pic:cNvPicPr/>
                  </pic:nvPicPr>
                  <pic:blipFill rotWithShape="1">
                    <a:blip r:embed="rId4" cstate="print">
                      <a:extLst>
                        <a:ext uri="{28A0092B-C50C-407E-A947-70E740481C1C}">
                          <a14:useLocalDpi xmlns:a14="http://schemas.microsoft.com/office/drawing/2010/main" val="0"/>
                        </a:ext>
                      </a:extLst>
                    </a:blip>
                    <a:srcRect r="46213"/>
                    <a:stretch>
                      <a:fillRect/>
                    </a:stretch>
                  </pic:blipFill>
                  <pic:spPr bwMode="auto">
                    <a:xfrm>
                      <a:off x="0" y="0"/>
                      <a:ext cx="3052834" cy="4269491"/>
                    </a:xfrm>
                    <a:prstGeom prst="rect">
                      <a:avLst/>
                    </a:prstGeom>
                    <a:ln>
                      <a:noFill/>
                    </a:ln>
                    <a:extLst>
                      <a:ext uri="{53640926-AAD7-44D8-BBD7-CCE9431645EC}">
                        <a14:shadowObscured xmlns:a14="http://schemas.microsoft.com/office/drawing/2010/main"/>
                      </a:ext>
                    </a:extLst>
                  </pic:spPr>
                </pic:pic>
              </a:graphicData>
            </a:graphic>
          </wp:inline>
        </w:drawing>
      </w:r>
    </w:p>
    <w:p w14:paraId="31B9F303" w14:textId="61AE12E7" w:rsidR="00983985" w:rsidRDefault="00983985" w:rsidP="009B1F88">
      <w:pPr>
        <w:rPr>
          <w:rFonts w:ascii="Times New Roman" w:hAnsi="Times New Roman" w:cs="Times New Roman"/>
          <w:b/>
          <w:bCs/>
          <w:sz w:val="28"/>
          <w:szCs w:val="28"/>
          <w:lang w:val="en-GB"/>
        </w:rPr>
      </w:pPr>
    </w:p>
    <w:p w14:paraId="42DE722A" w14:textId="066837CB" w:rsidR="00897972" w:rsidRPr="00280E19" w:rsidRDefault="006A2E66" w:rsidP="00280E19">
      <w:pPr>
        <w:jc w:val="both"/>
        <w:rPr>
          <w:rFonts w:ascii="Times New Roman" w:hAnsi="Times New Roman" w:cs="Times New Roman"/>
          <w:lang w:val="en-GB"/>
        </w:rPr>
      </w:pPr>
      <w:r w:rsidRPr="006A2E66">
        <w:rPr>
          <w:rFonts w:ascii="Times New Roman" w:hAnsi="Times New Roman" w:cs="Times New Roman"/>
          <w:b/>
          <w:bCs/>
          <w:lang w:val="en-GB"/>
        </w:rPr>
        <w:t>Figure S1. Flow-cytometry gating strategy for Ki-67, NRF2 and cell-cycle analyses.</w:t>
      </w:r>
      <w:r w:rsidRPr="006A2E66">
        <w:rPr>
          <w:rFonts w:ascii="Times New Roman" w:hAnsi="Times New Roman" w:cs="Times New Roman"/>
          <w:b/>
          <w:bCs/>
          <w:sz w:val="28"/>
          <w:szCs w:val="28"/>
          <w:lang w:val="en-GB"/>
        </w:rPr>
        <w:t xml:space="preserve"> </w:t>
      </w:r>
      <w:r w:rsidRPr="006A2E66">
        <w:rPr>
          <w:rFonts w:ascii="Times New Roman" w:hAnsi="Times New Roman" w:cs="Times New Roman"/>
          <w:lang w:val="en-GB"/>
        </w:rPr>
        <w:t>(</w:t>
      </w:r>
      <w:r w:rsidRPr="006A2E66">
        <w:rPr>
          <w:rFonts w:ascii="Times New Roman" w:hAnsi="Times New Roman" w:cs="Times New Roman"/>
          <w:b/>
          <w:bCs/>
          <w:lang w:val="en-GB"/>
        </w:rPr>
        <w:t>A</w:t>
      </w:r>
      <w:r w:rsidRPr="006A2E66">
        <w:rPr>
          <w:rFonts w:ascii="Times New Roman" w:hAnsi="Times New Roman" w:cs="Times New Roman"/>
          <w:lang w:val="en-GB"/>
        </w:rPr>
        <w:t>) Sequential gating strategy applied to all flow-cytometry experiments. Cells were first</w:t>
      </w:r>
      <w:r w:rsidRPr="006A2E66">
        <w:rPr>
          <w:rFonts w:ascii="Times New Roman" w:hAnsi="Times New Roman" w:cs="Times New Roman"/>
          <w:b/>
          <w:bCs/>
          <w:sz w:val="28"/>
          <w:szCs w:val="28"/>
          <w:lang w:val="en-GB"/>
        </w:rPr>
        <w:t xml:space="preserve"> </w:t>
      </w:r>
      <w:r w:rsidRPr="006A2E66">
        <w:rPr>
          <w:rFonts w:ascii="Times New Roman" w:hAnsi="Times New Roman" w:cs="Times New Roman"/>
          <w:lang w:val="en-GB"/>
        </w:rPr>
        <w:t>identified by their forward-scatter (FSC-A) and side-scatter (SSC-A)</w:t>
      </w:r>
      <w:r w:rsidRPr="006A2E66">
        <w:rPr>
          <w:rFonts w:ascii="Times New Roman" w:hAnsi="Times New Roman" w:cs="Times New Roman"/>
          <w:b/>
          <w:bCs/>
          <w:sz w:val="28"/>
          <w:szCs w:val="28"/>
          <w:lang w:val="en-GB"/>
        </w:rPr>
        <w:t xml:space="preserve"> </w:t>
      </w:r>
      <w:r w:rsidRPr="006A2E66">
        <w:rPr>
          <w:rFonts w:ascii="Times New Roman" w:hAnsi="Times New Roman" w:cs="Times New Roman"/>
          <w:lang w:val="en-GB"/>
        </w:rPr>
        <w:t xml:space="preserve">properties to exclude debris, then single cells were selected by the </w:t>
      </w:r>
      <w:r w:rsidR="00A337DD" w:rsidRPr="00A337DD">
        <w:rPr>
          <w:rFonts w:ascii="Times New Roman" w:hAnsi="Times New Roman" w:cs="Times New Roman"/>
          <w:lang w:val="en-GB"/>
        </w:rPr>
        <w:t>FSC-H/FSC-A</w:t>
      </w:r>
      <w:r w:rsidRPr="006A2E66">
        <w:rPr>
          <w:rFonts w:ascii="Times New Roman" w:hAnsi="Times New Roman" w:cs="Times New Roman"/>
          <w:lang w:val="en-GB"/>
        </w:rPr>
        <w:t xml:space="preserve"> plot to exclude doublets, and finally viable cells were gated as live/dead-marker-negative events (LD APC-A750-A vs SSC-A). Representative dot-plots are shown together with the percentage of events retained at each </w:t>
      </w:r>
      <w:r w:rsidRPr="006A2E66">
        <w:rPr>
          <w:rFonts w:ascii="Times New Roman" w:hAnsi="Times New Roman" w:cs="Times New Roman"/>
          <w:lang w:val="en-GB"/>
        </w:rPr>
        <w:lastRenderedPageBreak/>
        <w:t>gating step.(</w:t>
      </w:r>
      <w:r w:rsidRPr="006A2E66">
        <w:rPr>
          <w:rFonts w:ascii="Times New Roman" w:hAnsi="Times New Roman" w:cs="Times New Roman"/>
          <w:b/>
          <w:bCs/>
          <w:lang w:val="en-GB"/>
        </w:rPr>
        <w:t>B</w:t>
      </w:r>
      <w:r w:rsidRPr="006A2E66">
        <w:rPr>
          <w:rFonts w:ascii="Times New Roman" w:hAnsi="Times New Roman" w:cs="Times New Roman"/>
          <w:lang w:val="en-GB"/>
        </w:rPr>
        <w:t>) Representative fluorescence histograms showing the gating used to quantify Ki-67 (left, Alexa Fluor 647) and NRF2 (right, PE). Sample distributions (red) are shown overlaid on the corresponding fluorescence-minus-one (FMO) controls (cyan), used to define the positive populations. Ki-67-positive cells were quantified as the percentage of events above the FMO threshold, and NRF2 protein levels were quantified as median fluorescence intensity (MFI) of the NRF2 channel within the live, single-cell population.(</w:t>
      </w:r>
      <w:r w:rsidRPr="006A2E66">
        <w:rPr>
          <w:rFonts w:ascii="Times New Roman" w:hAnsi="Times New Roman" w:cs="Times New Roman"/>
          <w:b/>
          <w:bCs/>
          <w:lang w:val="en-GB"/>
        </w:rPr>
        <w:t>C)</w:t>
      </w:r>
      <w:r w:rsidRPr="006A2E66">
        <w:rPr>
          <w:rFonts w:ascii="Times New Roman" w:hAnsi="Times New Roman" w:cs="Times New Roman"/>
          <w:lang w:val="en-GB"/>
        </w:rPr>
        <w:t xml:space="preserve"> Representative DNA-content histogram for cell-cycle analysis. Propidium iodide (PI) fluorescence intensity (FL8-A) was used to identify the G₀/G₁, S, and G₂/M cell-cycle phases, with the corresponding subpopulations highlighted by the coloured peaks (Watson cell-cycle model fit). The gates used to define the G₀/G₁ and G₂/M populations are indicated by the grey vertical bars.</w:t>
      </w:r>
    </w:p>
    <w:p w14:paraId="69AAC15A" w14:textId="35274664" w:rsidR="00897972" w:rsidRDefault="006A2A76" w:rsidP="00C54AAE">
      <w:pPr>
        <w:spacing w:after="0" w:line="276" w:lineRule="auto"/>
        <w:jc w:val="center"/>
        <w:rPr>
          <w:rFonts w:ascii="Times New Roman" w:hAnsi="Times New Roman" w:cs="Times New Roman"/>
          <w:b/>
          <w:bCs/>
          <w:lang w:val="en-GB"/>
        </w:rPr>
      </w:pPr>
      <w:r>
        <w:rPr>
          <w:rFonts w:ascii="Times New Roman" w:hAnsi="Times New Roman" w:cs="Times New Roman"/>
          <w:b/>
          <w:bCs/>
          <w:noProof/>
          <w:lang w:val="en-GB"/>
        </w:rPr>
        <w:drawing>
          <wp:inline distT="0" distB="0" distL="0" distR="0" wp14:anchorId="3EC44824" wp14:editId="13D1D6DC">
            <wp:extent cx="6120130" cy="4857750"/>
            <wp:effectExtent l="0" t="0" r="0" b="0"/>
            <wp:docPr id="121088158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881587" name="Immagine 1210881587"/>
                    <pic:cNvPicPr/>
                  </pic:nvPicPr>
                  <pic:blipFill rotWithShape="1">
                    <a:blip r:embed="rId5" cstate="print">
                      <a:extLst>
                        <a:ext uri="{28A0092B-C50C-407E-A947-70E740481C1C}">
                          <a14:useLocalDpi xmlns:a14="http://schemas.microsoft.com/office/drawing/2010/main" val="0"/>
                        </a:ext>
                      </a:extLst>
                    </a:blip>
                    <a:srcRect b="43866"/>
                    <a:stretch>
                      <a:fillRect/>
                    </a:stretch>
                  </pic:blipFill>
                  <pic:spPr bwMode="auto">
                    <a:xfrm>
                      <a:off x="0" y="0"/>
                      <a:ext cx="6120130" cy="4857750"/>
                    </a:xfrm>
                    <a:prstGeom prst="rect">
                      <a:avLst/>
                    </a:prstGeom>
                    <a:ln>
                      <a:noFill/>
                    </a:ln>
                    <a:extLst>
                      <a:ext uri="{53640926-AAD7-44D8-BBD7-CCE9431645EC}">
                        <a14:shadowObscured xmlns:a14="http://schemas.microsoft.com/office/drawing/2010/main"/>
                      </a:ext>
                    </a:extLst>
                  </pic:spPr>
                </pic:pic>
              </a:graphicData>
            </a:graphic>
          </wp:inline>
        </w:drawing>
      </w:r>
    </w:p>
    <w:p w14:paraId="07393FB7" w14:textId="77777777" w:rsidR="00897972" w:rsidRDefault="00897972" w:rsidP="00897972">
      <w:pPr>
        <w:spacing w:after="0" w:line="276" w:lineRule="auto"/>
        <w:jc w:val="both"/>
        <w:rPr>
          <w:rFonts w:ascii="Times New Roman" w:hAnsi="Times New Roman" w:cs="Times New Roman"/>
          <w:b/>
          <w:bCs/>
          <w:lang w:val="en-GB"/>
        </w:rPr>
      </w:pPr>
    </w:p>
    <w:p w14:paraId="46420C5B" w14:textId="3658981F" w:rsidR="00A36D45" w:rsidRDefault="00897972" w:rsidP="00897972">
      <w:pPr>
        <w:spacing w:after="0" w:line="276" w:lineRule="auto"/>
        <w:jc w:val="both"/>
        <w:rPr>
          <w:rFonts w:ascii="Times New Roman" w:hAnsi="Times New Roman" w:cs="Times New Roman"/>
          <w:lang w:val="en-GB"/>
        </w:rPr>
      </w:pPr>
      <w:r w:rsidRPr="00897972">
        <w:rPr>
          <w:rFonts w:ascii="Times New Roman" w:hAnsi="Times New Roman" w:cs="Times New Roman"/>
          <w:b/>
          <w:bCs/>
          <w:lang w:val="en-GB"/>
        </w:rPr>
        <w:t>Figure S</w:t>
      </w:r>
      <w:r w:rsidR="00983985">
        <w:rPr>
          <w:rFonts w:ascii="Times New Roman" w:hAnsi="Times New Roman" w:cs="Times New Roman"/>
          <w:b/>
          <w:bCs/>
          <w:lang w:val="en-GB"/>
        </w:rPr>
        <w:t>2</w:t>
      </w:r>
      <w:r w:rsidRPr="00897972">
        <w:rPr>
          <w:rFonts w:ascii="Times New Roman" w:hAnsi="Times New Roman" w:cs="Times New Roman"/>
          <w:b/>
          <w:bCs/>
          <w:lang w:val="en-GB"/>
        </w:rPr>
        <w:t>. Effects of hemp oil, blackcurrant seed oil, vitamin D₃, and their combination on keratinocyte proliferation assessed by MTT assay.</w:t>
      </w:r>
      <w:r>
        <w:rPr>
          <w:rFonts w:ascii="Times New Roman" w:hAnsi="Times New Roman" w:cs="Times New Roman"/>
          <w:b/>
          <w:bCs/>
          <w:lang w:val="en-GB"/>
        </w:rPr>
        <w:t xml:space="preserve"> </w:t>
      </w:r>
      <w:r w:rsidRPr="00897972">
        <w:rPr>
          <w:rFonts w:ascii="Times New Roman" w:hAnsi="Times New Roman" w:cs="Times New Roman"/>
          <w:lang w:val="en-GB"/>
        </w:rPr>
        <w:t>CPEK cells were treated with increasing concentrations of the indicated compounds and cell proliferation was evaluated by MTT assay.</w:t>
      </w:r>
      <w:r>
        <w:rPr>
          <w:rFonts w:ascii="Times New Roman" w:hAnsi="Times New Roman" w:cs="Times New Roman"/>
          <w:b/>
          <w:bCs/>
          <w:lang w:val="en-GB"/>
        </w:rPr>
        <w:t xml:space="preserve"> </w:t>
      </w:r>
      <w:r w:rsidRPr="00897972">
        <w:rPr>
          <w:rFonts w:ascii="Times New Roman" w:hAnsi="Times New Roman" w:cs="Times New Roman"/>
          <w:lang w:val="en-GB"/>
        </w:rPr>
        <w:t>(A) Hemp oil, expressed as percentage of cell proliferation relative to untreated controls, plotted against the logarithm of oil dilutions.</w:t>
      </w:r>
      <w:r>
        <w:rPr>
          <w:rFonts w:ascii="Times New Roman" w:hAnsi="Times New Roman" w:cs="Times New Roman"/>
          <w:lang w:val="en-GB"/>
        </w:rPr>
        <w:t xml:space="preserve"> </w:t>
      </w:r>
      <w:r w:rsidRPr="00897972">
        <w:rPr>
          <w:rFonts w:ascii="Times New Roman" w:hAnsi="Times New Roman" w:cs="Times New Roman"/>
          <w:lang w:val="en-GB"/>
        </w:rPr>
        <w:t>(B) Blackcurrant seed oil, expressed as percentage of cell proliferation relative to controls, plotted against the logarithm of oil dilutions.</w:t>
      </w:r>
      <w:r>
        <w:rPr>
          <w:rFonts w:ascii="Times New Roman" w:hAnsi="Times New Roman" w:cs="Times New Roman"/>
          <w:lang w:val="en-GB"/>
        </w:rPr>
        <w:t xml:space="preserve"> </w:t>
      </w:r>
      <w:r w:rsidRPr="00897972">
        <w:rPr>
          <w:rFonts w:ascii="Times New Roman" w:hAnsi="Times New Roman" w:cs="Times New Roman"/>
          <w:lang w:val="en-GB"/>
        </w:rPr>
        <w:t>(C) Vitamin D₃, expressed as percentage of cell proliferation relative to controls, plotted as a function of increasing concentrations.</w:t>
      </w:r>
      <w:r>
        <w:rPr>
          <w:rFonts w:ascii="Times New Roman" w:hAnsi="Times New Roman" w:cs="Times New Roman"/>
          <w:lang w:val="en-GB"/>
        </w:rPr>
        <w:t xml:space="preserve"> </w:t>
      </w:r>
      <w:r w:rsidRPr="00897972">
        <w:rPr>
          <w:rFonts w:ascii="Times New Roman" w:hAnsi="Times New Roman" w:cs="Times New Roman"/>
          <w:lang w:val="en-GB"/>
        </w:rPr>
        <w:t>(D) Combination of hemp oil and blackcurrant seed oil with vitamin D₃, expressed as percentage of cell proliferation relative to controls, plotted against the logarithm of oil dilutions.</w:t>
      </w:r>
      <w:r>
        <w:rPr>
          <w:rFonts w:ascii="Times New Roman" w:hAnsi="Times New Roman" w:cs="Times New Roman"/>
          <w:lang w:val="en-GB"/>
        </w:rPr>
        <w:t xml:space="preserve"> </w:t>
      </w:r>
      <w:r w:rsidRPr="00897972">
        <w:rPr>
          <w:rFonts w:ascii="Times New Roman" w:hAnsi="Times New Roman" w:cs="Times New Roman"/>
          <w:lang w:val="en-GB"/>
        </w:rPr>
        <w:t xml:space="preserve">Data are reported as mean ± SEM of </w:t>
      </w:r>
      <w:r>
        <w:rPr>
          <w:rFonts w:ascii="Times New Roman" w:hAnsi="Times New Roman" w:cs="Times New Roman"/>
          <w:lang w:val="en-GB"/>
        </w:rPr>
        <w:t xml:space="preserve">3 </w:t>
      </w:r>
      <w:r w:rsidRPr="00897972">
        <w:rPr>
          <w:rFonts w:ascii="Times New Roman" w:hAnsi="Times New Roman" w:cs="Times New Roman"/>
          <w:lang w:val="en-GB"/>
        </w:rPr>
        <w:t>independent experiments.</w:t>
      </w:r>
    </w:p>
    <w:p w14:paraId="68553C93" w14:textId="77777777" w:rsidR="004F60F8" w:rsidRDefault="004F60F8" w:rsidP="00897972">
      <w:pPr>
        <w:spacing w:after="0" w:line="276" w:lineRule="auto"/>
        <w:jc w:val="both"/>
        <w:rPr>
          <w:rFonts w:ascii="Times New Roman" w:hAnsi="Times New Roman" w:cs="Times New Roman"/>
          <w:lang w:val="en-GB"/>
        </w:rPr>
      </w:pPr>
    </w:p>
    <w:p w14:paraId="42E0F85B" w14:textId="77777777" w:rsidR="004F60F8" w:rsidRDefault="004F60F8" w:rsidP="00897972">
      <w:pPr>
        <w:spacing w:after="0" w:line="276" w:lineRule="auto"/>
        <w:jc w:val="both"/>
        <w:rPr>
          <w:rFonts w:ascii="Times New Roman" w:hAnsi="Times New Roman" w:cs="Times New Roman"/>
          <w:lang w:val="en-GB"/>
        </w:rPr>
      </w:pPr>
    </w:p>
    <w:p w14:paraId="2326FDB5" w14:textId="46DC649C" w:rsidR="009B1F88" w:rsidRDefault="00983985" w:rsidP="00983985">
      <w:pPr>
        <w:spacing w:after="0" w:line="276" w:lineRule="auto"/>
        <w:jc w:val="center"/>
        <w:rPr>
          <w:rFonts w:ascii="Times New Roman" w:hAnsi="Times New Roman" w:cs="Times New Roman"/>
          <w:b/>
          <w:bCs/>
          <w:noProof/>
          <w:lang w:val="en-GB"/>
        </w:rPr>
      </w:pPr>
      <w:r>
        <w:rPr>
          <w:rFonts w:ascii="Times New Roman" w:hAnsi="Times New Roman" w:cs="Times New Roman"/>
          <w:b/>
          <w:bCs/>
          <w:noProof/>
          <w:lang w:val="en-GB"/>
        </w:rPr>
        <w:lastRenderedPageBreak/>
        <w:drawing>
          <wp:inline distT="0" distB="0" distL="0" distR="0" wp14:anchorId="626F0413" wp14:editId="100C987B">
            <wp:extent cx="6120130" cy="4091940"/>
            <wp:effectExtent l="0" t="0" r="0" b="3810"/>
            <wp:docPr id="188843422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34228" name="Immagine 1888434228"/>
                    <pic:cNvPicPr/>
                  </pic:nvPicPr>
                  <pic:blipFill rotWithShape="1">
                    <a:blip r:embed="rId6" cstate="print">
                      <a:extLst>
                        <a:ext uri="{28A0092B-C50C-407E-A947-70E740481C1C}">
                          <a14:useLocalDpi xmlns:a14="http://schemas.microsoft.com/office/drawing/2010/main" val="0"/>
                        </a:ext>
                      </a:extLst>
                    </a:blip>
                    <a:srcRect t="8717" b="43998"/>
                    <a:stretch>
                      <a:fillRect/>
                    </a:stretch>
                  </pic:blipFill>
                  <pic:spPr bwMode="auto">
                    <a:xfrm>
                      <a:off x="0" y="0"/>
                      <a:ext cx="6120130" cy="4091940"/>
                    </a:xfrm>
                    <a:prstGeom prst="rect">
                      <a:avLst/>
                    </a:prstGeom>
                    <a:ln>
                      <a:noFill/>
                    </a:ln>
                    <a:extLst>
                      <a:ext uri="{53640926-AAD7-44D8-BBD7-CCE9431645EC}">
                        <a14:shadowObscured xmlns:a14="http://schemas.microsoft.com/office/drawing/2010/main"/>
                      </a:ext>
                    </a:extLst>
                  </pic:spPr>
                </pic:pic>
              </a:graphicData>
            </a:graphic>
          </wp:inline>
        </w:drawing>
      </w:r>
    </w:p>
    <w:p w14:paraId="0C8BF853" w14:textId="77777777" w:rsidR="009B1F88" w:rsidRDefault="009B1F88" w:rsidP="004F60F8">
      <w:pPr>
        <w:spacing w:after="0" w:line="276" w:lineRule="auto"/>
        <w:jc w:val="both"/>
        <w:rPr>
          <w:rFonts w:ascii="Times New Roman" w:hAnsi="Times New Roman" w:cs="Times New Roman"/>
          <w:b/>
          <w:bCs/>
          <w:lang w:val="en-GB"/>
        </w:rPr>
      </w:pPr>
    </w:p>
    <w:p w14:paraId="0421EB08" w14:textId="4D031B5A" w:rsidR="004F60F8" w:rsidRPr="004F60F8" w:rsidRDefault="004F60F8" w:rsidP="004F60F8">
      <w:pPr>
        <w:spacing w:after="0" w:line="276" w:lineRule="auto"/>
        <w:jc w:val="both"/>
        <w:rPr>
          <w:rFonts w:ascii="Times New Roman" w:hAnsi="Times New Roman" w:cs="Times New Roman"/>
          <w:b/>
          <w:bCs/>
          <w:lang w:val="en-GB"/>
        </w:rPr>
      </w:pPr>
      <w:r w:rsidRPr="004F60F8">
        <w:rPr>
          <w:rFonts w:ascii="Times New Roman" w:hAnsi="Times New Roman" w:cs="Times New Roman"/>
          <w:b/>
          <w:bCs/>
          <w:lang w:val="en-GB"/>
        </w:rPr>
        <w:t>Figure S</w:t>
      </w:r>
      <w:r w:rsidR="00983985">
        <w:rPr>
          <w:rFonts w:ascii="Times New Roman" w:hAnsi="Times New Roman" w:cs="Times New Roman"/>
          <w:b/>
          <w:bCs/>
          <w:lang w:val="en-GB"/>
        </w:rPr>
        <w:t>3</w:t>
      </w:r>
      <w:r w:rsidRPr="004F60F8">
        <w:rPr>
          <w:rFonts w:ascii="Times New Roman" w:hAnsi="Times New Roman" w:cs="Times New Roman"/>
          <w:b/>
          <w:bCs/>
          <w:lang w:val="en-GB"/>
        </w:rPr>
        <w:t>. Effects of hemp oil, blackcurrant seed oil, vitamin D₃, and their combination on keratinocyte viability following cytokine-induced inflammation.</w:t>
      </w:r>
      <w:r>
        <w:rPr>
          <w:rFonts w:ascii="Times New Roman" w:hAnsi="Times New Roman" w:cs="Times New Roman"/>
          <w:b/>
          <w:bCs/>
          <w:lang w:val="en-GB"/>
        </w:rPr>
        <w:t xml:space="preserve"> </w:t>
      </w:r>
      <w:r w:rsidRPr="004F60F8">
        <w:rPr>
          <w:rFonts w:ascii="Times New Roman" w:hAnsi="Times New Roman" w:cs="Times New Roman"/>
          <w:lang w:val="en-GB"/>
        </w:rPr>
        <w:t>CPEK cells were exposed for 24 h to a cytokine cocktail representative of the inflammatory milieu associated with canine atopic dermatitis and subsequently treated with hemp oil, blackcurrant seed oil, vitamin D₃, or their combination. Cell viability was assessed by Trypan Blue exclusion assay and expressed as percentage of viable cells relative to cytokine-treated controls. Data are reported as mean ± SEM of</w:t>
      </w:r>
      <w:r>
        <w:rPr>
          <w:rFonts w:ascii="Times New Roman" w:hAnsi="Times New Roman" w:cs="Times New Roman"/>
          <w:lang w:val="en-GB"/>
        </w:rPr>
        <w:t xml:space="preserve"> 3 </w:t>
      </w:r>
      <w:r w:rsidRPr="004F60F8">
        <w:rPr>
          <w:rFonts w:ascii="Times New Roman" w:hAnsi="Times New Roman" w:cs="Times New Roman"/>
          <w:lang w:val="en-GB"/>
        </w:rPr>
        <w:t>independent experiments.</w:t>
      </w:r>
    </w:p>
    <w:p w14:paraId="1E5B278B" w14:textId="77777777" w:rsidR="004F60F8" w:rsidRPr="00897972" w:rsidRDefault="004F60F8" w:rsidP="00897972">
      <w:pPr>
        <w:spacing w:after="0" w:line="276" w:lineRule="auto"/>
        <w:jc w:val="both"/>
        <w:rPr>
          <w:rFonts w:ascii="Times New Roman" w:hAnsi="Times New Roman" w:cs="Times New Roman"/>
          <w:b/>
          <w:bCs/>
          <w:lang w:val="en-GB"/>
        </w:rPr>
      </w:pPr>
    </w:p>
    <w:p w14:paraId="2BD65CDC" w14:textId="77777777" w:rsidR="00FB4B6A" w:rsidRPr="00FB4B6A" w:rsidRDefault="00FB4B6A" w:rsidP="00FB4B6A">
      <w:pPr>
        <w:spacing w:after="0" w:line="276" w:lineRule="auto"/>
        <w:rPr>
          <w:rFonts w:ascii="Times New Roman" w:eastAsia="Aptos" w:hAnsi="Times New Roman" w:cs="Times New Roman"/>
          <w:sz w:val="20"/>
          <w:szCs w:val="20"/>
          <w:lang w:val="en-GB"/>
        </w:rPr>
      </w:pPr>
    </w:p>
    <w:p w14:paraId="7FE0D41B" w14:textId="77777777" w:rsidR="00FB4B6A" w:rsidRPr="00897972" w:rsidRDefault="00FB4B6A">
      <w:pPr>
        <w:rPr>
          <w:lang w:val="en-GB"/>
        </w:rPr>
      </w:pPr>
    </w:p>
    <w:sectPr w:rsidR="00FB4B6A" w:rsidRPr="0089797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B6A"/>
    <w:rsid w:val="000116CE"/>
    <w:rsid w:val="00251F14"/>
    <w:rsid w:val="00280E19"/>
    <w:rsid w:val="002B5924"/>
    <w:rsid w:val="0037495D"/>
    <w:rsid w:val="004F60F8"/>
    <w:rsid w:val="00632E42"/>
    <w:rsid w:val="006A2A76"/>
    <w:rsid w:val="006A2E66"/>
    <w:rsid w:val="006C0B80"/>
    <w:rsid w:val="00874584"/>
    <w:rsid w:val="00897972"/>
    <w:rsid w:val="009433A1"/>
    <w:rsid w:val="00983985"/>
    <w:rsid w:val="009B1F88"/>
    <w:rsid w:val="009E1C0C"/>
    <w:rsid w:val="00A337DD"/>
    <w:rsid w:val="00A36D45"/>
    <w:rsid w:val="00A966B8"/>
    <w:rsid w:val="00AC0D45"/>
    <w:rsid w:val="00AD0C83"/>
    <w:rsid w:val="00C54AAE"/>
    <w:rsid w:val="00C879F2"/>
    <w:rsid w:val="00E37110"/>
    <w:rsid w:val="00EF7D84"/>
    <w:rsid w:val="00F22BAF"/>
    <w:rsid w:val="00F41466"/>
    <w:rsid w:val="00FB4B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4CDFB"/>
  <w15:chartTrackingRefBased/>
  <w15:docId w15:val="{656BBA67-F61F-4BCD-A326-BA206E07B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B4B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B4B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B4B6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B4B6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B4B6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B4B6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B4B6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B4B6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B4B6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B4B6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B4B6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B4B6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B4B6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B4B6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B4B6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B4B6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B4B6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B4B6A"/>
    <w:rPr>
      <w:rFonts w:eastAsiaTheme="majorEastAsia" w:cstheme="majorBidi"/>
      <w:color w:val="272727" w:themeColor="text1" w:themeTint="D8"/>
    </w:rPr>
  </w:style>
  <w:style w:type="paragraph" w:styleId="Titolo">
    <w:name w:val="Title"/>
    <w:basedOn w:val="Normale"/>
    <w:next w:val="Normale"/>
    <w:link w:val="TitoloCarattere"/>
    <w:uiPriority w:val="10"/>
    <w:qFormat/>
    <w:rsid w:val="00FB4B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B4B6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B4B6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B4B6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B4B6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B4B6A"/>
    <w:rPr>
      <w:i/>
      <w:iCs/>
      <w:color w:val="404040" w:themeColor="text1" w:themeTint="BF"/>
    </w:rPr>
  </w:style>
  <w:style w:type="paragraph" w:styleId="Paragrafoelenco">
    <w:name w:val="List Paragraph"/>
    <w:basedOn w:val="Normale"/>
    <w:uiPriority w:val="34"/>
    <w:qFormat/>
    <w:rsid w:val="00FB4B6A"/>
    <w:pPr>
      <w:ind w:left="720"/>
      <w:contextualSpacing/>
    </w:pPr>
  </w:style>
  <w:style w:type="character" w:styleId="Enfasiintensa">
    <w:name w:val="Intense Emphasis"/>
    <w:basedOn w:val="Carpredefinitoparagrafo"/>
    <w:uiPriority w:val="21"/>
    <w:qFormat/>
    <w:rsid w:val="00FB4B6A"/>
    <w:rPr>
      <w:i/>
      <w:iCs/>
      <w:color w:val="0F4761" w:themeColor="accent1" w:themeShade="BF"/>
    </w:rPr>
  </w:style>
  <w:style w:type="paragraph" w:styleId="Citazioneintensa">
    <w:name w:val="Intense Quote"/>
    <w:basedOn w:val="Normale"/>
    <w:next w:val="Normale"/>
    <w:link w:val="CitazioneintensaCarattere"/>
    <w:uiPriority w:val="30"/>
    <w:qFormat/>
    <w:rsid w:val="00FB4B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B4B6A"/>
    <w:rPr>
      <w:i/>
      <w:iCs/>
      <w:color w:val="0F4761" w:themeColor="accent1" w:themeShade="BF"/>
    </w:rPr>
  </w:style>
  <w:style w:type="character" w:styleId="Riferimentointenso">
    <w:name w:val="Intense Reference"/>
    <w:basedOn w:val="Carpredefinitoparagrafo"/>
    <w:uiPriority w:val="32"/>
    <w:qFormat/>
    <w:rsid w:val="00FB4B6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3</Pages>
  <Words>501</Words>
  <Characters>3093</Characters>
  <Application>Microsoft Office Word</Application>
  <DocSecurity>0</DocSecurity>
  <Lines>55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Tortolani</dc:creator>
  <cp:keywords/>
  <dc:description/>
  <cp:lastModifiedBy>DANIEL TORTOLANI</cp:lastModifiedBy>
  <cp:revision>15</cp:revision>
  <dcterms:created xsi:type="dcterms:W3CDTF">2025-12-19T12:40:00Z</dcterms:created>
  <dcterms:modified xsi:type="dcterms:W3CDTF">2026-06-30T14:43:00Z</dcterms:modified>
</cp:coreProperties>
</file>