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5008B" w14:textId="7C4CC010" w:rsidR="0052207D" w:rsidRDefault="0052207D" w:rsidP="00812BF8">
      <w:pPr>
        <w:spacing w:line="240" w:lineRule="auto"/>
        <w:jc w:val="center"/>
        <w:rPr>
          <w:rFonts w:ascii="Times New Roman" w:eastAsia="Times New Roman" w:hAnsi="Times New Roman" w:cs="Times New Roman"/>
          <w:b/>
          <w:bCs/>
          <w:color w:val="1C1C1C"/>
        </w:rPr>
      </w:pPr>
      <w:r w:rsidRPr="00327826">
        <w:rPr>
          <w:rFonts w:ascii="Times New Roman" w:eastAsia="Times New Roman" w:hAnsi="Times New Roman" w:cs="Times New Roman"/>
          <w:b/>
          <w:bCs/>
          <w:color w:val="1C1C1C"/>
        </w:rPr>
        <w:t xml:space="preserve">Appendix </w:t>
      </w:r>
      <w:r w:rsidR="00812BF8">
        <w:rPr>
          <w:rFonts w:ascii="Times New Roman" w:eastAsia="Times New Roman" w:hAnsi="Times New Roman" w:cs="Times New Roman"/>
          <w:b/>
          <w:bCs/>
          <w:color w:val="1C1C1C"/>
        </w:rPr>
        <w:t>B</w:t>
      </w:r>
      <w:r w:rsidRPr="00327826">
        <w:rPr>
          <w:rFonts w:ascii="Times New Roman" w:eastAsia="Times New Roman" w:hAnsi="Times New Roman" w:cs="Times New Roman"/>
          <w:b/>
          <w:bCs/>
          <w:color w:val="1C1C1C"/>
        </w:rPr>
        <w:t>:  Differential Item Functioning Results</w:t>
      </w:r>
    </w:p>
    <w:p w14:paraId="5C895C3C" w14:textId="77777777" w:rsidR="007A013C" w:rsidRDefault="007A013C" w:rsidP="007A013C">
      <w:pPr>
        <w:spacing w:line="240" w:lineRule="auto"/>
        <w:rPr>
          <w:rFonts w:ascii="Times New Roman" w:eastAsia="Times New Roman" w:hAnsi="Times New Roman" w:cs="Times New Roman"/>
          <w:color w:val="000000"/>
        </w:rPr>
      </w:pPr>
    </w:p>
    <w:p w14:paraId="6F2A136E" w14:textId="32512996" w:rsidR="007A013C" w:rsidRPr="007A013C" w:rsidRDefault="007A013C" w:rsidP="007A013C">
      <w:pPr>
        <w:spacing w:line="360" w:lineRule="auto"/>
        <w:rPr>
          <w:rFonts w:ascii="Times New Roman" w:eastAsia="Times New Roman" w:hAnsi="Times New Roman" w:cs="Times New Roman"/>
          <w:color w:val="000000"/>
        </w:rPr>
      </w:pPr>
      <w:r w:rsidRPr="003F3A0B">
        <w:rPr>
          <w:rFonts w:ascii="Times New Roman" w:eastAsia="Times New Roman" w:hAnsi="Times New Roman" w:cs="Times New Roman"/>
          <w:color w:val="000000"/>
        </w:rPr>
        <w:t xml:space="preserve">Prior to our analysis, we examined how test items in the CHLQ behave for different groups after </w:t>
      </w:r>
      <w:r>
        <w:rPr>
          <w:rFonts w:ascii="Times New Roman" w:eastAsia="Times New Roman" w:hAnsi="Times New Roman" w:cs="Times New Roman"/>
          <w:color w:val="000000"/>
        </w:rPr>
        <w:t>accounting</w:t>
      </w:r>
      <w:r w:rsidRPr="003F3A0B">
        <w:rPr>
          <w:rFonts w:ascii="Times New Roman" w:eastAsia="Times New Roman" w:hAnsi="Times New Roman" w:cs="Times New Roman"/>
          <w:color w:val="000000"/>
        </w:rPr>
        <w:t xml:space="preserve"> for individuals’ abilities.</w:t>
      </w:r>
      <w:r>
        <w:rPr>
          <w:rFonts w:ascii="Times New Roman" w:eastAsia="Times New Roman" w:hAnsi="Times New Roman" w:cs="Times New Roman"/>
          <w:color w:val="000000"/>
        </w:rPr>
        <w:t xml:space="preserve"> This analysis ensures the fairness of the CHLQ and minimizes test bias, especially given the exploratory nature of our tool. </w:t>
      </w:r>
      <w:r w:rsidRPr="00700116">
        <w:rPr>
          <w:rFonts w:ascii="Times New Roman" w:eastAsia="Times New Roman" w:hAnsi="Times New Roman" w:cs="Times New Roman"/>
          <w:color w:val="000000"/>
        </w:rPr>
        <w:t>This step was important to confirm that differences in responses reflect actual differences in cannabis health literacy</w:t>
      </w:r>
      <w:r>
        <w:rPr>
          <w:rFonts w:ascii="Times New Roman" w:eastAsia="Times New Roman" w:hAnsi="Times New Roman" w:cs="Times New Roman"/>
          <w:color w:val="000000"/>
        </w:rPr>
        <w:t xml:space="preserve"> and not </w:t>
      </w:r>
      <w:r w:rsidRPr="00700116">
        <w:rPr>
          <w:rFonts w:ascii="Times New Roman" w:eastAsia="Times New Roman" w:hAnsi="Times New Roman" w:cs="Times New Roman"/>
          <w:color w:val="000000"/>
        </w:rPr>
        <w:t>in how the questions function across demographics</w:t>
      </w:r>
      <w:r>
        <w:rPr>
          <w:rFonts w:ascii="Times New Roman" w:eastAsia="Times New Roman" w:hAnsi="Times New Roman" w:cs="Times New Roman"/>
          <w:color w:val="000000"/>
        </w:rPr>
        <w:t>. We</w:t>
      </w:r>
      <w:r w:rsidRPr="003F3A0B">
        <w:rPr>
          <w:rFonts w:ascii="Times New Roman" w:eastAsia="Times New Roman" w:hAnsi="Times New Roman" w:cs="Times New Roman"/>
          <w:color w:val="000000"/>
        </w:rPr>
        <w:t xml:space="preserve"> conducted differential item functioning (DIF) </w:t>
      </w:r>
      <w:r>
        <w:rPr>
          <w:rFonts w:ascii="Times New Roman" w:eastAsia="Times New Roman" w:hAnsi="Times New Roman" w:cs="Times New Roman"/>
          <w:color w:val="000000"/>
        </w:rPr>
        <w:t>analyses using the Rasch-Welch test and MH chi square</w:t>
      </w:r>
      <w:r w:rsidRPr="00E848E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using WINSTEPS software </w:t>
      </w:r>
      <w:r w:rsidRPr="007019AC">
        <w:rPr>
          <w:rFonts w:ascii="Times New Roman" w:eastAsia="Times New Roman" w:hAnsi="Times New Roman" w:cs="Times New Roman"/>
          <w:color w:val="000000"/>
        </w:rPr>
        <w:t>(v.5.3.3.1</w:t>
      </w:r>
      <w:r>
        <w:rPr>
          <w:rFonts w:ascii="Times New Roman" w:eastAsia="Times New Roman" w:hAnsi="Times New Roman" w:cs="Times New Roman"/>
          <w:color w:val="000000"/>
        </w:rPr>
        <w:t xml:space="preserve">). </w:t>
      </w:r>
      <w:r w:rsidRPr="000A4A1A">
        <w:rPr>
          <w:rFonts w:ascii="Times New Roman" w:eastAsia="Times New Roman" w:hAnsi="Times New Roman" w:cs="Times New Roman"/>
          <w:color w:val="000000"/>
        </w:rPr>
        <w:t>Since age and biological sex are the most commonly identified factors influencing questionnaire responses in studies assessing differential item functioning (DIF)</w:t>
      </w:r>
      <w:r>
        <w:rPr>
          <w:rFonts w:ascii="Times New Roman" w:eastAsia="Times New Roman" w:hAnsi="Times New Roman" w:cs="Times New Roman"/>
          <w:color w:val="000000"/>
        </w:rPr>
        <w:fldChar w:fldCharType="begin"/>
      </w:r>
      <w:r w:rsidR="004036B0">
        <w:rPr>
          <w:rFonts w:ascii="Times New Roman" w:eastAsia="Times New Roman" w:hAnsi="Times New Roman" w:cs="Times New Roman"/>
          <w:color w:val="000000"/>
        </w:rPr>
        <w:instrText xml:space="preserve"> ADDIN ZOTERO_ITEM CSL_CITATION {"citationID":"fQDhHW5m","properties":{"formattedCitation":"(Boone et al., 2014; Bourion-B\\uc0\\u233{}d\\uc0\\u232{}s et al., 2015; Khalaf &amp; Omara, 2022; Yadegari et al., 2019)","plainCitation":"(Boone et al., 2014; Bourion-Bédès et al., 2015; Khalaf &amp; Omara, 2022; Yadegari et al., 2019)","noteIndex":0},"citationItems":[{"id":367,"uris":["http://zotero.org/users/9550210/items/UBGMJPSF"],"itemData":{"id":367,"type":"book","event-place":"Dordrecht","ISBN":"978-94-007-6856-7","language":"en","note":"DOI: 10.1007/978-94-007-6857-4","publisher":"Springer Netherlands","publisher-place":"Dordrecht","source":"DOI.org (Crossref)","title":"Rasch Analysis in the Human Sciences","URL":"https://link.springer.com/10.1007/978-94-007-6857-4","author":[{"family":"Boone","given":"William J."},{"family":"Staver","given":"John R."},{"family":"Yale","given":"Melissa S."}],"accessed":{"date-parts":[["2023",5,26]]},"issued":{"date-parts":[["2014"]]}}},{"id":6350,"uris":["http://zotero.org/users/9550210/items/443JHCDU"],"itemData":{"id":6350,"type":"article-journal","abstract":"Differential Item Functioning (DIF) is investigated to ensure that each item displays a consistent pattern of responses irrespective of the characteristics of the respondents. Assessing DIF helps to understand the nature of instruments, to assess the quality of a measure and to interpret results. This study aimed to examine whether the items of the Quality of Life Enjoyment and Satisfaction Questionnaire-Short Form (Q-LES-Q-SF) and Short-Form 12 (SF-12) exhibit DIF.","container-title":"Health and Quality of Life Outcomes","DOI":"10.1186/s12955-015-0365-7","ISSN":"1477-7525","issue":"1","journalAbbreviation":"Health and Quality of Life Outcomes","page":"172","source":"BioMed Central","title":"Differential item functioning (DIF) of SF-12 and Q-LES-Q-SF items among french substance users","volume":"13","author":[{"family":"Bourion-Bédès","given":"Stéphanie"},{"family":"Schwan","given":"Raymund"},{"family":"Laprevote","given":"Vincent"},{"family":"Bédès","given":"Alex"},{"family":"Bonnet","given":"Jean-Louis"},{"family":"Baumann","given":"Cédric"}],"issued":{"date-parts":[["2015",10,24]]}}},{"id":4951,"uris":["http://zotero.org/users/9550210/items/ABGQIJKC"],"itemData":{"id":4951,"type":"article-journal","abstract":"English language anxiety (ELA) is a prevalent phenomenon in language education. It is one of the most commonly investigated non-linguistic variables in studies of language learning. Accordingly, numerous studies have paid great attention to the factors leading to FLA.","container-title":"BMC Psychology","DOI":"10.1186/s40359-022-00955-w","ISSN":"2050-7283","issue":"1","journalAbbreviation":"BMC Psychology","page":"242","source":"BioMed Central","title":"Rasch analysis and differential item functioning of English language anxiety scale (ELAS) across sex in Egyptian context","volume":"10","author":[{"family":"Khalaf","given":"Mustafa Ali"},{"family":"Omara","given":"Ehab Mohammed Naguib"}],"issued":{"date-parts":[["2022",10,31]]}}},{"id":6353,"uris":["http://zotero.org/users/9550210/items/IQHTXJR3"],"itemData":{"id":6353,"type":"article-journal","abstract":"Joint replacement, an increasingly common procedure amongst older adults, can substantially improve health-related quality of life (HRQoL). However, differential item functioning (DIF) may affect the accurate interpretation of differences in HRQoL amongst patients with different demographic and health status characteristics but the same underlying (i.e., latent) level of the investigated construct. This study tested for DIF in pre-operative SF-12 physical health (PH) and mental health (MH) sub-scale items amongst patients undergoing total hip arthroplasty (THA) and total knee arthroplasty (TKA).","container-title":"Health and Quality of Life Outcomes","DOI":"10.1186/s12955-019-1166-1","ISSN":"1477-7525","issue":"1","journalAbbreviation":"Health and Quality of Life Outcomes","page":"114","source":"BioMed Central","title":"Differential item functioning of the SF-12 in a population-based regional joint replacement registry","volume":"17","author":[{"family":"Yadegari","given":"Iraj"},{"family":"Bohm","given":"Eric"},{"family":"Ayilara","given":"Olawale F."},{"family":"Zhang","given":"Lixia"},{"family":"Sawatzky","given":"Richard"},{"family":"Sajobi","given":"Tolulope T."},{"family":"Lix","given":"Lisa M."}],"issued":{"date-parts":[["2019",7,2]]}}}],"schema":"https://github.com/citation-style-language/schema/raw/master/csl-citation.json"} </w:instrText>
      </w:r>
      <w:r>
        <w:rPr>
          <w:rFonts w:ascii="Times New Roman" w:eastAsia="Times New Roman" w:hAnsi="Times New Roman" w:cs="Times New Roman"/>
          <w:color w:val="000000"/>
        </w:rPr>
        <w:fldChar w:fldCharType="separate"/>
      </w:r>
      <w:r w:rsidR="004036B0" w:rsidRPr="004036B0">
        <w:rPr>
          <w:rFonts w:ascii="Times New Roman" w:hAnsi="Times New Roman" w:cs="Times New Roman"/>
          <w:color w:val="000000"/>
          <w:kern w:val="0"/>
          <w:lang w:val="en-US"/>
        </w:rPr>
        <w:t>(Boone et al., 2014; Bourion-Bédès et al., 2015; Khalaf &amp; Omara, 2022; Yadegari et al., 2019)</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sidRPr="000A4A1A">
        <w:rPr>
          <w:rFonts w:ascii="Times New Roman" w:eastAsia="Times New Roman" w:hAnsi="Times New Roman" w:cs="Times New Roman"/>
          <w:color w:val="000000"/>
        </w:rPr>
        <w:t>we focused our DIF analysis on these two variables.</w:t>
      </w:r>
      <w:r>
        <w:rPr>
          <w:rFonts w:ascii="Times New Roman" w:eastAsia="Times New Roman" w:hAnsi="Times New Roman" w:cs="Times New Roman"/>
          <w:color w:val="000000"/>
        </w:rPr>
        <w:t xml:space="preserve"> Our analysis considered DIF contrast values that were significant (p&lt;0.001) with a moderate to large effect sizes (greater than 0.64).</w:t>
      </w:r>
    </w:p>
    <w:p w14:paraId="42ACF3CA" w14:textId="77777777" w:rsidR="00143F4F" w:rsidRPr="00684CC9" w:rsidRDefault="00143F4F" w:rsidP="0052207D">
      <w:pPr>
        <w:spacing w:line="240" w:lineRule="auto"/>
        <w:rPr>
          <w:rFonts w:ascii="Times New Roman" w:eastAsia="Times New Roman" w:hAnsi="Times New Roman" w:cs="Times New Roman"/>
          <w:b/>
          <w:bCs/>
          <w:color w:val="1C1C1C"/>
        </w:rPr>
      </w:pPr>
    </w:p>
    <w:p w14:paraId="4892875F" w14:textId="77777777" w:rsidR="0052207D" w:rsidRPr="00133049" w:rsidRDefault="0052207D" w:rsidP="0052207D">
      <w:pPr>
        <w:rPr>
          <w:rFonts w:ascii="Times New Roman" w:hAnsi="Times New Roman" w:cs="Times New Roman"/>
        </w:rPr>
      </w:pPr>
      <w:r w:rsidRPr="00133049">
        <w:rPr>
          <w:rFonts w:ascii="Times New Roman" w:hAnsi="Times New Roman" w:cs="Times New Roman"/>
          <w:b/>
          <w:bCs/>
        </w:rPr>
        <w:t>Table 1:</w:t>
      </w:r>
      <w:r w:rsidRPr="00133049">
        <w:rPr>
          <w:rFonts w:ascii="Times New Roman" w:hAnsi="Times New Roman" w:cs="Times New Roman"/>
        </w:rPr>
        <w:t xml:space="preserve"> DIF for Knowledge of Cannabis dimension by biological sex; a pairwise table was consulted in WINSTEPS</w:t>
      </w:r>
    </w:p>
    <w:tbl>
      <w:tblPr>
        <w:tblStyle w:val="TableGrid"/>
        <w:tblW w:w="11341" w:type="dxa"/>
        <w:tblInd w:w="-714" w:type="dxa"/>
        <w:tblLayout w:type="fixed"/>
        <w:tblLook w:val="04A0" w:firstRow="1" w:lastRow="0" w:firstColumn="1" w:lastColumn="0" w:noHBand="0" w:noVBand="1"/>
      </w:tblPr>
      <w:tblGrid>
        <w:gridCol w:w="1702"/>
        <w:gridCol w:w="1134"/>
        <w:gridCol w:w="1275"/>
        <w:gridCol w:w="709"/>
        <w:gridCol w:w="1134"/>
        <w:gridCol w:w="1276"/>
        <w:gridCol w:w="709"/>
        <w:gridCol w:w="1275"/>
        <w:gridCol w:w="1134"/>
        <w:gridCol w:w="993"/>
      </w:tblGrid>
      <w:tr w:rsidR="0052207D" w:rsidRPr="008F4340" w14:paraId="7B1584F3" w14:textId="77777777" w:rsidTr="00297245">
        <w:trPr>
          <w:trHeight w:val="553"/>
        </w:trPr>
        <w:tc>
          <w:tcPr>
            <w:tcW w:w="1702" w:type="dxa"/>
          </w:tcPr>
          <w:p w14:paraId="38602E2A" w14:textId="77777777" w:rsidR="0052207D" w:rsidRPr="00DB2C81" w:rsidRDefault="0052207D" w:rsidP="00297245">
            <w:pPr>
              <w:jc w:val="center"/>
              <w:rPr>
                <w:b/>
                <w:bCs/>
                <w:szCs w:val="24"/>
              </w:rPr>
            </w:pPr>
            <w:r w:rsidRPr="00DB2C81">
              <w:rPr>
                <w:b/>
                <w:bCs/>
              </w:rPr>
              <w:t>Item</w:t>
            </w:r>
          </w:p>
        </w:tc>
        <w:tc>
          <w:tcPr>
            <w:tcW w:w="1134" w:type="dxa"/>
          </w:tcPr>
          <w:p w14:paraId="5CD7D540" w14:textId="77777777" w:rsidR="0052207D" w:rsidRPr="00DB2C81" w:rsidRDefault="0052207D" w:rsidP="00297245">
            <w:pPr>
              <w:jc w:val="center"/>
              <w:rPr>
                <w:b/>
                <w:bCs/>
                <w:szCs w:val="24"/>
              </w:rPr>
            </w:pPr>
            <w:r w:rsidRPr="00DB2C81">
              <w:rPr>
                <w:b/>
                <w:bCs/>
              </w:rPr>
              <w:t>Group</w:t>
            </w:r>
          </w:p>
          <w:p w14:paraId="5F1CE9D7" w14:textId="77777777" w:rsidR="0052207D" w:rsidRPr="00DB2C81" w:rsidRDefault="0052207D" w:rsidP="00297245">
            <w:pPr>
              <w:jc w:val="center"/>
              <w:rPr>
                <w:b/>
                <w:bCs/>
                <w:szCs w:val="24"/>
              </w:rPr>
            </w:pPr>
            <w:r w:rsidRPr="00DB2C81">
              <w:rPr>
                <w:b/>
                <w:bCs/>
              </w:rPr>
              <w:t>(n)</w:t>
            </w:r>
          </w:p>
          <w:p w14:paraId="7343C507" w14:textId="77777777" w:rsidR="0052207D" w:rsidRPr="00DB2C81" w:rsidRDefault="0052207D" w:rsidP="00297245">
            <w:pPr>
              <w:jc w:val="center"/>
              <w:rPr>
                <w:b/>
                <w:bCs/>
                <w:szCs w:val="24"/>
              </w:rPr>
            </w:pPr>
          </w:p>
        </w:tc>
        <w:tc>
          <w:tcPr>
            <w:tcW w:w="1275" w:type="dxa"/>
          </w:tcPr>
          <w:p w14:paraId="09EA9B47" w14:textId="77777777" w:rsidR="0052207D" w:rsidRPr="00DB2C81" w:rsidRDefault="0052207D" w:rsidP="00297245">
            <w:pPr>
              <w:jc w:val="center"/>
              <w:rPr>
                <w:b/>
                <w:bCs/>
                <w:szCs w:val="24"/>
              </w:rPr>
            </w:pPr>
            <w:r w:rsidRPr="00DB2C81">
              <w:rPr>
                <w:b/>
                <w:bCs/>
              </w:rPr>
              <w:t>DIF</w:t>
            </w:r>
          </w:p>
          <w:p w14:paraId="08539E54" w14:textId="77777777" w:rsidR="0052207D" w:rsidRPr="00DB2C81" w:rsidRDefault="0052207D" w:rsidP="00297245">
            <w:pPr>
              <w:jc w:val="center"/>
              <w:rPr>
                <w:b/>
                <w:bCs/>
                <w:szCs w:val="24"/>
              </w:rPr>
            </w:pPr>
            <w:r w:rsidRPr="00DB2C81">
              <w:rPr>
                <w:b/>
                <w:bCs/>
              </w:rPr>
              <w:t>Measure</w:t>
            </w:r>
          </w:p>
        </w:tc>
        <w:tc>
          <w:tcPr>
            <w:tcW w:w="709" w:type="dxa"/>
          </w:tcPr>
          <w:p w14:paraId="0AEDC473" w14:textId="77777777" w:rsidR="0052207D" w:rsidRPr="00DB2C81" w:rsidRDefault="0052207D" w:rsidP="00297245">
            <w:pPr>
              <w:jc w:val="center"/>
              <w:rPr>
                <w:b/>
                <w:bCs/>
                <w:szCs w:val="24"/>
              </w:rPr>
            </w:pPr>
            <w:r w:rsidRPr="00DB2C81">
              <w:rPr>
                <w:b/>
                <w:bCs/>
              </w:rPr>
              <w:t>DIF SE</w:t>
            </w:r>
          </w:p>
        </w:tc>
        <w:tc>
          <w:tcPr>
            <w:tcW w:w="1134" w:type="dxa"/>
          </w:tcPr>
          <w:p w14:paraId="5E9631A3" w14:textId="77777777" w:rsidR="0052207D" w:rsidRPr="00DB2C81" w:rsidRDefault="0052207D" w:rsidP="00297245">
            <w:pPr>
              <w:jc w:val="center"/>
              <w:rPr>
                <w:b/>
                <w:bCs/>
                <w:szCs w:val="24"/>
              </w:rPr>
            </w:pPr>
            <w:r w:rsidRPr="00DB2C81">
              <w:rPr>
                <w:b/>
                <w:bCs/>
              </w:rPr>
              <w:t>Group</w:t>
            </w:r>
          </w:p>
          <w:p w14:paraId="42FB2D74" w14:textId="77777777" w:rsidR="0052207D" w:rsidRPr="00DB2C81" w:rsidRDefault="0052207D" w:rsidP="00297245">
            <w:pPr>
              <w:jc w:val="center"/>
              <w:rPr>
                <w:b/>
                <w:bCs/>
                <w:szCs w:val="24"/>
              </w:rPr>
            </w:pPr>
            <w:r w:rsidRPr="00DB2C81">
              <w:rPr>
                <w:b/>
                <w:bCs/>
              </w:rPr>
              <w:t>(n)</w:t>
            </w:r>
          </w:p>
        </w:tc>
        <w:tc>
          <w:tcPr>
            <w:tcW w:w="1276" w:type="dxa"/>
          </w:tcPr>
          <w:p w14:paraId="390BA2EB" w14:textId="77777777" w:rsidR="0052207D" w:rsidRPr="00DB2C81" w:rsidRDefault="0052207D" w:rsidP="00297245">
            <w:pPr>
              <w:jc w:val="center"/>
              <w:rPr>
                <w:b/>
                <w:bCs/>
                <w:szCs w:val="24"/>
              </w:rPr>
            </w:pPr>
            <w:r w:rsidRPr="00DB2C81">
              <w:rPr>
                <w:b/>
                <w:bCs/>
              </w:rPr>
              <w:t>DIF</w:t>
            </w:r>
          </w:p>
          <w:p w14:paraId="0E75DACE" w14:textId="77777777" w:rsidR="0052207D" w:rsidRPr="00DB2C81" w:rsidRDefault="0052207D" w:rsidP="00297245">
            <w:pPr>
              <w:jc w:val="center"/>
              <w:rPr>
                <w:b/>
                <w:bCs/>
                <w:szCs w:val="24"/>
              </w:rPr>
            </w:pPr>
            <w:r w:rsidRPr="00DB2C81">
              <w:rPr>
                <w:b/>
                <w:bCs/>
              </w:rPr>
              <w:t>Measure</w:t>
            </w:r>
          </w:p>
        </w:tc>
        <w:tc>
          <w:tcPr>
            <w:tcW w:w="709" w:type="dxa"/>
          </w:tcPr>
          <w:p w14:paraId="5A57C49C" w14:textId="77777777" w:rsidR="0052207D" w:rsidRPr="00DB2C81" w:rsidRDefault="0052207D" w:rsidP="00297245">
            <w:pPr>
              <w:jc w:val="center"/>
              <w:rPr>
                <w:b/>
                <w:bCs/>
                <w:szCs w:val="24"/>
              </w:rPr>
            </w:pPr>
            <w:r w:rsidRPr="00DB2C81">
              <w:rPr>
                <w:b/>
                <w:bCs/>
              </w:rPr>
              <w:t xml:space="preserve">DIF </w:t>
            </w:r>
          </w:p>
          <w:p w14:paraId="741E8237" w14:textId="77777777" w:rsidR="0052207D" w:rsidRPr="00DB2C81" w:rsidRDefault="0052207D" w:rsidP="00297245">
            <w:pPr>
              <w:jc w:val="center"/>
              <w:rPr>
                <w:b/>
                <w:bCs/>
                <w:szCs w:val="24"/>
              </w:rPr>
            </w:pPr>
            <w:r w:rsidRPr="00DB2C81">
              <w:rPr>
                <w:b/>
                <w:bCs/>
              </w:rPr>
              <w:t>SE</w:t>
            </w:r>
          </w:p>
        </w:tc>
        <w:tc>
          <w:tcPr>
            <w:tcW w:w="1275" w:type="dxa"/>
          </w:tcPr>
          <w:p w14:paraId="51766740" w14:textId="77777777" w:rsidR="0052207D" w:rsidRPr="00DB2C81" w:rsidRDefault="0052207D" w:rsidP="00297245">
            <w:pPr>
              <w:jc w:val="center"/>
              <w:rPr>
                <w:b/>
                <w:bCs/>
                <w:szCs w:val="24"/>
              </w:rPr>
            </w:pPr>
            <w:r w:rsidRPr="00DB2C81">
              <w:rPr>
                <w:b/>
                <w:bCs/>
              </w:rPr>
              <w:t>DIF Contrast</w:t>
            </w:r>
          </w:p>
        </w:tc>
        <w:tc>
          <w:tcPr>
            <w:tcW w:w="1134" w:type="dxa"/>
          </w:tcPr>
          <w:p w14:paraId="4663D20C" w14:textId="77777777" w:rsidR="0052207D" w:rsidRPr="00DB2C81" w:rsidRDefault="0052207D" w:rsidP="00297245">
            <w:pPr>
              <w:jc w:val="center"/>
              <w:rPr>
                <w:b/>
                <w:bCs/>
                <w:szCs w:val="24"/>
              </w:rPr>
            </w:pPr>
            <w:r w:rsidRPr="00DB2C81">
              <w:rPr>
                <w:b/>
                <w:bCs/>
              </w:rPr>
              <w:t>Chi-square</w:t>
            </w:r>
          </w:p>
        </w:tc>
        <w:tc>
          <w:tcPr>
            <w:tcW w:w="993" w:type="dxa"/>
          </w:tcPr>
          <w:p w14:paraId="7E7E015A" w14:textId="77777777" w:rsidR="0052207D" w:rsidRPr="00DB2C81" w:rsidRDefault="0052207D" w:rsidP="00297245">
            <w:pPr>
              <w:jc w:val="center"/>
              <w:rPr>
                <w:b/>
                <w:bCs/>
                <w:szCs w:val="24"/>
              </w:rPr>
            </w:pPr>
            <w:r w:rsidRPr="00DB2C81">
              <w:rPr>
                <w:b/>
                <w:bCs/>
              </w:rPr>
              <w:t>p-value</w:t>
            </w:r>
          </w:p>
          <w:p w14:paraId="4306E895" w14:textId="77777777" w:rsidR="0052207D" w:rsidRPr="00DB2C81" w:rsidRDefault="0052207D" w:rsidP="00297245">
            <w:pPr>
              <w:jc w:val="center"/>
              <w:rPr>
                <w:b/>
                <w:bCs/>
                <w:szCs w:val="24"/>
              </w:rPr>
            </w:pPr>
            <w:r w:rsidRPr="00DB2C81">
              <w:rPr>
                <w:b/>
                <w:bCs/>
              </w:rPr>
              <w:t>(MH)</w:t>
            </w:r>
          </w:p>
        </w:tc>
      </w:tr>
      <w:tr w:rsidR="0052207D" w:rsidRPr="008F4340" w14:paraId="4E554179" w14:textId="77777777" w:rsidTr="00297245">
        <w:tc>
          <w:tcPr>
            <w:tcW w:w="1702" w:type="dxa"/>
          </w:tcPr>
          <w:p w14:paraId="039A62E8" w14:textId="77777777" w:rsidR="0052207D" w:rsidRPr="00DB2C81" w:rsidRDefault="0052207D" w:rsidP="00297245">
            <w:pPr>
              <w:jc w:val="center"/>
              <w:rPr>
                <w:szCs w:val="24"/>
              </w:rPr>
            </w:pPr>
            <w:r w:rsidRPr="000B2BC8">
              <w:rPr>
                <w:color w:val="000000"/>
              </w:rPr>
              <w:t>According to the product label displayed below, how many milligrams (mg) of cannabinoids are in one soft gel?</w:t>
            </w:r>
          </w:p>
        </w:tc>
        <w:tc>
          <w:tcPr>
            <w:tcW w:w="1134" w:type="dxa"/>
          </w:tcPr>
          <w:p w14:paraId="54D0FEB9" w14:textId="77777777" w:rsidR="0052207D" w:rsidRPr="00DB2C81" w:rsidRDefault="0052207D" w:rsidP="00297245">
            <w:pPr>
              <w:jc w:val="center"/>
              <w:rPr>
                <w:szCs w:val="24"/>
              </w:rPr>
            </w:pPr>
            <w:r w:rsidRPr="00DB2C81">
              <w:t>Male</w:t>
            </w:r>
          </w:p>
          <w:p w14:paraId="70C8F1FF" w14:textId="77777777" w:rsidR="0052207D" w:rsidRPr="00DB2C81" w:rsidRDefault="0052207D" w:rsidP="00297245">
            <w:pPr>
              <w:jc w:val="center"/>
              <w:rPr>
                <w:szCs w:val="24"/>
              </w:rPr>
            </w:pPr>
            <w:r w:rsidRPr="00DB2C81">
              <w:t>(500)</w:t>
            </w:r>
          </w:p>
        </w:tc>
        <w:tc>
          <w:tcPr>
            <w:tcW w:w="1275" w:type="dxa"/>
          </w:tcPr>
          <w:p w14:paraId="67F8A7F7" w14:textId="77777777" w:rsidR="0052207D" w:rsidRPr="00DB2C81" w:rsidRDefault="0052207D" w:rsidP="00297245">
            <w:pPr>
              <w:jc w:val="center"/>
              <w:rPr>
                <w:szCs w:val="24"/>
              </w:rPr>
            </w:pPr>
            <w:r w:rsidRPr="00DB2C81">
              <w:t>0.05</w:t>
            </w:r>
          </w:p>
        </w:tc>
        <w:tc>
          <w:tcPr>
            <w:tcW w:w="709" w:type="dxa"/>
          </w:tcPr>
          <w:p w14:paraId="495090F6" w14:textId="77777777" w:rsidR="0052207D" w:rsidRPr="00DB2C81" w:rsidRDefault="0052207D" w:rsidP="00297245">
            <w:pPr>
              <w:jc w:val="center"/>
              <w:rPr>
                <w:szCs w:val="24"/>
              </w:rPr>
            </w:pPr>
            <w:r w:rsidRPr="00DB2C81">
              <w:t>0.11</w:t>
            </w:r>
          </w:p>
        </w:tc>
        <w:tc>
          <w:tcPr>
            <w:tcW w:w="1134" w:type="dxa"/>
          </w:tcPr>
          <w:p w14:paraId="32D60C3A" w14:textId="77777777" w:rsidR="0052207D" w:rsidRPr="00DB2C81" w:rsidRDefault="0052207D" w:rsidP="00297245">
            <w:pPr>
              <w:jc w:val="center"/>
              <w:rPr>
                <w:szCs w:val="24"/>
              </w:rPr>
            </w:pPr>
            <w:r w:rsidRPr="00DB2C81">
              <w:t>Female</w:t>
            </w:r>
          </w:p>
          <w:p w14:paraId="589FE542" w14:textId="77777777" w:rsidR="0052207D" w:rsidRPr="00DB2C81" w:rsidRDefault="0052207D" w:rsidP="00297245">
            <w:pPr>
              <w:jc w:val="center"/>
              <w:rPr>
                <w:szCs w:val="24"/>
              </w:rPr>
            </w:pPr>
            <w:r w:rsidRPr="00DB2C81">
              <w:t>(525)</w:t>
            </w:r>
          </w:p>
        </w:tc>
        <w:tc>
          <w:tcPr>
            <w:tcW w:w="1276" w:type="dxa"/>
          </w:tcPr>
          <w:p w14:paraId="092B0D2A" w14:textId="77777777" w:rsidR="0052207D" w:rsidRPr="00DB2C81" w:rsidRDefault="0052207D" w:rsidP="00297245">
            <w:pPr>
              <w:jc w:val="center"/>
              <w:rPr>
                <w:szCs w:val="24"/>
              </w:rPr>
            </w:pPr>
            <w:r w:rsidRPr="00DB2C81">
              <w:t>-0.61</w:t>
            </w:r>
          </w:p>
        </w:tc>
        <w:tc>
          <w:tcPr>
            <w:tcW w:w="709" w:type="dxa"/>
          </w:tcPr>
          <w:p w14:paraId="53A4C538" w14:textId="77777777" w:rsidR="0052207D" w:rsidRPr="00DB2C81" w:rsidRDefault="0052207D" w:rsidP="00297245">
            <w:pPr>
              <w:jc w:val="center"/>
              <w:rPr>
                <w:szCs w:val="24"/>
              </w:rPr>
            </w:pPr>
            <w:r w:rsidRPr="00DB2C81">
              <w:t>0.11</w:t>
            </w:r>
          </w:p>
        </w:tc>
        <w:tc>
          <w:tcPr>
            <w:tcW w:w="1275" w:type="dxa"/>
          </w:tcPr>
          <w:p w14:paraId="732EE1B0" w14:textId="77777777" w:rsidR="0052207D" w:rsidRPr="00DB2C81" w:rsidRDefault="0052207D" w:rsidP="00297245">
            <w:pPr>
              <w:jc w:val="center"/>
              <w:rPr>
                <w:b/>
                <w:bCs/>
                <w:szCs w:val="24"/>
              </w:rPr>
            </w:pPr>
            <w:r w:rsidRPr="00DB2C81">
              <w:rPr>
                <w:b/>
                <w:bCs/>
              </w:rPr>
              <w:t>0.66</w:t>
            </w:r>
          </w:p>
        </w:tc>
        <w:tc>
          <w:tcPr>
            <w:tcW w:w="1134" w:type="dxa"/>
          </w:tcPr>
          <w:p w14:paraId="68950FCD" w14:textId="77777777" w:rsidR="0052207D" w:rsidRPr="00DB2C81" w:rsidRDefault="0052207D" w:rsidP="00297245">
            <w:pPr>
              <w:jc w:val="center"/>
              <w:rPr>
                <w:szCs w:val="24"/>
              </w:rPr>
            </w:pPr>
            <w:r w:rsidRPr="00DB2C81">
              <w:t>14.49</w:t>
            </w:r>
          </w:p>
        </w:tc>
        <w:tc>
          <w:tcPr>
            <w:tcW w:w="993" w:type="dxa"/>
          </w:tcPr>
          <w:p w14:paraId="398C16D8" w14:textId="77777777" w:rsidR="0052207D" w:rsidRPr="00DB2C81" w:rsidRDefault="0052207D" w:rsidP="00297245">
            <w:pPr>
              <w:jc w:val="center"/>
              <w:rPr>
                <w:b/>
                <w:bCs/>
                <w:szCs w:val="24"/>
              </w:rPr>
            </w:pPr>
            <w:r w:rsidRPr="00DB2C81">
              <w:rPr>
                <w:b/>
                <w:bCs/>
              </w:rPr>
              <w:t>0.0001</w:t>
            </w:r>
          </w:p>
        </w:tc>
      </w:tr>
    </w:tbl>
    <w:p w14:paraId="37BD931A" w14:textId="77777777" w:rsidR="0052207D" w:rsidRPr="00DB2C81" w:rsidRDefault="0052207D" w:rsidP="0052207D">
      <w:pPr>
        <w:rPr>
          <w:rFonts w:ascii="Times New Roman" w:hAnsi="Times New Roman" w:cs="Times New Roman"/>
          <w:color w:val="FF0000"/>
          <w:sz w:val="20"/>
          <w:szCs w:val="20"/>
        </w:rPr>
      </w:pPr>
      <w:r w:rsidRPr="00DB2C81">
        <w:rPr>
          <w:rFonts w:ascii="Times New Roman" w:hAnsi="Times New Roman" w:cs="Times New Roman"/>
          <w:color w:val="FF0000"/>
          <w:sz w:val="20"/>
          <w:szCs w:val="20"/>
        </w:rPr>
        <w:t xml:space="preserve">p&lt;0.05 (95% confidence); DIF contrast |&gt; 0.64| = moderate to large DIF; Only DIFs with &gt;0.64 reported; MH- Mantel Hanzel </w:t>
      </w:r>
    </w:p>
    <w:p w14:paraId="52CCB15B" w14:textId="566611BC" w:rsidR="0052207D" w:rsidRDefault="0052207D" w:rsidP="00C11B3D">
      <w:pPr>
        <w:spacing w:line="480" w:lineRule="auto"/>
        <w:rPr>
          <w:rFonts w:ascii="Times New Roman" w:eastAsia="Times New Roman" w:hAnsi="Times New Roman" w:cs="Times New Roman"/>
          <w:color w:val="000000"/>
        </w:rPr>
      </w:pPr>
      <w:r w:rsidRPr="00DB2C81">
        <w:rPr>
          <w:rFonts w:ascii="Times New Roman" w:eastAsia="Times New Roman" w:hAnsi="Times New Roman" w:cs="Times New Roman"/>
          <w:b/>
          <w:bCs/>
          <w:color w:val="1C1C1C"/>
        </w:rPr>
        <w:t>Result:</w:t>
      </w:r>
      <w:r>
        <w:rPr>
          <w:rFonts w:ascii="Times New Roman" w:eastAsia="Times New Roman" w:hAnsi="Times New Roman" w:cs="Times New Roman"/>
          <w:color w:val="1C1C1C"/>
        </w:rPr>
        <w:t xml:space="preserve"> This item</w:t>
      </w:r>
      <w:r w:rsidRPr="0004053E">
        <w:rPr>
          <w:rFonts w:ascii="Times New Roman" w:eastAsia="Times New Roman" w:hAnsi="Times New Roman" w:cs="Times New Roman"/>
          <w:color w:val="1C1C1C"/>
        </w:rPr>
        <w:t xml:space="preserve"> is significantly easier for females (DIF Measure = -0.61) compared to males (DIF Measure = 0.05). The p-value is significant (p &lt; 0.05), indicating notable DIF, with a moderate effect size of 0.66</w:t>
      </w:r>
      <w:r w:rsidR="009662CD">
        <w:rPr>
          <w:rFonts w:ascii="Times New Roman" w:eastAsia="Times New Roman" w:hAnsi="Times New Roman" w:cs="Times New Roman"/>
          <w:color w:val="1C1C1C"/>
        </w:rPr>
        <w:t xml:space="preserve"> (Table 1)</w:t>
      </w:r>
      <w:r w:rsidRPr="0004053E">
        <w:rPr>
          <w:rFonts w:ascii="Times New Roman" w:eastAsia="Times New Roman" w:hAnsi="Times New Roman" w:cs="Times New Roman"/>
          <w:color w:val="1C1C1C"/>
        </w:rPr>
        <w:t>.</w:t>
      </w:r>
      <w:r w:rsidR="00600AA9">
        <w:rPr>
          <w:rFonts w:ascii="Times New Roman" w:eastAsia="Times New Roman" w:hAnsi="Times New Roman" w:cs="Times New Roman"/>
          <w:color w:val="1C1C1C"/>
        </w:rPr>
        <w:t xml:space="preserve"> </w:t>
      </w:r>
      <w:r w:rsidR="00600AA9">
        <w:rPr>
          <w:rFonts w:ascii="Times New Roman" w:eastAsia="Times New Roman" w:hAnsi="Times New Roman" w:cs="Times New Roman"/>
          <w:color w:val="000000"/>
        </w:rPr>
        <w:t xml:space="preserve">No substantial differences in the proportion of gender and </w:t>
      </w:r>
      <w:r w:rsidR="00600AA9">
        <w:rPr>
          <w:rFonts w:ascii="Times New Roman" w:eastAsia="Times New Roman" w:hAnsi="Times New Roman" w:cs="Times New Roman"/>
          <w:color w:val="000000"/>
        </w:rPr>
        <w:lastRenderedPageBreak/>
        <w:t>biological sex categories were found. No other DIF was found in the CHLQ, thus we proceeded with our regression analyses.</w:t>
      </w:r>
    </w:p>
    <w:p w14:paraId="49788666" w14:textId="77777777" w:rsidR="003773C3" w:rsidRDefault="003773C3" w:rsidP="003773C3">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Despite these results</w:t>
      </w:r>
      <w:r w:rsidRPr="00036A4D">
        <w:rPr>
          <w:rFonts w:ascii="Times New Roman" w:eastAsia="Times New Roman" w:hAnsi="Times New Roman" w:cs="Times New Roman"/>
          <w:color w:val="000000"/>
        </w:rPr>
        <w:t>, according to Rasch guidelines, the existence of DIF alone does not automatically imply bias in the item; further investigation is needed to understand the reasons behind these observed differences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{"citationID":"9EAHaA2V","properties":{"formattedCitation":"(Boone et al., 2014)","plainCitation":"(Boone et al., 2014)","noteIndex":0},"citationItems":[{"id":367,"uris":["http://zotero.org/users/9550210/items/UBGMJPSF"],"itemData":{"id":367,"type":"book","event-place":"Dordrecht","ISBN":"978-94-007-6856-7","language":"en","note":"DOI: 10.1007/978-94-007-6857-4","publisher":"Springer Netherlands","publisher-place":"Dordrecht","source":"DOI.org (Crossref)","title":"Rasch Analysis in the Human Sciences","URL":"https://link.springer.com/10.1007/978-94-007-6857-4","author":[{"family":"Boone","given":"William J."},{"family":"Staver","given":"John R."},{"family":"Yale","given":"Melissa S."}],"accessed":{"date-parts":[["2023",5,26]]},"issued":{"date-parts":[["2014"]]}}}],"schema":"https://github.com/citation-style-language/schema/raw/master/csl-citation.json"} </w:instrText>
      </w:r>
      <w:r>
        <w:rPr>
          <w:rFonts w:ascii="Times New Roman" w:eastAsia="Times New Roman" w:hAnsi="Times New Roman" w:cs="Times New Roman"/>
          <w:color w:val="000000"/>
        </w:rPr>
        <w:fldChar w:fldCharType="separate"/>
      </w:r>
      <w:r>
        <w:rPr>
          <w:rFonts w:ascii="Times New Roman" w:hAnsi="Times New Roman" w:cs="Times New Roman"/>
          <w:color w:val="000000"/>
          <w:kern w:val="0"/>
          <w:lang w:val="en-US"/>
        </w:rPr>
        <w:t>(Boone et al., 2014)</w:t>
      </w:r>
      <w:r>
        <w:rPr>
          <w:rFonts w:ascii="Times New Roman" w:eastAsia="Times New Roman" w:hAnsi="Times New Roman" w:cs="Times New Roman"/>
          <w:color w:val="000000"/>
        </w:rPr>
        <w:fldChar w:fldCharType="end"/>
      </w:r>
      <w:r w:rsidRPr="00036A4D">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We retained the item in our analysis, after conducting a cross-tabulation of the distribution of responses for this item (Table 2)</w:t>
      </w:r>
    </w:p>
    <w:p w14:paraId="42D03B1C" w14:textId="77777777" w:rsidR="003773C3" w:rsidRPr="00600AA9" w:rsidRDefault="003773C3" w:rsidP="003773C3">
      <w:pPr>
        <w:spacing w:line="480" w:lineRule="auto"/>
        <w:rPr>
          <w:rFonts w:ascii="Times New Roman" w:eastAsia="Times New Roman" w:hAnsi="Times New Roman" w:cs="Times New Roman"/>
          <w:color w:val="000000"/>
        </w:rPr>
      </w:pPr>
    </w:p>
    <w:p w14:paraId="11BCC841" w14:textId="77777777" w:rsidR="0052207D" w:rsidRDefault="0052207D" w:rsidP="0052207D">
      <w:pPr>
        <w:spacing w:line="480" w:lineRule="auto"/>
        <w:rPr>
          <w:rFonts w:ascii="Times New Roman" w:eastAsia="Times New Roman" w:hAnsi="Times New Roman" w:cs="Times New Roman"/>
          <w:color w:val="1C1C1C"/>
        </w:rPr>
      </w:pPr>
      <w:r w:rsidRPr="00DB2C81">
        <w:rPr>
          <w:rFonts w:ascii="Times New Roman" w:eastAsia="Times New Roman" w:hAnsi="Times New Roman" w:cs="Times New Roman"/>
          <w:b/>
          <w:bCs/>
          <w:color w:val="1C1C1C"/>
        </w:rPr>
        <w:t>Table 2:</w:t>
      </w:r>
      <w:r>
        <w:rPr>
          <w:rFonts w:ascii="Times New Roman" w:eastAsia="Times New Roman" w:hAnsi="Times New Roman" w:cs="Times New Roman"/>
          <w:color w:val="1C1C1C"/>
        </w:rPr>
        <w:t xml:space="preserve"> Gender and Biological Sex crosstabulation</w:t>
      </w:r>
    </w:p>
    <w:tbl>
      <w:tblPr>
        <w:tblStyle w:val="TableGrid"/>
        <w:tblW w:w="0" w:type="auto"/>
        <w:tblLook w:val="04A0" w:firstRow="1" w:lastRow="0" w:firstColumn="1" w:lastColumn="0" w:noHBand="0" w:noVBand="1"/>
      </w:tblPr>
      <w:tblGrid>
        <w:gridCol w:w="1838"/>
        <w:gridCol w:w="1418"/>
        <w:gridCol w:w="1275"/>
        <w:gridCol w:w="1843"/>
        <w:gridCol w:w="992"/>
      </w:tblGrid>
      <w:tr w:rsidR="0052207D" w14:paraId="4AAAC6DD" w14:textId="77777777" w:rsidTr="00297245">
        <w:trPr>
          <w:trHeight w:val="444"/>
        </w:trPr>
        <w:tc>
          <w:tcPr>
            <w:tcW w:w="7366" w:type="dxa"/>
            <w:gridSpan w:val="5"/>
          </w:tcPr>
          <w:p w14:paraId="125B1113" w14:textId="77777777" w:rsidR="0052207D" w:rsidRPr="00DB2C81" w:rsidRDefault="0052207D" w:rsidP="00297245">
            <w:pPr>
              <w:spacing w:line="480" w:lineRule="auto"/>
              <w:jc w:val="center"/>
              <w:rPr>
                <w:b/>
                <w:bCs/>
                <w:color w:val="1C1C1C"/>
              </w:rPr>
            </w:pPr>
            <w:r w:rsidRPr="00DB2C81">
              <w:rPr>
                <w:b/>
                <w:bCs/>
                <w:color w:val="1C1C1C"/>
              </w:rPr>
              <w:t>Biological Sex</w:t>
            </w:r>
          </w:p>
        </w:tc>
      </w:tr>
      <w:tr w:rsidR="0052207D" w14:paraId="531A0E85" w14:textId="77777777" w:rsidTr="00297245">
        <w:trPr>
          <w:trHeight w:val="145"/>
        </w:trPr>
        <w:tc>
          <w:tcPr>
            <w:tcW w:w="1838" w:type="dxa"/>
          </w:tcPr>
          <w:p w14:paraId="149BF8A2" w14:textId="77777777" w:rsidR="0052207D" w:rsidRPr="00DB2C81" w:rsidRDefault="0052207D" w:rsidP="00297245">
            <w:pPr>
              <w:spacing w:line="480" w:lineRule="auto"/>
              <w:jc w:val="center"/>
              <w:rPr>
                <w:b/>
                <w:bCs/>
                <w:color w:val="1C1C1C"/>
              </w:rPr>
            </w:pPr>
            <w:r w:rsidRPr="00DB2C81">
              <w:rPr>
                <w:b/>
                <w:bCs/>
                <w:color w:val="1C1C1C"/>
              </w:rPr>
              <w:t>Gender</w:t>
            </w:r>
          </w:p>
        </w:tc>
        <w:tc>
          <w:tcPr>
            <w:tcW w:w="1418" w:type="dxa"/>
          </w:tcPr>
          <w:p w14:paraId="3E9E2B5B" w14:textId="77777777" w:rsidR="0052207D" w:rsidRDefault="0052207D" w:rsidP="00297245">
            <w:pPr>
              <w:spacing w:line="480" w:lineRule="auto"/>
              <w:jc w:val="center"/>
              <w:rPr>
                <w:color w:val="1C1C1C"/>
              </w:rPr>
            </w:pPr>
            <w:r>
              <w:rPr>
                <w:color w:val="1C1C1C"/>
              </w:rPr>
              <w:t>Male</w:t>
            </w:r>
          </w:p>
        </w:tc>
        <w:tc>
          <w:tcPr>
            <w:tcW w:w="1275" w:type="dxa"/>
          </w:tcPr>
          <w:p w14:paraId="54F206FE" w14:textId="77777777" w:rsidR="0052207D" w:rsidRDefault="0052207D" w:rsidP="00297245">
            <w:pPr>
              <w:spacing w:line="480" w:lineRule="auto"/>
              <w:jc w:val="center"/>
              <w:rPr>
                <w:color w:val="1C1C1C"/>
              </w:rPr>
            </w:pPr>
            <w:r>
              <w:rPr>
                <w:color w:val="1C1C1C"/>
              </w:rPr>
              <w:t>Female</w:t>
            </w:r>
          </w:p>
        </w:tc>
        <w:tc>
          <w:tcPr>
            <w:tcW w:w="1843" w:type="dxa"/>
          </w:tcPr>
          <w:p w14:paraId="64031C4E" w14:textId="77777777" w:rsidR="0052207D" w:rsidRDefault="0052207D" w:rsidP="00297245">
            <w:pPr>
              <w:spacing w:line="480" w:lineRule="auto"/>
              <w:jc w:val="center"/>
              <w:rPr>
                <w:color w:val="1C1C1C"/>
              </w:rPr>
            </w:pPr>
            <w:r>
              <w:rPr>
                <w:color w:val="1C1C1C"/>
              </w:rPr>
              <w:t>Prefer not to say</w:t>
            </w:r>
          </w:p>
        </w:tc>
        <w:tc>
          <w:tcPr>
            <w:tcW w:w="992" w:type="dxa"/>
          </w:tcPr>
          <w:p w14:paraId="6661DAF6" w14:textId="77777777" w:rsidR="0052207D" w:rsidRDefault="0052207D" w:rsidP="00297245">
            <w:pPr>
              <w:spacing w:line="480" w:lineRule="auto"/>
              <w:jc w:val="center"/>
              <w:rPr>
                <w:color w:val="1C1C1C"/>
              </w:rPr>
            </w:pPr>
            <w:r>
              <w:rPr>
                <w:color w:val="1C1C1C"/>
              </w:rPr>
              <w:t>Total</w:t>
            </w:r>
          </w:p>
        </w:tc>
      </w:tr>
      <w:tr w:rsidR="0052207D" w14:paraId="29BCAB58" w14:textId="77777777" w:rsidTr="00297245">
        <w:tc>
          <w:tcPr>
            <w:tcW w:w="1838" w:type="dxa"/>
          </w:tcPr>
          <w:p w14:paraId="29ABE786" w14:textId="77777777" w:rsidR="0052207D" w:rsidRDefault="0052207D" w:rsidP="00297245">
            <w:pPr>
              <w:spacing w:line="480" w:lineRule="auto"/>
              <w:jc w:val="center"/>
              <w:rPr>
                <w:color w:val="1C1C1C"/>
              </w:rPr>
            </w:pPr>
            <w:r>
              <w:rPr>
                <w:color w:val="1C1C1C"/>
              </w:rPr>
              <w:t>Man</w:t>
            </w:r>
          </w:p>
        </w:tc>
        <w:tc>
          <w:tcPr>
            <w:tcW w:w="1418" w:type="dxa"/>
          </w:tcPr>
          <w:p w14:paraId="42DDC60A" w14:textId="77777777" w:rsidR="0052207D" w:rsidRDefault="0052207D" w:rsidP="00297245">
            <w:pPr>
              <w:spacing w:line="480" w:lineRule="auto"/>
              <w:jc w:val="center"/>
              <w:rPr>
                <w:color w:val="1C1C1C"/>
              </w:rPr>
            </w:pPr>
            <w:r>
              <w:rPr>
                <w:color w:val="1C1C1C"/>
              </w:rPr>
              <w:t>487</w:t>
            </w:r>
          </w:p>
        </w:tc>
        <w:tc>
          <w:tcPr>
            <w:tcW w:w="1275" w:type="dxa"/>
          </w:tcPr>
          <w:p w14:paraId="5103369D" w14:textId="77777777" w:rsidR="0052207D" w:rsidRDefault="0052207D" w:rsidP="00297245">
            <w:pPr>
              <w:spacing w:line="480" w:lineRule="auto"/>
              <w:jc w:val="center"/>
              <w:rPr>
                <w:color w:val="1C1C1C"/>
              </w:rPr>
            </w:pPr>
            <w:r>
              <w:rPr>
                <w:color w:val="1C1C1C"/>
              </w:rPr>
              <w:t>1</w:t>
            </w:r>
          </w:p>
        </w:tc>
        <w:tc>
          <w:tcPr>
            <w:tcW w:w="1843" w:type="dxa"/>
          </w:tcPr>
          <w:p w14:paraId="0352FBBB" w14:textId="77777777" w:rsidR="0052207D" w:rsidRDefault="0052207D" w:rsidP="00297245">
            <w:pPr>
              <w:spacing w:line="480" w:lineRule="auto"/>
              <w:jc w:val="center"/>
              <w:rPr>
                <w:color w:val="1C1C1C"/>
              </w:rPr>
            </w:pPr>
            <w:r>
              <w:rPr>
                <w:color w:val="1C1C1C"/>
              </w:rPr>
              <w:t>0</w:t>
            </w:r>
          </w:p>
        </w:tc>
        <w:tc>
          <w:tcPr>
            <w:tcW w:w="992" w:type="dxa"/>
          </w:tcPr>
          <w:p w14:paraId="218FEE7B" w14:textId="77777777" w:rsidR="0052207D" w:rsidRDefault="0052207D" w:rsidP="00297245">
            <w:pPr>
              <w:spacing w:line="480" w:lineRule="auto"/>
              <w:jc w:val="center"/>
              <w:rPr>
                <w:color w:val="1C1C1C"/>
              </w:rPr>
            </w:pPr>
            <w:r>
              <w:rPr>
                <w:color w:val="1C1C1C"/>
              </w:rPr>
              <w:t>488</w:t>
            </w:r>
          </w:p>
        </w:tc>
      </w:tr>
      <w:tr w:rsidR="0052207D" w14:paraId="09D501F6" w14:textId="77777777" w:rsidTr="00297245">
        <w:tc>
          <w:tcPr>
            <w:tcW w:w="1838" w:type="dxa"/>
          </w:tcPr>
          <w:p w14:paraId="46062476" w14:textId="77777777" w:rsidR="0052207D" w:rsidRDefault="0052207D" w:rsidP="00297245">
            <w:pPr>
              <w:spacing w:line="480" w:lineRule="auto"/>
              <w:jc w:val="center"/>
              <w:rPr>
                <w:color w:val="1C1C1C"/>
              </w:rPr>
            </w:pPr>
            <w:r>
              <w:rPr>
                <w:color w:val="1C1C1C"/>
              </w:rPr>
              <w:t>Woman</w:t>
            </w:r>
          </w:p>
        </w:tc>
        <w:tc>
          <w:tcPr>
            <w:tcW w:w="1418" w:type="dxa"/>
          </w:tcPr>
          <w:p w14:paraId="74B1A65E" w14:textId="77777777" w:rsidR="0052207D" w:rsidRDefault="0052207D" w:rsidP="00297245">
            <w:pPr>
              <w:spacing w:line="480" w:lineRule="auto"/>
              <w:jc w:val="center"/>
              <w:rPr>
                <w:color w:val="1C1C1C"/>
              </w:rPr>
            </w:pPr>
            <w:r>
              <w:rPr>
                <w:color w:val="1C1C1C"/>
              </w:rPr>
              <w:t>3</w:t>
            </w:r>
          </w:p>
        </w:tc>
        <w:tc>
          <w:tcPr>
            <w:tcW w:w="1275" w:type="dxa"/>
          </w:tcPr>
          <w:p w14:paraId="5E486CBE" w14:textId="77777777" w:rsidR="0052207D" w:rsidRDefault="0052207D" w:rsidP="00297245">
            <w:pPr>
              <w:spacing w:line="480" w:lineRule="auto"/>
              <w:jc w:val="center"/>
              <w:rPr>
                <w:color w:val="1C1C1C"/>
              </w:rPr>
            </w:pPr>
            <w:r>
              <w:rPr>
                <w:color w:val="1C1C1C"/>
              </w:rPr>
              <w:t>517</w:t>
            </w:r>
          </w:p>
        </w:tc>
        <w:tc>
          <w:tcPr>
            <w:tcW w:w="1843" w:type="dxa"/>
          </w:tcPr>
          <w:p w14:paraId="1B8093F6" w14:textId="77777777" w:rsidR="0052207D" w:rsidRDefault="0052207D" w:rsidP="00297245">
            <w:pPr>
              <w:spacing w:line="480" w:lineRule="auto"/>
              <w:jc w:val="center"/>
              <w:rPr>
                <w:color w:val="1C1C1C"/>
              </w:rPr>
            </w:pPr>
            <w:r>
              <w:rPr>
                <w:color w:val="1C1C1C"/>
              </w:rPr>
              <w:t>1</w:t>
            </w:r>
          </w:p>
        </w:tc>
        <w:tc>
          <w:tcPr>
            <w:tcW w:w="992" w:type="dxa"/>
          </w:tcPr>
          <w:p w14:paraId="2EB8FD2A" w14:textId="77777777" w:rsidR="0052207D" w:rsidRDefault="0052207D" w:rsidP="00297245">
            <w:pPr>
              <w:spacing w:line="480" w:lineRule="auto"/>
              <w:jc w:val="center"/>
              <w:rPr>
                <w:color w:val="1C1C1C"/>
              </w:rPr>
            </w:pPr>
            <w:r>
              <w:rPr>
                <w:color w:val="1C1C1C"/>
              </w:rPr>
              <w:t>521</w:t>
            </w:r>
          </w:p>
        </w:tc>
      </w:tr>
      <w:tr w:rsidR="0052207D" w14:paraId="18F11FAB" w14:textId="77777777" w:rsidTr="00297245">
        <w:tc>
          <w:tcPr>
            <w:tcW w:w="1838" w:type="dxa"/>
          </w:tcPr>
          <w:p w14:paraId="4BB8FBB4" w14:textId="77777777" w:rsidR="0052207D" w:rsidRDefault="0052207D" w:rsidP="00297245">
            <w:pPr>
              <w:spacing w:line="480" w:lineRule="auto"/>
              <w:jc w:val="center"/>
              <w:rPr>
                <w:color w:val="1C1C1C"/>
              </w:rPr>
            </w:pPr>
            <w:r>
              <w:rPr>
                <w:color w:val="1C1C1C"/>
              </w:rPr>
              <w:t>Gender Diverse</w:t>
            </w:r>
          </w:p>
        </w:tc>
        <w:tc>
          <w:tcPr>
            <w:tcW w:w="1418" w:type="dxa"/>
          </w:tcPr>
          <w:p w14:paraId="129D1138" w14:textId="77777777" w:rsidR="0052207D" w:rsidRDefault="0052207D" w:rsidP="00297245">
            <w:pPr>
              <w:spacing w:line="480" w:lineRule="auto"/>
              <w:jc w:val="center"/>
              <w:rPr>
                <w:color w:val="1C1C1C"/>
              </w:rPr>
            </w:pPr>
            <w:r>
              <w:rPr>
                <w:color w:val="1C1C1C"/>
              </w:rPr>
              <w:t>4</w:t>
            </w:r>
          </w:p>
        </w:tc>
        <w:tc>
          <w:tcPr>
            <w:tcW w:w="1275" w:type="dxa"/>
          </w:tcPr>
          <w:p w14:paraId="2EAA493E" w14:textId="77777777" w:rsidR="0052207D" w:rsidRDefault="0052207D" w:rsidP="00297245">
            <w:pPr>
              <w:spacing w:line="480" w:lineRule="auto"/>
              <w:jc w:val="center"/>
              <w:rPr>
                <w:color w:val="1C1C1C"/>
              </w:rPr>
            </w:pPr>
            <w:r>
              <w:rPr>
                <w:color w:val="1C1C1C"/>
              </w:rPr>
              <w:t>6</w:t>
            </w:r>
          </w:p>
        </w:tc>
        <w:tc>
          <w:tcPr>
            <w:tcW w:w="1843" w:type="dxa"/>
          </w:tcPr>
          <w:p w14:paraId="55C89654" w14:textId="77777777" w:rsidR="0052207D" w:rsidRDefault="0052207D" w:rsidP="00297245">
            <w:pPr>
              <w:spacing w:line="480" w:lineRule="auto"/>
              <w:jc w:val="center"/>
              <w:rPr>
                <w:color w:val="1C1C1C"/>
              </w:rPr>
            </w:pPr>
            <w:r>
              <w:rPr>
                <w:color w:val="1C1C1C"/>
              </w:rPr>
              <w:t>1</w:t>
            </w:r>
          </w:p>
        </w:tc>
        <w:tc>
          <w:tcPr>
            <w:tcW w:w="992" w:type="dxa"/>
          </w:tcPr>
          <w:p w14:paraId="0B3C074F" w14:textId="77777777" w:rsidR="0052207D" w:rsidRDefault="0052207D" w:rsidP="00297245">
            <w:pPr>
              <w:spacing w:line="480" w:lineRule="auto"/>
              <w:jc w:val="center"/>
              <w:rPr>
                <w:color w:val="1C1C1C"/>
              </w:rPr>
            </w:pPr>
            <w:r>
              <w:rPr>
                <w:color w:val="1C1C1C"/>
              </w:rPr>
              <w:t>11</w:t>
            </w:r>
          </w:p>
        </w:tc>
      </w:tr>
      <w:tr w:rsidR="0052207D" w14:paraId="2B990F78" w14:textId="77777777" w:rsidTr="00297245">
        <w:tc>
          <w:tcPr>
            <w:tcW w:w="1838" w:type="dxa"/>
          </w:tcPr>
          <w:p w14:paraId="75589EE9" w14:textId="77777777" w:rsidR="0052207D" w:rsidRDefault="0052207D" w:rsidP="00297245">
            <w:pPr>
              <w:spacing w:line="480" w:lineRule="auto"/>
              <w:jc w:val="center"/>
              <w:rPr>
                <w:color w:val="1C1C1C"/>
              </w:rPr>
            </w:pPr>
            <w:r>
              <w:rPr>
                <w:color w:val="1C1C1C"/>
              </w:rPr>
              <w:t>Prefer not to say</w:t>
            </w:r>
          </w:p>
        </w:tc>
        <w:tc>
          <w:tcPr>
            <w:tcW w:w="1418" w:type="dxa"/>
          </w:tcPr>
          <w:p w14:paraId="63D54EE6" w14:textId="77777777" w:rsidR="0052207D" w:rsidRDefault="0052207D" w:rsidP="00297245">
            <w:pPr>
              <w:spacing w:line="480" w:lineRule="auto"/>
              <w:jc w:val="center"/>
              <w:rPr>
                <w:color w:val="1C1C1C"/>
              </w:rPr>
            </w:pPr>
            <w:r>
              <w:rPr>
                <w:color w:val="1C1C1C"/>
              </w:rPr>
              <w:t>6</w:t>
            </w:r>
          </w:p>
        </w:tc>
        <w:tc>
          <w:tcPr>
            <w:tcW w:w="1275" w:type="dxa"/>
          </w:tcPr>
          <w:p w14:paraId="0940A9F2" w14:textId="77777777" w:rsidR="0052207D" w:rsidRDefault="0052207D" w:rsidP="00297245">
            <w:pPr>
              <w:spacing w:line="480" w:lineRule="auto"/>
              <w:jc w:val="center"/>
              <w:rPr>
                <w:color w:val="1C1C1C"/>
              </w:rPr>
            </w:pPr>
            <w:r>
              <w:rPr>
                <w:color w:val="1C1C1C"/>
              </w:rPr>
              <w:t>1</w:t>
            </w:r>
          </w:p>
        </w:tc>
        <w:tc>
          <w:tcPr>
            <w:tcW w:w="1843" w:type="dxa"/>
          </w:tcPr>
          <w:p w14:paraId="10C45AF8" w14:textId="77777777" w:rsidR="0052207D" w:rsidRDefault="0052207D" w:rsidP="00297245">
            <w:pPr>
              <w:spacing w:line="480" w:lineRule="auto"/>
              <w:jc w:val="center"/>
              <w:rPr>
                <w:color w:val="1C1C1C"/>
              </w:rPr>
            </w:pPr>
            <w:r>
              <w:rPr>
                <w:color w:val="1C1C1C"/>
              </w:rPr>
              <w:t>8</w:t>
            </w:r>
          </w:p>
        </w:tc>
        <w:tc>
          <w:tcPr>
            <w:tcW w:w="992" w:type="dxa"/>
          </w:tcPr>
          <w:p w14:paraId="57E29C75" w14:textId="77777777" w:rsidR="0052207D" w:rsidRDefault="0052207D" w:rsidP="00297245">
            <w:pPr>
              <w:spacing w:line="480" w:lineRule="auto"/>
              <w:jc w:val="center"/>
              <w:rPr>
                <w:color w:val="1C1C1C"/>
              </w:rPr>
            </w:pPr>
            <w:r>
              <w:rPr>
                <w:color w:val="1C1C1C"/>
              </w:rPr>
              <w:t>15</w:t>
            </w:r>
          </w:p>
        </w:tc>
      </w:tr>
    </w:tbl>
    <w:p w14:paraId="29F335B4" w14:textId="77777777" w:rsidR="0052207D" w:rsidRDefault="0052207D" w:rsidP="0052207D">
      <w:pPr>
        <w:spacing w:line="480" w:lineRule="auto"/>
        <w:rPr>
          <w:rFonts w:ascii="Times New Roman" w:eastAsia="Times New Roman" w:hAnsi="Times New Roman" w:cs="Times New Roman"/>
          <w:color w:val="1C1C1C"/>
        </w:rPr>
      </w:pPr>
    </w:p>
    <w:p w14:paraId="3B77D3F4" w14:textId="136FF3A1" w:rsidR="00F2292C" w:rsidRPr="00C11B3D" w:rsidRDefault="00F2292C" w:rsidP="0052207D">
      <w:pPr>
        <w:spacing w:line="480" w:lineRule="auto"/>
        <w:rPr>
          <w:rFonts w:ascii="Times New Roman" w:eastAsia="Times New Roman" w:hAnsi="Times New Roman" w:cs="Times New Roman"/>
          <w:b/>
          <w:bCs/>
          <w:color w:val="1C1C1C"/>
        </w:rPr>
      </w:pPr>
      <w:r w:rsidRPr="00C11B3D">
        <w:rPr>
          <w:rFonts w:ascii="Times New Roman" w:eastAsia="Times New Roman" w:hAnsi="Times New Roman" w:cs="Times New Roman"/>
          <w:b/>
          <w:bCs/>
          <w:color w:val="1C1C1C"/>
        </w:rPr>
        <w:t>References</w:t>
      </w:r>
    </w:p>
    <w:p w14:paraId="42253DA0" w14:textId="77777777" w:rsidR="004036B0" w:rsidRPr="004036B0" w:rsidRDefault="00F2292C" w:rsidP="004036B0">
      <w:pPr>
        <w:pStyle w:val="Bibliography"/>
        <w:rPr>
          <w:rFonts w:ascii="Times New Roman" w:hAnsi="Times New Roman" w:cs="Times New Roman"/>
          <w:color w:val="000000"/>
          <w:lang w:val="en-US"/>
        </w:rPr>
      </w:pPr>
      <w:r>
        <w:rPr>
          <w:rFonts w:eastAsia="Times New Roman"/>
          <w:color w:val="1C1C1C"/>
        </w:rPr>
        <w:fldChar w:fldCharType="begin"/>
      </w:r>
      <w:r>
        <w:rPr>
          <w:rFonts w:eastAsia="Times New Roman"/>
          <w:color w:val="1C1C1C"/>
        </w:rPr>
        <w:instrText xml:space="preserve"> ADDIN ZOTERO_BIBL {"uncited":[],"omitted":[],"custom":[]} CSL_BIBLIOGRAPHY </w:instrText>
      </w:r>
      <w:r>
        <w:rPr>
          <w:rFonts w:eastAsia="Times New Roman"/>
          <w:color w:val="1C1C1C"/>
        </w:rPr>
        <w:fldChar w:fldCharType="separate"/>
      </w:r>
      <w:r w:rsidR="004036B0" w:rsidRPr="004036B0">
        <w:rPr>
          <w:rFonts w:ascii="Times New Roman" w:hAnsi="Times New Roman" w:cs="Times New Roman"/>
          <w:color w:val="000000"/>
          <w:lang w:val="en-US"/>
        </w:rPr>
        <w:t xml:space="preserve">Boone, W. J., Staver, J. R., &amp; Yale, M. S. (2014). </w:t>
      </w:r>
      <w:r w:rsidR="004036B0" w:rsidRPr="004036B0">
        <w:rPr>
          <w:rFonts w:ascii="Times New Roman" w:hAnsi="Times New Roman" w:cs="Times New Roman"/>
          <w:i/>
          <w:iCs/>
          <w:color w:val="000000"/>
          <w:lang w:val="en-US"/>
        </w:rPr>
        <w:t>Rasch Analysis in the Human Sciences</w:t>
      </w:r>
      <w:r w:rsidR="004036B0" w:rsidRPr="004036B0">
        <w:rPr>
          <w:rFonts w:ascii="Times New Roman" w:hAnsi="Times New Roman" w:cs="Times New Roman"/>
          <w:color w:val="000000"/>
          <w:lang w:val="en-US"/>
        </w:rPr>
        <w:t>. Springer Netherlands. https://doi.org/10.1007/978-94-007-6857-4</w:t>
      </w:r>
    </w:p>
    <w:p w14:paraId="29B9FB18" w14:textId="77777777" w:rsidR="004036B0" w:rsidRPr="004036B0" w:rsidRDefault="004036B0" w:rsidP="004036B0">
      <w:pPr>
        <w:pStyle w:val="Bibliography"/>
        <w:rPr>
          <w:rFonts w:ascii="Times New Roman" w:hAnsi="Times New Roman" w:cs="Times New Roman"/>
          <w:color w:val="000000"/>
          <w:lang w:val="en-US"/>
        </w:rPr>
      </w:pPr>
      <w:r w:rsidRPr="004036B0">
        <w:rPr>
          <w:rFonts w:ascii="Times New Roman" w:hAnsi="Times New Roman" w:cs="Times New Roman"/>
          <w:color w:val="000000"/>
          <w:lang w:val="en-US"/>
        </w:rPr>
        <w:t xml:space="preserve">Bourion-Bédès, S., Schwan, R., Laprevote, V., Bédès, A., Bonnet, J.-L., &amp; Baumann, C. (2015). Differential item functioning (DIF) of SF-12 and Q-LES-Q-SF items among french substance users. </w:t>
      </w:r>
      <w:r w:rsidRPr="004036B0">
        <w:rPr>
          <w:rFonts w:ascii="Times New Roman" w:hAnsi="Times New Roman" w:cs="Times New Roman"/>
          <w:i/>
          <w:iCs/>
          <w:color w:val="000000"/>
          <w:lang w:val="en-US"/>
        </w:rPr>
        <w:t>Health and Quality of Life Outcomes</w:t>
      </w:r>
      <w:r w:rsidRPr="004036B0">
        <w:rPr>
          <w:rFonts w:ascii="Times New Roman" w:hAnsi="Times New Roman" w:cs="Times New Roman"/>
          <w:color w:val="000000"/>
          <w:lang w:val="en-US"/>
        </w:rPr>
        <w:t xml:space="preserve">, </w:t>
      </w:r>
      <w:r w:rsidRPr="004036B0">
        <w:rPr>
          <w:rFonts w:ascii="Times New Roman" w:hAnsi="Times New Roman" w:cs="Times New Roman"/>
          <w:i/>
          <w:iCs/>
          <w:color w:val="000000"/>
          <w:lang w:val="en-US"/>
        </w:rPr>
        <w:t>13</w:t>
      </w:r>
      <w:r w:rsidRPr="004036B0">
        <w:rPr>
          <w:rFonts w:ascii="Times New Roman" w:hAnsi="Times New Roman" w:cs="Times New Roman"/>
          <w:color w:val="000000"/>
          <w:lang w:val="en-US"/>
        </w:rPr>
        <w:t>(1), 172. https://doi.org/10.1186/s12955-015-0365-7</w:t>
      </w:r>
    </w:p>
    <w:p w14:paraId="5EE284A2" w14:textId="77777777" w:rsidR="004036B0" w:rsidRPr="004036B0" w:rsidRDefault="004036B0" w:rsidP="004036B0">
      <w:pPr>
        <w:pStyle w:val="Bibliography"/>
        <w:rPr>
          <w:rFonts w:ascii="Times New Roman" w:hAnsi="Times New Roman" w:cs="Times New Roman"/>
          <w:color w:val="000000"/>
          <w:lang w:val="en-US"/>
        </w:rPr>
      </w:pPr>
      <w:r w:rsidRPr="004036B0">
        <w:rPr>
          <w:rFonts w:ascii="Times New Roman" w:hAnsi="Times New Roman" w:cs="Times New Roman"/>
          <w:color w:val="000000"/>
          <w:lang w:val="en-US"/>
        </w:rPr>
        <w:lastRenderedPageBreak/>
        <w:t xml:space="preserve">Khalaf, M. A., &amp; Omara, E. M. N. (2022). Rasch analysis and differential item functioning of English language anxiety scale (ELAS) across sex in Egyptian context. </w:t>
      </w:r>
      <w:r w:rsidRPr="004036B0">
        <w:rPr>
          <w:rFonts w:ascii="Times New Roman" w:hAnsi="Times New Roman" w:cs="Times New Roman"/>
          <w:i/>
          <w:iCs/>
          <w:color w:val="000000"/>
          <w:lang w:val="en-US"/>
        </w:rPr>
        <w:t>BMC Psychology</w:t>
      </w:r>
      <w:r w:rsidRPr="004036B0">
        <w:rPr>
          <w:rFonts w:ascii="Times New Roman" w:hAnsi="Times New Roman" w:cs="Times New Roman"/>
          <w:color w:val="000000"/>
          <w:lang w:val="en-US"/>
        </w:rPr>
        <w:t xml:space="preserve">, </w:t>
      </w:r>
      <w:r w:rsidRPr="004036B0">
        <w:rPr>
          <w:rFonts w:ascii="Times New Roman" w:hAnsi="Times New Roman" w:cs="Times New Roman"/>
          <w:i/>
          <w:iCs/>
          <w:color w:val="000000"/>
          <w:lang w:val="en-US"/>
        </w:rPr>
        <w:t>10</w:t>
      </w:r>
      <w:r w:rsidRPr="004036B0">
        <w:rPr>
          <w:rFonts w:ascii="Times New Roman" w:hAnsi="Times New Roman" w:cs="Times New Roman"/>
          <w:color w:val="000000"/>
          <w:lang w:val="en-US"/>
        </w:rPr>
        <w:t>(1), 242. https://doi.org/10.1186/s40359-022-00955-w</w:t>
      </w:r>
    </w:p>
    <w:p w14:paraId="33072E8B" w14:textId="77777777" w:rsidR="004036B0" w:rsidRPr="004036B0" w:rsidRDefault="004036B0" w:rsidP="004036B0">
      <w:pPr>
        <w:pStyle w:val="Bibliography"/>
        <w:rPr>
          <w:rFonts w:ascii="Times New Roman" w:hAnsi="Times New Roman" w:cs="Times New Roman"/>
          <w:color w:val="000000"/>
          <w:lang w:val="en-US"/>
        </w:rPr>
      </w:pPr>
      <w:r w:rsidRPr="004036B0">
        <w:rPr>
          <w:rFonts w:ascii="Times New Roman" w:hAnsi="Times New Roman" w:cs="Times New Roman"/>
          <w:color w:val="000000"/>
          <w:lang w:val="en-US"/>
        </w:rPr>
        <w:t xml:space="preserve">Yadegari, I., Bohm, E., Ayilara, O. F., Zhang, L., Sawatzky, R., Sajobi, T. T., &amp; Lix, L. M. (2019). Differential item functioning of the SF-12 in a population-based regional joint replacement registry. </w:t>
      </w:r>
      <w:r w:rsidRPr="004036B0">
        <w:rPr>
          <w:rFonts w:ascii="Times New Roman" w:hAnsi="Times New Roman" w:cs="Times New Roman"/>
          <w:i/>
          <w:iCs/>
          <w:color w:val="000000"/>
          <w:lang w:val="en-US"/>
        </w:rPr>
        <w:t>Health and Quality of Life Outcomes</w:t>
      </w:r>
      <w:r w:rsidRPr="004036B0">
        <w:rPr>
          <w:rFonts w:ascii="Times New Roman" w:hAnsi="Times New Roman" w:cs="Times New Roman"/>
          <w:color w:val="000000"/>
          <w:lang w:val="en-US"/>
        </w:rPr>
        <w:t xml:space="preserve">, </w:t>
      </w:r>
      <w:r w:rsidRPr="004036B0">
        <w:rPr>
          <w:rFonts w:ascii="Times New Roman" w:hAnsi="Times New Roman" w:cs="Times New Roman"/>
          <w:i/>
          <w:iCs/>
          <w:color w:val="000000"/>
          <w:lang w:val="en-US"/>
        </w:rPr>
        <w:t>17</w:t>
      </w:r>
      <w:r w:rsidRPr="004036B0">
        <w:rPr>
          <w:rFonts w:ascii="Times New Roman" w:hAnsi="Times New Roman" w:cs="Times New Roman"/>
          <w:color w:val="000000"/>
          <w:lang w:val="en-US"/>
        </w:rPr>
        <w:t>(1), 114. https://doi.org/10.1186/s12955-019-1166-1</w:t>
      </w:r>
    </w:p>
    <w:p w14:paraId="24A18DDF" w14:textId="229E2D21" w:rsidR="00F2292C" w:rsidRPr="00EA6050" w:rsidRDefault="00F2292C" w:rsidP="0052207D">
      <w:pPr>
        <w:spacing w:line="480" w:lineRule="auto"/>
        <w:rPr>
          <w:rFonts w:ascii="Times New Roman" w:eastAsia="Times New Roman" w:hAnsi="Times New Roman" w:cs="Times New Roman"/>
          <w:color w:val="1C1C1C"/>
        </w:rPr>
      </w:pPr>
      <w:r>
        <w:rPr>
          <w:rFonts w:ascii="Times New Roman" w:eastAsia="Times New Roman" w:hAnsi="Times New Roman" w:cs="Times New Roman"/>
          <w:color w:val="1C1C1C"/>
        </w:rPr>
        <w:fldChar w:fldCharType="end"/>
      </w:r>
    </w:p>
    <w:p w14:paraId="258E70F2" w14:textId="77777777" w:rsidR="0052207D" w:rsidRDefault="0052207D"/>
    <w:sectPr w:rsidR="0052207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07D"/>
    <w:rsid w:val="000539D5"/>
    <w:rsid w:val="000620FC"/>
    <w:rsid w:val="000F137D"/>
    <w:rsid w:val="00143F4F"/>
    <w:rsid w:val="00201BBE"/>
    <w:rsid w:val="003773C3"/>
    <w:rsid w:val="003C5EB7"/>
    <w:rsid w:val="003D6659"/>
    <w:rsid w:val="00402DCB"/>
    <w:rsid w:val="004036B0"/>
    <w:rsid w:val="0052207D"/>
    <w:rsid w:val="00600AA9"/>
    <w:rsid w:val="007A013C"/>
    <w:rsid w:val="00812BF8"/>
    <w:rsid w:val="00851410"/>
    <w:rsid w:val="009662CD"/>
    <w:rsid w:val="00C11B3D"/>
    <w:rsid w:val="00F229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B529BDF"/>
  <w15:chartTrackingRefBased/>
  <w15:docId w15:val="{0A893AD9-0835-E745-9798-447E211E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07D"/>
  </w:style>
  <w:style w:type="paragraph" w:styleId="Heading1">
    <w:name w:val="heading 1"/>
    <w:basedOn w:val="Normal"/>
    <w:next w:val="Normal"/>
    <w:link w:val="Heading1Char"/>
    <w:uiPriority w:val="9"/>
    <w:qFormat/>
    <w:rsid w:val="005220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0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0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0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0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0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0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0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0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0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0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0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0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0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0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0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0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07D"/>
    <w:rPr>
      <w:rFonts w:eastAsiaTheme="majorEastAsia" w:cstheme="majorBidi"/>
      <w:color w:val="272727" w:themeColor="text1" w:themeTint="D8"/>
    </w:rPr>
  </w:style>
  <w:style w:type="paragraph" w:styleId="Title">
    <w:name w:val="Title"/>
    <w:basedOn w:val="Normal"/>
    <w:next w:val="Normal"/>
    <w:link w:val="TitleChar"/>
    <w:uiPriority w:val="10"/>
    <w:qFormat/>
    <w:rsid w:val="00522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0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0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0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07D"/>
    <w:pPr>
      <w:spacing w:before="160"/>
      <w:jc w:val="center"/>
    </w:pPr>
    <w:rPr>
      <w:i/>
      <w:iCs/>
      <w:color w:val="404040" w:themeColor="text1" w:themeTint="BF"/>
    </w:rPr>
  </w:style>
  <w:style w:type="character" w:customStyle="1" w:styleId="QuoteChar">
    <w:name w:val="Quote Char"/>
    <w:basedOn w:val="DefaultParagraphFont"/>
    <w:link w:val="Quote"/>
    <w:uiPriority w:val="29"/>
    <w:rsid w:val="0052207D"/>
    <w:rPr>
      <w:i/>
      <w:iCs/>
      <w:color w:val="404040" w:themeColor="text1" w:themeTint="BF"/>
    </w:rPr>
  </w:style>
  <w:style w:type="paragraph" w:styleId="ListParagraph">
    <w:name w:val="List Paragraph"/>
    <w:basedOn w:val="Normal"/>
    <w:uiPriority w:val="34"/>
    <w:qFormat/>
    <w:rsid w:val="0052207D"/>
    <w:pPr>
      <w:ind w:left="720"/>
      <w:contextualSpacing/>
    </w:pPr>
  </w:style>
  <w:style w:type="character" w:styleId="IntenseEmphasis">
    <w:name w:val="Intense Emphasis"/>
    <w:basedOn w:val="DefaultParagraphFont"/>
    <w:uiPriority w:val="21"/>
    <w:qFormat/>
    <w:rsid w:val="0052207D"/>
    <w:rPr>
      <w:i/>
      <w:iCs/>
      <w:color w:val="0F4761" w:themeColor="accent1" w:themeShade="BF"/>
    </w:rPr>
  </w:style>
  <w:style w:type="paragraph" w:styleId="IntenseQuote">
    <w:name w:val="Intense Quote"/>
    <w:basedOn w:val="Normal"/>
    <w:next w:val="Normal"/>
    <w:link w:val="IntenseQuoteChar"/>
    <w:uiPriority w:val="30"/>
    <w:qFormat/>
    <w:rsid w:val="005220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07D"/>
    <w:rPr>
      <w:i/>
      <w:iCs/>
      <w:color w:val="0F4761" w:themeColor="accent1" w:themeShade="BF"/>
    </w:rPr>
  </w:style>
  <w:style w:type="character" w:styleId="IntenseReference">
    <w:name w:val="Intense Reference"/>
    <w:basedOn w:val="DefaultParagraphFont"/>
    <w:uiPriority w:val="32"/>
    <w:qFormat/>
    <w:rsid w:val="0052207D"/>
    <w:rPr>
      <w:b/>
      <w:bCs/>
      <w:smallCaps/>
      <w:color w:val="0F4761" w:themeColor="accent1" w:themeShade="BF"/>
      <w:spacing w:val="5"/>
    </w:rPr>
  </w:style>
  <w:style w:type="table" w:styleId="TableGrid">
    <w:name w:val="Table Grid"/>
    <w:basedOn w:val="TableNormal"/>
    <w:uiPriority w:val="39"/>
    <w:rsid w:val="0052207D"/>
    <w:pPr>
      <w:widowControl w:val="0"/>
      <w:spacing w:after="0" w:line="240" w:lineRule="auto"/>
    </w:pPr>
    <w:rPr>
      <w:rFonts w:ascii="Times New Roman" w:eastAsia="Times New Roman" w:hAnsi="Times New Roman"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2292C"/>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536</Words>
  <Characters>2989</Characters>
  <Application>Microsoft Office Word</Application>
  <DocSecurity>0</DocSecurity>
  <Lines>112</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 Jacques</dc:creator>
  <cp:keywords/>
  <dc:description/>
  <cp:lastModifiedBy>Queen Jacques</cp:lastModifiedBy>
  <cp:revision>4</cp:revision>
  <dcterms:created xsi:type="dcterms:W3CDTF">2025-12-27T22:24:00Z</dcterms:created>
  <dcterms:modified xsi:type="dcterms:W3CDTF">2026-01-08T01:55:00Z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id="z31AgLQe"/&gt;&lt;style id="http://www.zotero.org/styles/apa" locale="en-CA" hasBibliography="1" bibliographyStyleHasBeenSet="1"/&gt;&lt;prefs&gt;&lt;pref name="fieldType" value="Field"/&gt;&lt;/prefs&gt;&lt;/data&gt;</vt:lpwstr>
  </property>
</Properties>
</file>