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07B0A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drawing>
          <wp:inline distT="0" distB="0" distL="114300" distR="114300">
            <wp:extent cx="5263515" cy="4159885"/>
            <wp:effectExtent l="0" t="0" r="13335" b="12065"/>
            <wp:docPr id="12" name="图片 12" descr="1.DHRS3组图0419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.DHRS3组图0419_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8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Figure S1 Mendelian randomization study investigating the causal association between DHRS3 (ENSG00000162496) expression and Malignant neoplasm of connective and soft tissue.</w:t>
      </w:r>
      <w:r>
        <w:rPr>
          <w:rFonts w:hint="default" w:ascii="Arial" w:hAnsi="Arial" w:cs="Arial"/>
          <w:sz w:val="24"/>
          <w:szCs w:val="24"/>
        </w:rPr>
        <w:t xml:space="preserve"> A: Scatter plots showed the genetic associations of DHRS3 and Malignant neoplasm of connective and soft tissue. B: Detailed characteristics of SNPs. C: leave-one-out plots of DHRS3 and Malignant neoplasm of connective and soft tissue. D: Forest plots of SNPs associated with DHRS3 and Malignant neoplasm of connective and soft tissue.</w:t>
      </w:r>
    </w:p>
    <w:p w14:paraId="2824107E">
      <w:pPr>
        <w:spacing w:line="360" w:lineRule="auto"/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</w:pP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drawing>
          <wp:inline distT="0" distB="0" distL="114300" distR="114300">
            <wp:extent cx="5270500" cy="6125210"/>
            <wp:effectExtent l="0" t="0" r="6350" b="8890"/>
            <wp:docPr id="18" name="图片 18" descr="PDF合并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PDF合并_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2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A12BC">
      <w:pPr>
        <w:spacing w:line="360" w:lineRule="auto"/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</w:pPr>
      <w:r>
        <w:rPr>
          <w:rStyle w:val="6"/>
          <w:rFonts w:hint="default" w:ascii="Arial" w:hAnsi="Arial" w:eastAsia="宋体" w:cs="Arial"/>
          <w:bCs/>
          <w:sz w:val="24"/>
          <w:szCs w:val="24"/>
          <w:shd w:val="clear" w:color="auto" w:fill="FCFCFC"/>
        </w:rPr>
        <w:t>Figure S2. Upregulated DHRS3 expression in HCC tissues with high tumor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</w:t>
      </w:r>
      <w:r>
        <w:rPr>
          <w:rStyle w:val="6"/>
          <w:rFonts w:hint="default" w:ascii="Arial" w:hAnsi="Arial" w:eastAsia="宋体" w:cs="Arial"/>
          <w:bCs/>
          <w:sz w:val="24"/>
          <w:szCs w:val="24"/>
          <w:shd w:val="clear" w:color="auto" w:fill="FCFCFC"/>
        </w:rPr>
        <w:t xml:space="preserve">mutational burden (TMB) or microsatellite instability (MSI). </w:t>
      </w:r>
      <w:r>
        <w:rPr>
          <w:rStyle w:val="6"/>
          <w:rFonts w:hint="eastAsia" w:ascii="Arial" w:hAnsi="Arial" w:eastAsia="宋体" w:cs="Arial"/>
          <w:bCs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default" w:ascii="Arial" w:hAnsi="Arial" w:eastAsia="宋体" w:cs="Arial"/>
          <w:b/>
          <w:bCs/>
          <w:sz w:val="24"/>
          <w:szCs w:val="24"/>
          <w:shd w:val="clear" w:color="auto" w:fill="FCFCFC"/>
        </w:rPr>
        <w:t>A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IHC analysis showed increased DHRS3 protein expression in HCC tissues compared with adjacent non-tumor tissues.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default" w:ascii="Arial" w:hAnsi="Arial" w:eastAsia="宋体" w:cs="Arial"/>
          <w:b/>
          <w:bCs/>
          <w:sz w:val="24"/>
          <w:szCs w:val="24"/>
          <w:shd w:val="clear" w:color="auto" w:fill="FCFCFC"/>
        </w:rPr>
        <w:t>B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DHRS3 expression in TCGA-LIHC cohort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 xml:space="preserve"> (n=373)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was positively correlated with patient age (left: DHRS3 expression differences between high/low age groups; right: Spearman correlation analysis).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default" w:ascii="Arial" w:hAnsi="Arial" w:eastAsia="宋体" w:cs="Arial"/>
          <w:b/>
          <w:bCs/>
          <w:sz w:val="24"/>
          <w:szCs w:val="24"/>
          <w:shd w:val="clear" w:color="auto" w:fill="FCFCFC"/>
        </w:rPr>
        <w:t>C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Elevated DHRS3 expression in male HCC patients (TCGA-LIHC).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default" w:ascii="Arial" w:hAnsi="Arial" w:eastAsia="宋体" w:cs="Arial"/>
          <w:b/>
          <w:bCs/>
          <w:sz w:val="24"/>
          <w:szCs w:val="24"/>
          <w:shd w:val="clear" w:color="auto" w:fill="FCFCFC"/>
        </w:rPr>
        <w:t>D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No association between DHRS3 expression and TNM staging in TCGA-LIHC cohort.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default" w:ascii="Arial" w:hAnsi="Arial" w:eastAsia="宋体" w:cs="Arial"/>
          <w:b/>
          <w:bCs/>
          <w:sz w:val="24"/>
          <w:szCs w:val="24"/>
          <w:shd w:val="clear" w:color="auto" w:fill="FCFCFC"/>
        </w:rPr>
        <w:t>E-H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IHC validation in clinical HCC specimens confirmed DHRS3 upregulation in older patients (E), but no correlation with sex (F), TNM stage (G), or T stage (H).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(</w:t>
      </w:r>
      <w:r>
        <w:rPr>
          <w:rStyle w:val="6"/>
          <w:rFonts w:hint="eastAsia" w:ascii="Arial" w:hAnsi="Arial" w:eastAsia="宋体" w:cs="Arial"/>
          <w:b/>
          <w:bCs/>
          <w:sz w:val="24"/>
          <w:szCs w:val="24"/>
          <w:shd w:val="clear" w:color="auto" w:fill="FCFCFC"/>
          <w:lang w:val="en-US" w:eastAsia="zh-CN"/>
        </w:rPr>
        <w:t>I,J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DHRS3 expression in TCGA-LIHC cohort significantly correlated with MSI (I) and tumor TMB (J) (left: DHRS3 expression differences between high/low MSI/TMB groups; right: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 xml:space="preserve"> 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Spearman correlation analysis).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 xml:space="preserve"> O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ne-way ANOVA test (B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,C,E,F,I,J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) 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 xml:space="preserve">or 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Kruskal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>-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Wallis</w:t>
      </w:r>
      <w:r>
        <w:rPr>
          <w:rStyle w:val="6"/>
          <w:rFonts w:hint="eastAsia" w:ascii="Arial" w:hAnsi="Arial" w:eastAsia="宋体" w:cs="Arial"/>
          <w:b w:val="0"/>
          <w:sz w:val="24"/>
          <w:szCs w:val="24"/>
          <w:shd w:val="clear" w:color="auto" w:fill="FCFCFC"/>
          <w:lang w:val="en-US" w:eastAsia="zh-CN"/>
        </w:rPr>
        <w:t xml:space="preserve"> test (D,G,H)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</w:t>
      </w:r>
      <w:r>
        <w:rPr>
          <w:rFonts w:ascii="Arial" w:hAnsi="Arial" w:eastAsia="Segoe UI" w:cs="Arial"/>
          <w:sz w:val="24"/>
          <w:shd w:val="clear" w:color="auto" w:fill="FCFCFC"/>
        </w:rPr>
        <w:t>were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used for statistical analysis..</w:t>
      </w:r>
      <w:bookmarkStart w:id="0" w:name="_GoBack"/>
      <w:bookmarkEnd w:id="0"/>
    </w:p>
    <w:p w14:paraId="70687B0A">
      <w:pPr>
        <w:pStyle w:val="3"/>
        <w:widowControl/>
        <w:spacing w:before="150" w:beforeAutospacing="0" w:afterAutospacing="0" w:line="360" w:lineRule="auto"/>
        <w:textAlignment w:val="baseline"/>
        <w:rPr>
          <w:rStyle w:val="6"/>
          <w:rFonts w:hint="default" w:ascii="Arial" w:hAnsi="Arial" w:eastAsia="宋体" w:cs="Arial"/>
          <w:bCs/>
          <w:sz w:val="24"/>
          <w:szCs w:val="24"/>
        </w:rPr>
      </w:pPr>
      <w:r>
        <w:drawing>
          <wp:inline distT="0" distB="0" distL="114300" distR="114300">
            <wp:extent cx="5269230" cy="2402840"/>
            <wp:effectExtent l="0" t="0" r="1270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51A87">
      <w:pPr>
        <w:spacing w:line="360" w:lineRule="auto"/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</w:pPr>
      <w:r>
        <w:rPr>
          <w:rStyle w:val="6"/>
          <w:rFonts w:hint="default" w:ascii="Arial" w:hAnsi="Arial" w:eastAsia="Segoe UI" w:cs="Arial"/>
          <w:bCs/>
          <w:sz w:val="24"/>
          <w:szCs w:val="24"/>
        </w:rPr>
        <w:t>Fig</w:t>
      </w:r>
      <w:r>
        <w:rPr>
          <w:rStyle w:val="6"/>
          <w:rFonts w:hint="default" w:ascii="Arial" w:hAnsi="Arial" w:eastAsia="宋体" w:cs="Arial"/>
          <w:bCs/>
          <w:sz w:val="24"/>
          <w:szCs w:val="24"/>
        </w:rPr>
        <w:t>ure</w:t>
      </w:r>
      <w:r>
        <w:rPr>
          <w:rStyle w:val="6"/>
          <w:rFonts w:hint="default" w:ascii="Arial" w:hAnsi="Arial" w:eastAsia="Segoe UI" w:cs="Arial"/>
          <w:bCs/>
          <w:sz w:val="24"/>
          <w:szCs w:val="24"/>
        </w:rPr>
        <w:t xml:space="preserve"> S3. DHRS3 overexpression enhances SEMA4A expression and inhibits endothelial cell migration.</w:t>
      </w:r>
      <w:r>
        <w:rPr>
          <w:rStyle w:val="6"/>
          <w:rFonts w:hint="default" w:ascii="Arial" w:hAnsi="Arial" w:eastAsia="宋体" w:cs="Arial"/>
          <w:bCs/>
          <w:sz w:val="24"/>
          <w:szCs w:val="24"/>
        </w:rPr>
        <w:t xml:space="preserve"> </w:t>
      </w:r>
      <w:r>
        <w:rPr>
          <w:rStyle w:val="6"/>
          <w:rFonts w:hint="eastAsia" w:ascii="Arial" w:hAnsi="Arial" w:eastAsia="宋体" w:cs="Arial"/>
          <w:bCs/>
          <w:sz w:val="24"/>
          <w:szCs w:val="24"/>
          <w:lang w:val="en-US" w:eastAsia="zh-CN"/>
        </w:rPr>
        <w:t>(</w:t>
      </w:r>
      <w:r>
        <w:rPr>
          <w:rFonts w:hint="default" w:ascii="Arial" w:hAnsi="Arial" w:eastAsia="Segoe UI" w:cs="Arial"/>
          <w:b/>
          <w:bCs/>
          <w:sz w:val="24"/>
          <w:szCs w:val="24"/>
        </w:rPr>
        <w:t>A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)</w:t>
      </w:r>
      <w:r>
        <w:rPr>
          <w:rFonts w:hint="default" w:ascii="Arial" w:hAnsi="Arial" w:eastAsia="Segoe UI" w:cs="Arial"/>
          <w:sz w:val="24"/>
          <w:szCs w:val="24"/>
        </w:rPr>
        <w:t xml:space="preserve"> RT-qPCR analysis of SEMA4A mRNA levels in SK-HEP-1 cells after DHRS3 overexpression</w:t>
      </w:r>
      <w:r>
        <w:rPr>
          <w:rFonts w:hint="default" w:ascii="Arial" w:hAnsi="Arial" w:eastAsia="宋体" w:cs="Arial"/>
          <w:sz w:val="24"/>
          <w:szCs w:val="24"/>
        </w:rPr>
        <w:t xml:space="preserve"> (n=3). 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(</w:t>
      </w:r>
      <w:r>
        <w:rPr>
          <w:rFonts w:hint="default" w:ascii="Arial" w:hAnsi="Arial" w:eastAsia="Segoe UI" w:cs="Arial"/>
          <w:b/>
          <w:bCs/>
          <w:sz w:val="24"/>
          <w:szCs w:val="24"/>
        </w:rPr>
        <w:t>B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)</w:t>
      </w:r>
      <w:r>
        <w:rPr>
          <w:rFonts w:hint="default" w:ascii="Arial" w:hAnsi="Arial" w:eastAsia="Segoe UI" w:cs="Arial"/>
          <w:sz w:val="24"/>
          <w:szCs w:val="24"/>
        </w:rPr>
        <w:t xml:space="preserve"> </w:t>
      </w:r>
      <w:r>
        <w:rPr>
          <w:rFonts w:hint="default" w:ascii="Arial" w:hAnsi="Arial" w:eastAsia="宋体" w:cs="Arial"/>
          <w:sz w:val="24"/>
          <w:szCs w:val="24"/>
        </w:rPr>
        <w:t>W</w:t>
      </w:r>
      <w:r>
        <w:rPr>
          <w:rFonts w:hint="default" w:ascii="Arial" w:hAnsi="Arial" w:eastAsia="Segoe UI" w:cs="Arial"/>
          <w:sz w:val="24"/>
          <w:szCs w:val="24"/>
        </w:rPr>
        <w:t>ound healing assay quantifying migration capacity of DHRS3-overexpressing SK-HEP-1 cells</w:t>
      </w:r>
      <w:r>
        <w:rPr>
          <w:rFonts w:hint="default" w:ascii="Arial" w:hAnsi="Arial" w:eastAsia="宋体" w:cs="Arial"/>
          <w:sz w:val="24"/>
          <w:szCs w:val="24"/>
        </w:rPr>
        <w:t xml:space="preserve"> (n=3)</w:t>
      </w:r>
      <w:r>
        <w:rPr>
          <w:rFonts w:hint="default" w:ascii="Arial" w:hAnsi="Arial" w:eastAsia="Segoe UI" w:cs="Arial"/>
          <w:sz w:val="24"/>
          <w:szCs w:val="24"/>
        </w:rPr>
        <w:t>.</w:t>
      </w:r>
      <w:r>
        <w:rPr>
          <w:rFonts w:hint="default" w:ascii="Arial" w:hAnsi="Arial" w:eastAsia="宋体" w:cs="Arial"/>
          <w:sz w:val="24"/>
          <w:szCs w:val="24"/>
        </w:rPr>
        <w:t xml:space="preserve"> 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All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experiments were repeated three times.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The d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ata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are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 xml:space="preserve"> presented as mean </w:t>
      </w:r>
      <w:r>
        <w:rPr>
          <w:rStyle w:val="6"/>
          <w:rFonts w:hint="default" w:ascii="Arial" w:hAnsi="Arial" w:eastAsia="Segoe UI" w:cs="Arial"/>
          <w:b w:val="0"/>
          <w:i/>
          <w:iCs/>
          <w:sz w:val="24"/>
          <w:szCs w:val="24"/>
          <w:shd w:val="clear" w:color="auto" w:fill="FCFCFC"/>
        </w:rPr>
        <w:t>± SD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values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.</w:t>
      </w:r>
      <w:r>
        <w:rPr>
          <w:rFonts w:hint="default" w:ascii="Arial" w:hAnsi="Arial" w:eastAsia="宋体" w:cs="Arial"/>
          <w:sz w:val="24"/>
          <w:szCs w:val="24"/>
        </w:rPr>
        <w:t xml:space="preserve"> Student's t-tests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was used for statistical analysis. ***</w:t>
      </w:r>
      <w:r>
        <w:rPr>
          <w:rStyle w:val="6"/>
          <w:rFonts w:hint="default" w:ascii="Arial" w:hAnsi="Arial" w:eastAsia="宋体" w:cs="Arial"/>
          <w:b w:val="0"/>
          <w:i/>
          <w:iCs/>
          <w:sz w:val="24"/>
          <w:szCs w:val="24"/>
          <w:shd w:val="clear" w:color="auto" w:fill="FCFCFC"/>
        </w:rPr>
        <w:t>p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&lt; 0.001.</w:t>
      </w:r>
    </w:p>
    <w:p w14:paraId="65AFEE2C">
      <w:pPr>
        <w:spacing w:line="360" w:lineRule="auto"/>
      </w:pPr>
      <w:r>
        <w:drawing>
          <wp:inline distT="0" distB="0" distL="114300" distR="114300">
            <wp:extent cx="5273040" cy="1851660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508E">
      <w:pPr>
        <w:spacing w:line="360" w:lineRule="auto"/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</w:pPr>
      <w:r>
        <w:rPr>
          <w:rStyle w:val="6"/>
          <w:rFonts w:hint="default" w:ascii="Arial" w:hAnsi="Arial" w:eastAsia="Segoe UI" w:cs="Arial"/>
          <w:bCs/>
          <w:sz w:val="24"/>
          <w:szCs w:val="24"/>
        </w:rPr>
        <w:t xml:space="preserve">Figure S4. DHRS3 knockdown reduces lipid droplet content in </w:t>
      </w:r>
      <w:r>
        <w:rPr>
          <w:rStyle w:val="6"/>
          <w:rFonts w:hint="eastAsia" w:ascii="Arial" w:hAnsi="Arial" w:eastAsia="宋体" w:cs="Arial"/>
          <w:bCs/>
          <w:sz w:val="24"/>
          <w:szCs w:val="24"/>
          <w:lang w:val="en-US" w:eastAsia="zh-CN"/>
        </w:rPr>
        <w:t>HCC</w:t>
      </w:r>
      <w:r>
        <w:rPr>
          <w:rStyle w:val="6"/>
          <w:rFonts w:hint="default" w:ascii="Arial" w:hAnsi="Arial" w:eastAsia="Segoe UI" w:cs="Arial"/>
          <w:bCs/>
          <w:sz w:val="24"/>
          <w:szCs w:val="24"/>
        </w:rPr>
        <w:t xml:space="preserve"> lines.</w:t>
      </w:r>
      <w:r>
        <w:rPr>
          <w:rStyle w:val="6"/>
          <w:rFonts w:hint="default" w:ascii="Arial" w:hAnsi="Arial" w:eastAsia="Segoe UI" w:cs="Arial"/>
          <w:b w:val="0"/>
          <w:bCs w:val="0"/>
          <w:sz w:val="24"/>
          <w:szCs w:val="24"/>
        </w:rPr>
        <w:t xml:space="preserve"> (</w:t>
      </w:r>
      <w:r>
        <w:rPr>
          <w:rStyle w:val="6"/>
          <w:rFonts w:hint="default" w:ascii="Arial" w:hAnsi="Arial" w:eastAsia="Segoe UI" w:cs="Arial"/>
          <w:b/>
          <w:bCs/>
          <w:sz w:val="24"/>
          <w:szCs w:val="24"/>
        </w:rPr>
        <w:t>A</w:t>
      </w:r>
      <w:r>
        <w:rPr>
          <w:rStyle w:val="6"/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 xml:space="preserve">, </w:t>
      </w:r>
      <w:r>
        <w:rPr>
          <w:rStyle w:val="6"/>
          <w:rFonts w:hint="default" w:ascii="Arial" w:hAnsi="Arial" w:eastAsia="Segoe UI" w:cs="Arial"/>
          <w:b/>
          <w:bCs/>
          <w:sz w:val="24"/>
          <w:szCs w:val="24"/>
        </w:rPr>
        <w:t>B</w:t>
      </w:r>
      <w:r>
        <w:rPr>
          <w:rStyle w:val="6"/>
          <w:rFonts w:hint="default" w:ascii="Arial" w:hAnsi="Arial" w:eastAsia="Segoe UI" w:cs="Arial"/>
          <w:b w:val="0"/>
          <w:bCs w:val="0"/>
          <w:sz w:val="24"/>
          <w:szCs w:val="24"/>
        </w:rPr>
        <w:t xml:space="preserve">) BODIPY staining was used to detect the lipid droplet content in </w:t>
      </w:r>
      <w:r>
        <w:rPr>
          <w:rStyle w:val="6"/>
          <w:rFonts w:hint="eastAsia" w:ascii="Arial" w:hAnsi="Arial" w:eastAsia="宋体" w:cs="Arial"/>
          <w:b w:val="0"/>
          <w:bCs w:val="0"/>
          <w:sz w:val="24"/>
          <w:szCs w:val="24"/>
          <w:lang w:val="en-US" w:eastAsia="zh-CN"/>
        </w:rPr>
        <w:t>HCC</w:t>
      </w:r>
      <w:r>
        <w:rPr>
          <w:rStyle w:val="6"/>
          <w:rFonts w:hint="default" w:ascii="Arial" w:hAnsi="Arial" w:eastAsia="Segoe UI" w:cs="Arial"/>
          <w:b w:val="0"/>
          <w:bCs w:val="0"/>
          <w:sz w:val="24"/>
          <w:szCs w:val="24"/>
        </w:rPr>
        <w:t xml:space="preserve"> lines Huh-7 (A) and HepG2 (B) upon DHRS3 knockdown</w:t>
      </w:r>
      <w:r>
        <w:rPr>
          <w:rStyle w:val="6"/>
          <w:rFonts w:hint="eastAsia" w:ascii="Arial" w:hAnsi="Arial" w:eastAsia="宋体" w:cs="Arial"/>
          <w:b w:val="0"/>
          <w:bCs w:val="0"/>
          <w:sz w:val="24"/>
          <w:szCs w:val="24"/>
          <w:lang w:val="en-US" w:eastAsia="zh-CN"/>
        </w:rPr>
        <w:t xml:space="preserve"> (n=3)</w:t>
      </w:r>
      <w:r>
        <w:rPr>
          <w:rStyle w:val="6"/>
          <w:rFonts w:hint="default" w:ascii="Arial" w:hAnsi="Arial" w:eastAsia="Segoe UI" w:cs="Arial"/>
          <w:b w:val="0"/>
          <w:bCs w:val="0"/>
          <w:sz w:val="24"/>
          <w:szCs w:val="24"/>
        </w:rPr>
        <w:t>.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The d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ata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are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 xml:space="preserve"> presented as mean </w:t>
      </w:r>
      <w:r>
        <w:rPr>
          <w:rStyle w:val="6"/>
          <w:rFonts w:hint="default" w:ascii="Arial" w:hAnsi="Arial" w:eastAsia="Segoe UI" w:cs="Arial"/>
          <w:b w:val="0"/>
          <w:i/>
          <w:iCs/>
          <w:sz w:val="24"/>
          <w:szCs w:val="24"/>
          <w:shd w:val="clear" w:color="auto" w:fill="FCFCFC"/>
        </w:rPr>
        <w:t>± SD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</w:t>
      </w:r>
      <w:r>
        <w:rPr>
          <w:rStyle w:val="6"/>
          <w:rFonts w:hint="default" w:ascii="Arial" w:hAnsi="Arial" w:eastAsia="Segoe UI" w:cs="Arial"/>
          <w:b w:val="0"/>
          <w:sz w:val="24"/>
          <w:szCs w:val="24"/>
          <w:shd w:val="clear" w:color="auto" w:fill="FCFCFC"/>
        </w:rPr>
        <w:t>values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.</w:t>
      </w:r>
      <w:r>
        <w:rPr>
          <w:rFonts w:hint="default" w:ascii="Arial" w:hAnsi="Arial" w:eastAsia="宋体" w:cs="Arial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U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>npaired</w:t>
      </w:r>
      <w:r>
        <w:rPr>
          <w:rFonts w:hint="default" w:ascii="Arial" w:hAnsi="Arial" w:eastAsia="宋体" w:cs="Arial"/>
          <w:sz w:val="24"/>
          <w:szCs w:val="24"/>
        </w:rPr>
        <w:t xml:space="preserve"> t-tests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was used for statistical analysis. ***</w:t>
      </w:r>
      <w:r>
        <w:rPr>
          <w:rStyle w:val="6"/>
          <w:rFonts w:hint="default" w:ascii="Arial" w:hAnsi="Arial" w:eastAsia="宋体" w:cs="Arial"/>
          <w:b w:val="0"/>
          <w:i/>
          <w:iCs/>
          <w:sz w:val="24"/>
          <w:szCs w:val="24"/>
          <w:shd w:val="clear" w:color="auto" w:fill="FCFCFC"/>
        </w:rPr>
        <w:t>p</w:t>
      </w: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t xml:space="preserve"> &lt; 0.001.</w:t>
      </w:r>
    </w:p>
    <w:p w14:paraId="34ED11FF">
      <w:pPr>
        <w:spacing w:line="360" w:lineRule="auto"/>
        <w:rPr>
          <w:rFonts w:hint="default" w:eastAsia="宋体"/>
          <w:lang w:val="en-US" w:eastAsia="zh-CN"/>
        </w:rPr>
      </w:pPr>
    </w:p>
    <w:p w14:paraId="27976CB0">
      <w:pP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</w:pPr>
      <w:r>
        <w:rPr>
          <w:rStyle w:val="6"/>
          <w:rFonts w:hint="default" w:ascii="Arial" w:hAnsi="Arial" w:eastAsia="宋体" w:cs="Arial"/>
          <w:b w:val="0"/>
          <w:sz w:val="24"/>
          <w:szCs w:val="24"/>
          <w:shd w:val="clear" w:color="auto" w:fill="FCFCFC"/>
        </w:rPr>
        <w:br w:type="page"/>
      </w:r>
    </w:p>
    <w:p w14:paraId="11C73FCD">
      <w:pPr>
        <w:spacing w:line="360" w:lineRule="auto"/>
        <w:rPr>
          <w:rFonts w:hint="default" w:ascii="Arial" w:hAnsi="Arial" w:cs="Arial"/>
          <w:b/>
          <w:bCs/>
          <w:sz w:val="24"/>
          <w:szCs w:val="24"/>
          <w:highlight w:val="yellow"/>
        </w:rPr>
      </w:pPr>
      <w:r>
        <w:rPr>
          <w:rFonts w:hint="default" w:ascii="Arial" w:hAnsi="Arial" w:cs="Arial"/>
          <w:b/>
          <w:bCs/>
          <w:sz w:val="24"/>
          <w:szCs w:val="24"/>
        </w:rPr>
        <w:t>Table S1 The specific clinical characteristics of the patients</w:t>
      </w:r>
    </w:p>
    <w:tbl>
      <w:tblPr>
        <w:tblStyle w:val="4"/>
        <w:tblW w:w="50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0"/>
        <w:gridCol w:w="1458"/>
      </w:tblGrid>
      <w:tr w14:paraId="7B00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51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05301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Characteristics</w:t>
            </w:r>
          </w:p>
        </w:tc>
        <w:tc>
          <w:tcPr>
            <w:tcW w:w="155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B9A9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2DD2D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</w:trPr>
        <w:tc>
          <w:tcPr>
            <w:tcW w:w="351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3DC9E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Sex (No. (%))</w:t>
            </w:r>
          </w:p>
        </w:tc>
        <w:tc>
          <w:tcPr>
            <w:tcW w:w="1552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A723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1FFEF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8654A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254F7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12(15)</w:t>
            </w:r>
          </w:p>
        </w:tc>
      </w:tr>
      <w:tr w14:paraId="38DA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A9AE6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83FAC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68(85)</w:t>
            </w:r>
          </w:p>
        </w:tc>
      </w:tr>
      <w:tr w14:paraId="01594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D11C4C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Age (mean (SD))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A243A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54.28 (11.18)</w:t>
            </w:r>
          </w:p>
        </w:tc>
      </w:tr>
      <w:tr w14:paraId="5B97E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0B4AB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pT Stage (No. (%)) a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2F97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77F1F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182EB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49F53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5(6.25)</w:t>
            </w:r>
          </w:p>
        </w:tc>
      </w:tr>
      <w:tr w14:paraId="4A2F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053E6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A71FD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26(32.5)</w:t>
            </w:r>
          </w:p>
        </w:tc>
      </w:tr>
      <w:tr w14:paraId="14D3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646AD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077E4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32(40)</w:t>
            </w:r>
          </w:p>
        </w:tc>
      </w:tr>
      <w:tr w14:paraId="36C3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D5C113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894896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17(21.25)</w:t>
            </w:r>
          </w:p>
        </w:tc>
      </w:tr>
      <w:tr w14:paraId="1AB1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9AE48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pN Stage (No. (%))b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7E84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0BAA1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DA0EC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N0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E1FD7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77(96.25)</w:t>
            </w:r>
          </w:p>
        </w:tc>
      </w:tr>
      <w:tr w14:paraId="2CAF1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D5312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N1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C836B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2(2.5)</w:t>
            </w:r>
          </w:p>
        </w:tc>
      </w:tr>
      <w:tr w14:paraId="7C17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6417D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N2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5EA2FB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1(1.25)</w:t>
            </w:r>
          </w:p>
        </w:tc>
      </w:tr>
      <w:tr w14:paraId="0B4C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6D9AE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pM Stage (No. (%))c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C57B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1197E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6400C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M0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495E21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77(96.25)</w:t>
            </w:r>
          </w:p>
        </w:tc>
      </w:tr>
      <w:tr w14:paraId="220F0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3DFF9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M1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DFE216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3(3.75)</w:t>
            </w:r>
          </w:p>
        </w:tc>
      </w:tr>
      <w:tr w14:paraId="532C2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276D3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pTNM Stage (No. (%))d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F770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 w14:paraId="01206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B55854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1F1F1F"/>
                <w:sz w:val="24"/>
                <w:szCs w:val="24"/>
              </w:rPr>
              <w:t>I/II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7733B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55(68.75)</w:t>
            </w:r>
          </w:p>
        </w:tc>
      </w:tr>
      <w:tr w14:paraId="48722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351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6D8B9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1F1F1F"/>
                <w:sz w:val="24"/>
                <w:szCs w:val="24"/>
              </w:rPr>
              <w:t>III/IV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9AAFEC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25(31.25)</w:t>
            </w:r>
          </w:p>
        </w:tc>
      </w:tr>
      <w:tr w14:paraId="14729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515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AD0C94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1F1F1F"/>
                <w:sz w:val="24"/>
                <w:szCs w:val="24"/>
              </w:rPr>
              <w:t>Follow-up Duration (mean (SD))</w:t>
            </w:r>
          </w:p>
        </w:tc>
        <w:tc>
          <w:tcPr>
            <w:tcW w:w="1552" w:type="dxa"/>
            <w:tcBorders>
              <w:top w:val="nil"/>
              <w:bottom w:val="single" w:color="auto" w:sz="12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AB7F45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27.51 (18.73)</w:t>
            </w:r>
          </w:p>
        </w:tc>
      </w:tr>
    </w:tbl>
    <w:p w14:paraId="3579973B">
      <w:pPr>
        <w:spacing w:line="360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（</w:t>
      </w:r>
      <w:r>
        <w:rPr>
          <w:rFonts w:hint="default" w:ascii="Arial" w:hAnsi="Arial" w:cs="Arial"/>
          <w:sz w:val="24"/>
          <w:szCs w:val="24"/>
          <w:vertAlign w:val="superscript"/>
        </w:rPr>
        <w:t xml:space="preserve">a-d </w:t>
      </w:r>
      <w:r>
        <w:rPr>
          <w:rFonts w:hint="default" w:ascii="Arial" w:hAnsi="Arial" w:cs="Arial"/>
          <w:sz w:val="24"/>
          <w:szCs w:val="24"/>
        </w:rPr>
        <w:t xml:space="preserve">According to the American Joint Committee on Cancer/Union for International Cancer Control 8th staging system.）; </w:t>
      </w:r>
    </w:p>
    <w:p w14:paraId="55DEC1D8"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</w:p>
    <w:p w14:paraId="1BD0846B"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41AAF"/>
    <w:rsid w:val="00C80B8D"/>
    <w:rsid w:val="155B2253"/>
    <w:rsid w:val="246F5E7A"/>
    <w:rsid w:val="2A237EF0"/>
    <w:rsid w:val="33341AAF"/>
    <w:rsid w:val="404D657B"/>
    <w:rsid w:val="71DA3158"/>
    <w:rsid w:val="71DD22F7"/>
    <w:rsid w:val="729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qFormat/>
    <w:uiPriority w:val="0"/>
    <w:rPr>
      <w:rFonts w:hint="default" w:ascii="Georgia" w:hAnsi="Georgia" w:eastAsia="Georgia" w:cs="Georgia"/>
      <w:b/>
      <w:bCs/>
      <w:color w:val="1F1F1F"/>
      <w:sz w:val="21"/>
      <w:szCs w:val="21"/>
      <w:u w:val="none"/>
    </w:rPr>
  </w:style>
  <w:style w:type="character" w:customStyle="1" w:styleId="8">
    <w:name w:val="font21"/>
    <w:basedOn w:val="5"/>
    <w:qFormat/>
    <w:uiPriority w:val="0"/>
    <w:rPr>
      <w:rFonts w:hint="default" w:ascii="Georgia" w:hAnsi="Georgia" w:eastAsia="Georgia" w:cs="Georgia"/>
      <w:color w:val="1F1F1F"/>
      <w:sz w:val="21"/>
      <w:szCs w:val="21"/>
      <w:u w:val="none"/>
    </w:rPr>
  </w:style>
  <w:style w:type="character" w:customStyle="1" w:styleId="9">
    <w:name w:val="font31"/>
    <w:basedOn w:val="5"/>
    <w:uiPriority w:val="0"/>
    <w:rPr>
      <w:rFonts w:hint="default" w:ascii="Georgia" w:hAnsi="Georgia" w:eastAsia="Georgia" w:cs="Georgia"/>
      <w:b/>
      <w:bCs/>
      <w:color w:val="1F1F1F"/>
      <w:sz w:val="18"/>
      <w:szCs w:val="18"/>
      <w:u w:val="none"/>
    </w:rPr>
  </w:style>
  <w:style w:type="character" w:customStyle="1" w:styleId="10">
    <w:name w:val="font41"/>
    <w:basedOn w:val="5"/>
    <w:qFormat/>
    <w:uiPriority w:val="0"/>
    <w:rPr>
      <w:rFonts w:hint="default" w:ascii="Georgia" w:hAnsi="Georgia" w:eastAsia="Georgia" w:cs="Georgia"/>
      <w:color w:val="1F1F1F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</Words>
  <Characters>1249</Characters>
  <Lines>0</Lines>
  <Paragraphs>0</Paragraphs>
  <TotalTime>1</TotalTime>
  <ScaleCrop>false</ScaleCrop>
  <LinksUpToDate>false</LinksUpToDate>
  <CharactersWithSpaces>1452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2025-09-26T01:46:00Z</dcterms:created>
  <dc:creator>胡洪涛</dc:creator>
  <cp:lastModifiedBy>Hongtao Hu</cp:lastModifiedBy>
  <dcterms:modified xsi:type="dcterms:W3CDTF">2026-03-31T01:53:51Z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3BADB4ED054A4B3DADF2AD0436389FE1_11</vt:lpwstr>
  </property>
  <property fmtid="{D5CDD505-2E9C-101B-9397-08002B2CF9AE}" pid="4" name="KSOTemplateDocerSaveRecord">
    <vt:lpwstr>eyJoZGlkIjoiODc0NjRmODBjMTE4YjFiNWQ3YmI3YmM4ZGJhOTY0NWUiLCJ1c2VySWQiOiIyODI0MDg4NzAifQ==</vt:lpwstr>
  </property>
</Properties>
</file>