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B94" w:rsidRDefault="00914C56" w:rsidP="00914C56">
      <w:pPr>
        <w:rPr>
          <w:rFonts w:eastAsia="Times New Roman"/>
          <w:b/>
          <w:sz w:val="20"/>
          <w:szCs w:val="20"/>
          <w:lang w:eastAsia="en-GB"/>
        </w:rPr>
      </w:pPr>
      <w:r w:rsidRPr="00F3611A">
        <w:rPr>
          <w:rFonts w:eastAsia="Times New Roman"/>
          <w:b/>
          <w:sz w:val="20"/>
          <w:szCs w:val="20"/>
          <w:lang w:eastAsia="en-GB"/>
        </w:rPr>
        <w:t xml:space="preserve">STROBE-MR checklist of recommended items to address </w:t>
      </w:r>
      <w:r>
        <w:rPr>
          <w:rFonts w:eastAsia="Times New Roman"/>
          <w:b/>
          <w:sz w:val="20"/>
          <w:szCs w:val="20"/>
          <w:lang w:eastAsia="en-GB"/>
        </w:rPr>
        <w:t>in reports of Mendelian randomiz</w:t>
      </w:r>
      <w:r w:rsidRPr="00F3611A">
        <w:rPr>
          <w:rFonts w:eastAsia="Times New Roman"/>
          <w:b/>
          <w:sz w:val="20"/>
          <w:szCs w:val="20"/>
          <w:lang w:eastAsia="en-GB"/>
        </w:rPr>
        <w:t>ation studies</w:t>
      </w:r>
      <w:r w:rsidR="009854A9">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sidR="009854A9">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1</w:t>
      </w:r>
      <w:r w:rsidR="009854A9">
        <w:rPr>
          <w:rFonts w:eastAsia="Times New Roman"/>
          <w:b/>
          <w:sz w:val="20"/>
          <w:szCs w:val="20"/>
          <w:lang w:eastAsia="en-GB"/>
        </w:rPr>
        <w:fldChar w:fldCharType="end"/>
      </w:r>
      <w:r w:rsidR="009854A9">
        <w:rPr>
          <w:rFonts w:eastAsia="Times New Roman"/>
          <w:b/>
          <w:sz w:val="20"/>
          <w:szCs w:val="20"/>
          <w:lang w:eastAsia="en-GB"/>
        </w:rPr>
        <w:t xml:space="preserve"> </w:t>
      </w:r>
      <w:r w:rsidR="00804498">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sidR="00804498">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2</w:t>
      </w:r>
      <w:r w:rsidR="00804498">
        <w:rPr>
          <w:rFonts w:eastAsia="Times New Roman"/>
          <w:b/>
          <w:sz w:val="20"/>
          <w:szCs w:val="20"/>
          <w:lang w:eastAsia="en-GB"/>
        </w:rPr>
        <w:fldChar w:fldCharType="end"/>
      </w:r>
      <w:r w:rsidRPr="00F3611A">
        <w:rPr>
          <w:rFonts w:eastAsia="Times New Roman"/>
          <w:b/>
          <w:sz w:val="20"/>
          <w:szCs w:val="20"/>
          <w:lang w:eastAsia="en-GB"/>
        </w:rPr>
        <w:t> </w:t>
      </w:r>
    </w:p>
    <w:p w:rsidR="005520ED" w:rsidRPr="005520ED" w:rsidRDefault="005520ED" w:rsidP="00914C56">
      <w:pPr>
        <w:rPr>
          <w:rFonts w:eastAsia="Times New Roman"/>
          <w:b/>
          <w:sz w:val="20"/>
          <w:szCs w:val="20"/>
          <w:lang w:eastAsia="en-GB"/>
        </w:rPr>
      </w:pPr>
    </w:p>
    <w:tbl>
      <w:tblPr>
        <w:tblW w:w="14490" w:type="dxa"/>
        <w:tblLook w:val="04A0" w:firstRow="1" w:lastRow="0" w:firstColumn="1" w:lastColumn="0" w:noHBand="0" w:noVBand="1"/>
      </w:tblPr>
      <w:tblGrid>
        <w:gridCol w:w="587"/>
        <w:gridCol w:w="1822"/>
        <w:gridCol w:w="7041"/>
        <w:gridCol w:w="720"/>
        <w:gridCol w:w="4320"/>
      </w:tblGrid>
      <w:tr w:rsidR="00D8098C" w:rsidRPr="00B853C6" w:rsidTr="003D447D">
        <w:tc>
          <w:tcPr>
            <w:tcW w:w="587" w:type="dxa"/>
            <w:tcBorders>
              <w:top w:val="single" w:sz="4" w:space="0" w:color="auto"/>
              <w:bottom w:val="single" w:sz="6" w:space="0" w:color="7F7F7F"/>
            </w:tcBorders>
          </w:tcPr>
          <w:p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22" w:type="dxa"/>
            <w:tcBorders>
              <w:top w:val="single" w:sz="4" w:space="0" w:color="auto"/>
              <w:bottom w:val="single" w:sz="6" w:space="0" w:color="7F7F7F"/>
            </w:tcBorders>
          </w:tcPr>
          <w:p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7041" w:type="dxa"/>
            <w:tcBorders>
              <w:top w:val="single" w:sz="4" w:space="0" w:color="auto"/>
              <w:bottom w:val="single" w:sz="6" w:space="0" w:color="7F7F7F"/>
            </w:tcBorders>
          </w:tcPr>
          <w:p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720" w:type="dxa"/>
            <w:tcBorders>
              <w:top w:val="single" w:sz="4" w:space="0" w:color="auto"/>
              <w:bottom w:val="single" w:sz="6" w:space="0" w:color="7F7F7F"/>
            </w:tcBorders>
          </w:tcPr>
          <w:p w:rsidR="00D8098C" w:rsidRPr="00F0337F"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c>
          <w:tcPr>
            <w:tcW w:w="4320" w:type="dxa"/>
            <w:tcBorders>
              <w:top w:val="single" w:sz="4" w:space="0" w:color="auto"/>
              <w:bottom w:val="single" w:sz="6" w:space="0" w:color="7F7F7F"/>
            </w:tcBorders>
          </w:tcPr>
          <w:p w:rsidR="00D8098C"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Relevant text from manuscript</w:t>
            </w:r>
          </w:p>
        </w:tc>
      </w:tr>
      <w:tr w:rsidR="00D8098C" w:rsidRPr="00B853C6" w:rsidTr="003D447D">
        <w:tc>
          <w:tcPr>
            <w:tcW w:w="587" w:type="dxa"/>
            <w:tcBorders>
              <w:top w:val="single" w:sz="6" w:space="0" w:color="7F7F7F"/>
              <w:bottom w:val="single" w:sz="6" w:space="0" w:color="7F7F7F"/>
            </w:tcBorders>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22" w:type="dxa"/>
            <w:tcBorders>
              <w:top w:val="single" w:sz="6" w:space="0" w:color="7F7F7F"/>
              <w:bottom w:val="single" w:sz="6" w:space="0" w:color="7F7F7F"/>
            </w:tcBorders>
            <w:shd w:val="clear" w:color="auto" w:fill="EEEEEE"/>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7041" w:type="dxa"/>
            <w:tcBorders>
              <w:top w:val="single" w:sz="6" w:space="0" w:color="7F7F7F"/>
              <w:bottom w:val="single" w:sz="6" w:space="0" w:color="7F7F7F"/>
            </w:tcBorders>
            <w:shd w:val="clear" w:color="auto" w:fill="EEEEEE"/>
          </w:tcPr>
          <w:p w:rsidR="00D8098C" w:rsidRPr="00F0337F" w:rsidRDefault="00D8098C" w:rsidP="006912BF">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sidR="000A4CE8">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sidR="006912BF">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720" w:type="dxa"/>
            <w:tcBorders>
              <w:top w:val="single" w:sz="6" w:space="0" w:color="7F7F7F"/>
              <w:bottom w:val="single" w:sz="6" w:space="0" w:color="7F7F7F"/>
            </w:tcBorders>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1–2</w:t>
            </w:r>
          </w:p>
        </w:tc>
        <w:tc>
          <w:tcPr>
            <w:tcW w:w="4320" w:type="dxa"/>
            <w:tcBorders>
              <w:top w:val="single" w:sz="6" w:space="0" w:color="7F7F7F"/>
              <w:bottom w:val="single" w:sz="6" w:space="0" w:color="7F7F7F"/>
            </w:tcBorders>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Title: Lipid Metabolism–Related Genes Define Prognosis and Therapeutic Targets in Thyroid Cancer; Abstract: “We analyzed GWAS data of blood metabolites and thyroid cancer using Mendelian randomization to identify causal metabolites.”</w:t>
            </w:r>
          </w:p>
        </w:tc>
      </w:tr>
      <w:tr w:rsidR="00D8098C" w:rsidRPr="00B853C6" w:rsidTr="003D447D">
        <w:tc>
          <w:tcPr>
            <w:tcW w:w="587" w:type="dxa"/>
            <w:tcBorders>
              <w:top w:val="single" w:sz="6" w:space="0" w:color="7F7F7F"/>
            </w:tcBorders>
          </w:tcPr>
          <w:p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7041" w:type="dxa"/>
            <w:tcBorders>
              <w:top w:val="single" w:sz="6" w:space="0" w:color="7F7F7F"/>
            </w:tcBorders>
          </w:tcPr>
          <w:p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rsidR="00D8098C" w:rsidRPr="00BA6959" w:rsidRDefault="00D8098C" w:rsidP="00426603">
            <w:pPr>
              <w:spacing w:beforeLines="40" w:before="96" w:afterLines="40" w:after="96" w:line="24" w:lineRule="atLeast"/>
              <w:rPr>
                <w:rFonts w:eastAsia="Times New Roman"/>
                <w:sz w:val="18"/>
                <w:szCs w:val="18"/>
                <w:lang w:val="en-GB" w:eastAsia="en-GB"/>
              </w:rPr>
            </w:pPr>
          </w:p>
        </w:tc>
        <w:tc>
          <w:tcPr>
            <w:tcW w:w="4320" w:type="dxa"/>
            <w:tcBorders>
              <w:top w:val="single" w:sz="6" w:space="0" w:color="7F7F7F"/>
            </w:tcBorders>
          </w:tcPr>
          <w:p w:rsidR="00D8098C" w:rsidRPr="00BA6959"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22" w:type="dxa"/>
            <w:shd w:val="clear" w:color="auto" w:fill="EEEEEE"/>
          </w:tcPr>
          <w:p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7041" w:type="dxa"/>
            <w:shd w:val="clear" w:color="auto" w:fill="EEEEEE"/>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sidR="00514462">
              <w:rPr>
                <w:rFonts w:eastAsia="Times New Roman"/>
                <w:sz w:val="18"/>
                <w:szCs w:val="18"/>
                <w:lang w:val="en-GB" w:eastAsia="en-GB"/>
              </w:rPr>
              <w:t xml:space="preserve">a </w:t>
            </w:r>
            <w:r>
              <w:rPr>
                <w:rFonts w:eastAsia="Times New Roman"/>
                <w:sz w:val="18"/>
                <w:szCs w:val="18"/>
                <w:lang w:val="en-GB" w:eastAsia="en-GB"/>
              </w:rPr>
              <w:t>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720" w:type="dxa"/>
            <w:shd w:val="clear" w:color="auto" w:fill="EEEEEE"/>
          </w:tcPr>
          <w:p w:rsidR="0092231E" w:rsidRPr="004825F9" w:rsidRDefault="00000000">
            <w:pPr>
              <w:rPr>
                <w:rFonts w:eastAsiaTheme="minorEastAsia" w:hint="eastAsia"/>
                <w:sz w:val="18"/>
                <w:szCs w:val="18"/>
                <w:lang w:val="en-GB" w:eastAsia="zh-CN"/>
              </w:rPr>
            </w:pPr>
            <w:r w:rsidRPr="00BA6959">
              <w:rPr>
                <w:rFonts w:eastAsia="Times New Roman"/>
                <w:sz w:val="18"/>
                <w:szCs w:val="18"/>
                <w:lang w:val="en-GB" w:eastAsia="en-GB"/>
              </w:rPr>
              <w:t>3</w:t>
            </w:r>
            <w:r w:rsidR="004825F9">
              <w:rPr>
                <w:rFonts w:eastAsiaTheme="minorEastAsia" w:hint="eastAsia"/>
                <w:sz w:val="18"/>
                <w:szCs w:val="18"/>
                <w:lang w:val="en-GB" w:eastAsia="zh-CN"/>
              </w:rPr>
              <w:t>-4</w:t>
            </w:r>
          </w:p>
        </w:tc>
        <w:tc>
          <w:tcPr>
            <w:tcW w:w="4320" w:type="dxa"/>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Using an integrative approach that combines Mendelian randomization, GWAS data, and single-cell analysis, we have highlighted the role of lipid metabolism in thyroid cancer progression.</w:t>
            </w:r>
          </w:p>
        </w:tc>
      </w:tr>
      <w:tr w:rsidR="00D8098C" w:rsidRPr="00B853C6" w:rsidTr="003D447D">
        <w:tc>
          <w:tcPr>
            <w:tcW w:w="587" w:type="dxa"/>
            <w:tcBorders>
              <w:bottom w:val="single" w:sz="6" w:space="0" w:color="7F7F7F"/>
            </w:tcBorders>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3</w:t>
            </w:r>
          </w:p>
        </w:tc>
        <w:tc>
          <w:tcPr>
            <w:tcW w:w="1822" w:type="dxa"/>
            <w:tcBorders>
              <w:bottom w:val="single" w:sz="6" w:space="0" w:color="7F7F7F"/>
            </w:tcBorders>
          </w:tcPr>
          <w:p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7041" w:type="dxa"/>
            <w:tcBorders>
              <w:bottom w:val="single" w:sz="6" w:space="0" w:color="7F7F7F"/>
            </w:tcBorders>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720" w:type="dxa"/>
            <w:tcBorders>
              <w:bottom w:val="single" w:sz="6" w:space="0" w:color="7F7F7F"/>
            </w:tcBorders>
          </w:tcPr>
          <w:p w:rsidR="0092231E" w:rsidRPr="004825F9" w:rsidRDefault="004825F9">
            <w:pPr>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tcBorders>
              <w:bottom w:val="single" w:sz="6" w:space="0" w:color="7F7F7F"/>
            </w:tcBorders>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Our study contributes significantly … by identifying and validating lipid metabolism-related differential genes. Using an integrative approach that combines Mendelian randomization…</w:t>
            </w:r>
          </w:p>
        </w:tc>
      </w:tr>
      <w:tr w:rsidR="00D8098C" w:rsidRPr="00B853C6" w:rsidTr="003D447D">
        <w:tc>
          <w:tcPr>
            <w:tcW w:w="587" w:type="dxa"/>
            <w:tcBorders>
              <w:top w:val="single" w:sz="6" w:space="0" w:color="7F7F7F"/>
            </w:tcBorders>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EEEEEE"/>
          </w:tcPr>
          <w:p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7041" w:type="dxa"/>
            <w:tcBorders>
              <w:top w:val="single" w:sz="6" w:space="0" w:color="7F7F7F"/>
            </w:tcBorders>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shd w:val="clear" w:color="auto" w:fill="EEEEEE"/>
          </w:tcPr>
          <w:p w:rsidR="00D8098C" w:rsidRPr="00BA6959" w:rsidRDefault="00D8098C" w:rsidP="00426603">
            <w:pPr>
              <w:spacing w:beforeLines="40" w:before="96" w:afterLines="40" w:after="96" w:line="24" w:lineRule="atLeast"/>
              <w:rPr>
                <w:rFonts w:eastAsia="Times New Roman"/>
                <w:sz w:val="18"/>
                <w:szCs w:val="18"/>
                <w:lang w:val="en-GB" w:eastAsia="en-GB"/>
              </w:rPr>
            </w:pPr>
          </w:p>
        </w:tc>
        <w:tc>
          <w:tcPr>
            <w:tcW w:w="4320" w:type="dxa"/>
            <w:tcBorders>
              <w:top w:val="single" w:sz="6" w:space="0" w:color="7F7F7F"/>
            </w:tcBorders>
            <w:shd w:val="clear" w:color="auto" w:fill="EEEEEE"/>
          </w:tcPr>
          <w:p w:rsidR="00D8098C" w:rsidRPr="00BA6959"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22" w:type="dxa"/>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720" w:type="dxa"/>
          </w:tcPr>
          <w:p w:rsidR="0092231E" w:rsidRPr="004825F9" w:rsidRDefault="004825F9">
            <w:pPr>
              <w:rPr>
                <w:rFonts w:eastAsiaTheme="minorEastAsia" w:hint="eastAsia"/>
                <w:sz w:val="18"/>
                <w:szCs w:val="18"/>
                <w:lang w:val="en-GB" w:eastAsia="zh-CN"/>
              </w:rPr>
            </w:pPr>
            <w:r>
              <w:rPr>
                <w:rFonts w:eastAsiaTheme="minorEastAsia" w:hint="eastAsia"/>
                <w:sz w:val="18"/>
                <w:szCs w:val="18"/>
                <w:lang w:val="en-GB" w:eastAsia="zh-CN"/>
              </w:rPr>
              <w:t>4-5</w:t>
            </w:r>
          </w:p>
        </w:tc>
        <w:tc>
          <w:tcPr>
            <w:tcW w:w="4320" w:type="dxa"/>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GWAS data for blood metabolites were obtained from Shin et al.; thyroid tumor GWAS summary statistics from GWAS Catalog (GCST90399736). Sample sizes: 7,824 Europeans for metabolites, 1,339,769 for thyroid tumor GWAS (6,015 cases, 1,333,754 controls). IVs filtered by P&lt;10</w:t>
            </w:r>
            <w:r w:rsidRPr="00BA6959">
              <w:rPr>
                <w:rFonts w:ascii="Cambria Math" w:eastAsia="Times New Roman" w:hAnsi="Cambria Math" w:cs="Cambria Math"/>
                <w:sz w:val="18"/>
                <w:szCs w:val="18"/>
                <w:lang w:val="en-GB" w:eastAsia="en-GB"/>
              </w:rPr>
              <w:t>⁻</w:t>
            </w:r>
            <w:r w:rsidRPr="00BA6959">
              <w:rPr>
                <w:rFonts w:eastAsia="Times New Roman"/>
                <w:sz w:val="18"/>
                <w:szCs w:val="18"/>
                <w:lang w:val="en-GB" w:eastAsia="en-GB"/>
              </w:rPr>
              <w:t>⁵, LD r²&lt;0.001, F-statistics&gt;10; palindromic SNPs discarded. Exposure: blood metabolites; Outcome: thyroid cancer. Ethics: Not applicable (public data).</w:t>
            </w: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shd w:val="clear" w:color="auto" w:fill="FFFFFF"/>
                <w:lang w:val="en-GB" w:eastAsia="en-GB"/>
              </w:rPr>
              <w:t xml:space="preserve">Setting: </w:t>
            </w:r>
            <w:r w:rsidRPr="00A1236D">
              <w:rPr>
                <w:rFonts w:eastAsia="Times New Roman"/>
                <w:sz w:val="18"/>
                <w:szCs w:val="18"/>
                <w:lang w:val="en-GB" w:eastAsia="en-GB"/>
              </w:rPr>
              <w:t xml:space="preserve">Describe the study design and the underlying population, if possible. </w:t>
            </w:r>
            <w:r w:rsidRPr="00A1236D">
              <w:rPr>
                <w:rFonts w:eastAsia="Times New Roman"/>
                <w:sz w:val="18"/>
                <w:szCs w:val="18"/>
                <w:shd w:val="clear" w:color="auto" w:fill="FFFFFF"/>
                <w:lang w:val="en-GB" w:eastAsia="en-GB"/>
              </w:rPr>
              <w:t xml:space="preserve">Describe the setting, locations, and relevant dates, including periods </w:t>
            </w:r>
            <w:r w:rsidRPr="00A1236D">
              <w:rPr>
                <w:rFonts w:eastAsia="Times New Roman"/>
                <w:color w:val="000000"/>
                <w:sz w:val="18"/>
                <w:szCs w:val="18"/>
                <w:shd w:val="clear" w:color="auto" w:fill="FFFFFF"/>
                <w:lang w:val="en-GB" w:eastAsia="en-GB"/>
              </w:rPr>
              <w:t>of recruitment, exposure, follow-up, and data collection, when available.</w:t>
            </w:r>
          </w:p>
        </w:tc>
        <w:tc>
          <w:tcPr>
            <w:tcW w:w="720" w:type="dxa"/>
            <w:shd w:val="clear" w:color="auto" w:fill="EEEEEE"/>
          </w:tcPr>
          <w:p w:rsidR="00D8098C" w:rsidRPr="00BA6959"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Pr="00BA6959"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Pr>
          <w:p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Report the sample size, and whether any power or sample size calculations were carried out prior to the main analysis</w:t>
            </w:r>
            <w:r w:rsidRPr="00A1236D">
              <w:rPr>
                <w:rFonts w:eastAsia="Times New Roman"/>
                <w:sz w:val="18"/>
                <w:szCs w:val="18"/>
                <w:lang w:val="en-GB" w:eastAsia="en-GB"/>
              </w:rPr>
              <w:t> </w:t>
            </w:r>
          </w:p>
        </w:tc>
        <w:tc>
          <w:tcPr>
            <w:tcW w:w="720" w:type="dxa"/>
          </w:tcPr>
          <w:p w:rsidR="00D8098C" w:rsidRPr="00BA6959" w:rsidRDefault="00D8098C" w:rsidP="00426603">
            <w:pPr>
              <w:spacing w:beforeLines="40" w:before="96" w:afterLines="40" w:after="96" w:line="24" w:lineRule="atLeast"/>
              <w:textAlignment w:val="baseline"/>
              <w:rPr>
                <w:rFonts w:eastAsia="Times New Roman"/>
                <w:sz w:val="18"/>
                <w:szCs w:val="18"/>
                <w:lang w:val="en-GB" w:eastAsia="en-GB"/>
              </w:rPr>
            </w:pPr>
          </w:p>
        </w:tc>
        <w:tc>
          <w:tcPr>
            <w:tcW w:w="4320" w:type="dxa"/>
          </w:tcPr>
          <w:p w:rsidR="00D8098C" w:rsidRPr="00BA6959" w:rsidRDefault="00D8098C" w:rsidP="00426603">
            <w:pPr>
              <w:spacing w:beforeLines="40" w:before="96" w:afterLines="40" w:after="96" w:line="24" w:lineRule="atLeast"/>
              <w:textAlignment w:val="baseline"/>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720"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tcPr>
          <w:p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720" w:type="dxa"/>
          </w:tcPr>
          <w:p w:rsidR="00D8098C" w:rsidRPr="00BA6959" w:rsidRDefault="00D8098C" w:rsidP="00426603">
            <w:pPr>
              <w:spacing w:beforeLines="40" w:before="96" w:afterLines="40" w:after="96" w:line="24" w:lineRule="atLeast"/>
              <w:textAlignment w:val="baseline"/>
              <w:rPr>
                <w:rFonts w:eastAsia="Times New Roman"/>
                <w:sz w:val="18"/>
                <w:szCs w:val="18"/>
                <w:lang w:val="en-GB" w:eastAsia="en-GB"/>
              </w:rPr>
            </w:pPr>
          </w:p>
        </w:tc>
        <w:tc>
          <w:tcPr>
            <w:tcW w:w="4320" w:type="dxa"/>
          </w:tcPr>
          <w:p w:rsidR="00D8098C" w:rsidRPr="00BA6959" w:rsidRDefault="00D8098C" w:rsidP="00426603">
            <w:pPr>
              <w:spacing w:beforeLines="40" w:before="96" w:afterLines="40" w:after="96" w:line="24" w:lineRule="atLeast"/>
              <w:textAlignment w:val="baseline"/>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EEEEEE"/>
          </w:tcPr>
          <w:p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Provide details of ethics committee approval and participant informed consent, if relevant</w:t>
            </w:r>
          </w:p>
        </w:tc>
        <w:tc>
          <w:tcPr>
            <w:tcW w:w="720" w:type="dxa"/>
            <w:shd w:val="clear" w:color="auto" w:fill="EEEEEE"/>
          </w:tcPr>
          <w:p w:rsidR="00D8098C" w:rsidRPr="00BA6959" w:rsidRDefault="00D8098C" w:rsidP="00426603">
            <w:pPr>
              <w:spacing w:beforeLines="40" w:before="96" w:afterLines="40" w:after="96" w:line="24" w:lineRule="atLeast"/>
              <w:textAlignment w:val="baseline"/>
              <w:rPr>
                <w:rFonts w:eastAsia="Times New Roman"/>
                <w:sz w:val="18"/>
                <w:szCs w:val="18"/>
                <w:lang w:val="en-GB" w:eastAsia="en-GB"/>
              </w:rPr>
            </w:pPr>
          </w:p>
        </w:tc>
        <w:tc>
          <w:tcPr>
            <w:tcW w:w="4320" w:type="dxa"/>
            <w:shd w:val="clear" w:color="auto" w:fill="EEEEEE"/>
          </w:tcPr>
          <w:p w:rsidR="00D8098C" w:rsidRPr="00BA6959" w:rsidRDefault="00D8098C" w:rsidP="00426603">
            <w:pPr>
              <w:spacing w:beforeLines="40" w:before="96" w:afterLines="40" w:after="96" w:line="24" w:lineRule="atLeast"/>
              <w:textAlignment w:val="baseline"/>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5</w:t>
            </w:r>
          </w:p>
        </w:tc>
        <w:tc>
          <w:tcPr>
            <w:tcW w:w="1822" w:type="dxa"/>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rsidR="00D8098C" w:rsidRPr="00F0337F" w:rsidRDefault="00D8098C" w:rsidP="00426603">
            <w:pPr>
              <w:spacing w:beforeLines="40" w:before="96" w:afterLines="40" w:after="96" w:line="24" w:lineRule="atLeast"/>
              <w:jc w:val="center"/>
              <w:rPr>
                <w:rFonts w:eastAsia="Cambria"/>
                <w:sz w:val="18"/>
                <w:szCs w:val="18"/>
                <w:lang w:val="en-GB" w:eastAsia="en-US"/>
              </w:rPr>
            </w:pPr>
          </w:p>
        </w:tc>
        <w:tc>
          <w:tcPr>
            <w:tcW w:w="7041" w:type="dxa"/>
          </w:tcPr>
          <w:p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720" w:type="dxa"/>
          </w:tcPr>
          <w:p w:rsidR="0092231E" w:rsidRPr="004825F9" w:rsidRDefault="00000000">
            <w:pPr>
              <w:rPr>
                <w:rFonts w:eastAsiaTheme="minorEastAsia" w:hint="eastAsia"/>
                <w:sz w:val="18"/>
                <w:szCs w:val="18"/>
                <w:lang w:val="en-GB" w:eastAsia="zh-CN"/>
              </w:rPr>
            </w:pPr>
            <w:r w:rsidRPr="00BA6959">
              <w:rPr>
                <w:rFonts w:eastAsia="Times New Roman"/>
                <w:sz w:val="18"/>
                <w:szCs w:val="18"/>
                <w:lang w:val="en-GB" w:eastAsia="en-GB"/>
              </w:rPr>
              <w:t>5</w:t>
            </w:r>
          </w:p>
        </w:tc>
        <w:tc>
          <w:tcPr>
            <w:tcW w:w="4320" w:type="dxa"/>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IVW provides robust estimates when genetic variation satisfies the three instrumental variable assumptions. (</w:t>
            </w:r>
            <w:r w:rsidRPr="00BA6959">
              <w:rPr>
                <w:rFonts w:ascii="Segoe UI Symbol" w:eastAsia="Times New Roman" w:hAnsi="Segoe UI Symbol" w:cs="Segoe UI Symbol"/>
                <w:sz w:val="18"/>
                <w:szCs w:val="18"/>
                <w:lang w:val="en-GB" w:eastAsia="en-GB"/>
              </w:rPr>
              <w:t>⚠</w:t>
            </w:r>
            <w:r w:rsidRPr="00BA6959">
              <w:rPr>
                <w:rFonts w:eastAsia="Times New Roman"/>
                <w:sz w:val="18"/>
                <w:szCs w:val="18"/>
                <w:lang w:val="en-GB" w:eastAsia="en-GB"/>
              </w:rPr>
              <w:t xml:space="preserve"> Explicit listing of relevance, independence, and exclusion restriction is recommended.)</w:t>
            </w: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6</w:t>
            </w:r>
          </w:p>
        </w:tc>
        <w:tc>
          <w:tcPr>
            <w:tcW w:w="1822" w:type="dxa"/>
            <w:shd w:val="clear" w:color="auto" w:fill="EEEEEE"/>
          </w:tcPr>
          <w:p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720" w:type="dxa"/>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5–6</w:t>
            </w:r>
          </w:p>
        </w:tc>
        <w:tc>
          <w:tcPr>
            <w:tcW w:w="4320" w:type="dxa"/>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 xml:space="preserve">Main MR method: IVW, complemented by MR Egger, Weighted median, Weighted mode. Cochran’s Q-test for heterogeneity, MR-Egger intercept for pleiotropy, leave-one-out and Steiger tests performed. </w:t>
            </w: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quantitative variables were handled in the analyses (i.e., scale, units, model)</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720"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720"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22" w:type="dxa"/>
            <w:shd w:val="clear" w:color="auto" w:fill="EEEEEE"/>
          </w:tcPr>
          <w:p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rsidR="00D8098C" w:rsidRPr="00A1236D" w:rsidRDefault="00D8098C" w:rsidP="00426603">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720" w:type="dxa"/>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5–6</w:t>
            </w:r>
          </w:p>
        </w:tc>
        <w:tc>
          <w:tcPr>
            <w:tcW w:w="4320" w:type="dxa"/>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Assumptions assessed using heterogeneity (Cochran’s Q), pleiotropy (Egger intercept), Steiger directionality, and leave-one-out sensitivity analyses.</w:t>
            </w:r>
          </w:p>
        </w:tc>
      </w:tr>
      <w:tr w:rsidR="00D8098C" w:rsidRPr="00B853C6" w:rsidTr="003D447D">
        <w:tc>
          <w:tcPr>
            <w:tcW w:w="587" w:type="dxa"/>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8</w:t>
            </w:r>
          </w:p>
        </w:tc>
        <w:tc>
          <w:tcPr>
            <w:tcW w:w="1822" w:type="dxa"/>
          </w:tcPr>
          <w:p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Sensitivity analyses and additional analyses</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720" w:type="dxa"/>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5–6</w:t>
            </w:r>
          </w:p>
        </w:tc>
        <w:tc>
          <w:tcPr>
            <w:tcW w:w="4320" w:type="dxa"/>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Sensitivity analyses included MR-Egger, Weighted median/mode, leave-one-out analysis, Steiger test. Results were consistent across methods, enhancing credibility.</w:t>
            </w: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9</w:t>
            </w:r>
          </w:p>
        </w:tc>
        <w:tc>
          <w:tcPr>
            <w:tcW w:w="1822" w:type="dxa"/>
            <w:shd w:val="clear" w:color="auto" w:fill="EEEEEE"/>
          </w:tcPr>
          <w:p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rsidR="0092231E" w:rsidRPr="004825F9" w:rsidRDefault="004825F9">
            <w:pPr>
              <w:rPr>
                <w:rFonts w:eastAsiaTheme="minorEastAsia" w:hint="eastAsia"/>
                <w:sz w:val="18"/>
                <w:szCs w:val="18"/>
                <w:lang w:val="en-GB" w:eastAsia="zh-CN"/>
              </w:rPr>
            </w:pPr>
            <w:r>
              <w:rPr>
                <w:rFonts w:eastAsiaTheme="minorEastAsia" w:hint="eastAsia"/>
                <w:sz w:val="18"/>
                <w:szCs w:val="18"/>
                <w:lang w:val="en-GB" w:eastAsia="zh-CN"/>
              </w:rPr>
              <w:t>6-7</w:t>
            </w:r>
          </w:p>
        </w:tc>
        <w:tc>
          <w:tcPr>
            <w:tcW w:w="4320" w:type="dxa"/>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 xml:space="preserve">Software: </w:t>
            </w:r>
            <w:bookmarkStart w:id="0" w:name="OLE_LINK2"/>
            <w:r w:rsidRPr="00BA6959">
              <w:rPr>
                <w:rFonts w:eastAsia="Times New Roman"/>
                <w:sz w:val="18"/>
                <w:szCs w:val="18"/>
                <w:lang w:val="en-GB" w:eastAsia="en-GB"/>
              </w:rPr>
              <w:t>R package</w:t>
            </w:r>
            <w:bookmarkEnd w:id="0"/>
            <w:r w:rsidRPr="00BA6959">
              <w:rPr>
                <w:rFonts w:eastAsia="Times New Roman"/>
                <w:sz w:val="18"/>
                <w:szCs w:val="18"/>
                <w:lang w:val="en-GB" w:eastAsia="en-GB"/>
              </w:rPr>
              <w:t xml:space="preserve"> TwoSampleMR (v0.5.8), other R packages (DESeq2, glmnet, survminer, clusterProfiler, etc.). Pre-registration: Not reported.</w:t>
            </w: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tcPr>
          <w:p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Name statistical software and package(s), including version and settings used </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Borders>
              <w:bottom w:val="single" w:sz="6" w:space="0" w:color="7F7F7F"/>
            </w:tcBorders>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Borders>
              <w:bottom w:val="single" w:sz="6" w:space="0" w:color="7F7F7F"/>
            </w:tcBorders>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720" w:type="dxa"/>
            <w:tcBorders>
              <w:bottom w:val="single" w:sz="6" w:space="0" w:color="7F7F7F"/>
            </w:tcBorders>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Borders>
              <w:top w:val="single" w:sz="6" w:space="0" w:color="7F7F7F"/>
            </w:tcBorders>
          </w:tcPr>
          <w:p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7041" w:type="dxa"/>
            <w:tcBorders>
              <w:top w:val="single" w:sz="6" w:space="0" w:color="7F7F7F"/>
            </w:tcBorders>
          </w:tcPr>
          <w:p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rsidR="00D8098C" w:rsidRPr="00BA6959" w:rsidRDefault="00D8098C" w:rsidP="00426603">
            <w:pPr>
              <w:spacing w:beforeLines="40" w:before="96" w:afterLines="40" w:after="96" w:line="24" w:lineRule="atLeast"/>
              <w:rPr>
                <w:rFonts w:eastAsia="Times New Roman"/>
                <w:sz w:val="18"/>
                <w:szCs w:val="18"/>
                <w:lang w:val="en-GB" w:eastAsia="en-GB"/>
              </w:rPr>
            </w:pPr>
          </w:p>
        </w:tc>
        <w:tc>
          <w:tcPr>
            <w:tcW w:w="4320" w:type="dxa"/>
            <w:tcBorders>
              <w:top w:val="single" w:sz="6" w:space="0" w:color="7F7F7F"/>
            </w:tcBorders>
          </w:tcPr>
          <w:p w:rsidR="00D8098C" w:rsidRPr="00BA6959"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22" w:type="dxa"/>
            <w:shd w:val="clear" w:color="auto" w:fill="EEEEEE"/>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rsidR="0092231E" w:rsidRPr="00EA35CB" w:rsidRDefault="00EA35CB">
            <w:pPr>
              <w:rPr>
                <w:rFonts w:eastAsiaTheme="minorEastAsia" w:hint="eastAsia"/>
                <w:sz w:val="18"/>
                <w:szCs w:val="18"/>
                <w:lang w:val="en-GB" w:eastAsia="zh-CN"/>
              </w:rPr>
            </w:pPr>
            <w:r>
              <w:rPr>
                <w:rFonts w:eastAsiaTheme="minorEastAsia" w:hint="eastAsia"/>
                <w:sz w:val="18"/>
                <w:szCs w:val="18"/>
                <w:lang w:val="en-GB" w:eastAsia="zh-CN"/>
              </w:rPr>
              <w:t>11-12</w:t>
            </w:r>
          </w:p>
        </w:tc>
        <w:tc>
          <w:tcPr>
            <w:tcW w:w="4320" w:type="dxa"/>
            <w:shd w:val="clear" w:color="auto" w:fill="EEEEEE"/>
          </w:tcPr>
          <w:p w:rsidR="0092231E" w:rsidRPr="00BA6959" w:rsidRDefault="00EA35CB">
            <w:pPr>
              <w:rPr>
                <w:rFonts w:eastAsia="Times New Roman"/>
                <w:sz w:val="18"/>
                <w:szCs w:val="18"/>
                <w:lang w:val="en-GB" w:eastAsia="en-GB"/>
              </w:rPr>
            </w:pPr>
            <w:r w:rsidRPr="00EA35CB">
              <w:rPr>
                <w:rFonts w:eastAsia="Times New Roman"/>
                <w:sz w:val="18"/>
                <w:szCs w:val="18"/>
                <w:lang w:eastAsia="en-GB"/>
              </w:rPr>
              <w:t>“Causal relationship between blood metabolites and thyroid canc</w:t>
            </w:r>
            <w:r>
              <w:rPr>
                <w:rFonts w:eastAsiaTheme="minorEastAsia" w:hint="eastAsia"/>
                <w:sz w:val="18"/>
                <w:szCs w:val="18"/>
                <w:lang w:eastAsia="zh-CN"/>
              </w:rPr>
              <w:t>er</w:t>
            </w:r>
            <w:r w:rsidRPr="00EA35CB">
              <w:rPr>
                <w:rFonts w:eastAsia="Times New Roman"/>
                <w:sz w:val="18"/>
                <w:szCs w:val="18"/>
                <w:lang w:eastAsia="en-GB"/>
              </w:rPr>
              <w:t>”</w:t>
            </w: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sidR="000A4CE8">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rsidR="00D8098C" w:rsidRPr="00A1236D" w:rsidRDefault="00D8098C" w:rsidP="009E03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summary statistics for phenotypic exposure(s), outcome(s)</w:t>
            </w:r>
            <w:r w:rsidR="000A4CE8">
              <w:rPr>
                <w:rFonts w:eastAsia="Times New Roman"/>
                <w:sz w:val="18"/>
                <w:szCs w:val="18"/>
                <w:lang w:val="en-GB" w:eastAsia="en-GB"/>
              </w:rPr>
              <w:t>,</w:t>
            </w:r>
            <w:r w:rsidRPr="00A1236D">
              <w:rPr>
                <w:rFonts w:eastAsia="Times New Roman"/>
                <w:sz w:val="18"/>
                <w:szCs w:val="18"/>
                <w:lang w:val="en-GB" w:eastAsia="en-GB"/>
              </w:rPr>
              <w:t xml:space="preserve"> and other relevant variables (e.g. means, </w:t>
            </w:r>
            <w:r w:rsidR="009E033F">
              <w:rPr>
                <w:rFonts w:eastAsia="Times New Roman"/>
                <w:sz w:val="18"/>
                <w:szCs w:val="18"/>
                <w:lang w:val="en-GB" w:eastAsia="en-GB"/>
              </w:rPr>
              <w:t>SDs</w:t>
            </w:r>
            <w:r w:rsidRPr="00A1236D">
              <w:rPr>
                <w:rFonts w:eastAsia="Times New Roman"/>
                <w:sz w:val="18"/>
                <w:szCs w:val="18"/>
                <w:lang w:val="en-GB" w:eastAsia="en-GB"/>
              </w:rPr>
              <w:t>, proportions)</w:t>
            </w:r>
          </w:p>
        </w:tc>
        <w:tc>
          <w:tcPr>
            <w:tcW w:w="720"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the data sources include meta-analyses of previous studies, provide the assessments of heterogeneity across these studies</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r w:rsidRPr="009E033F">
              <w:rPr>
                <w:rFonts w:eastAsia="Times New Roman"/>
                <w:sz w:val="18"/>
                <w:szCs w:val="18"/>
                <w:lang w:val="en-GB" w:eastAsia="en-GB"/>
              </w:rPr>
              <w:t xml:space="preserve">For </w:t>
            </w:r>
            <w:r w:rsidRPr="009E033F">
              <w:rPr>
                <w:rFonts w:eastAsia="Times New Roman"/>
                <w:iCs/>
                <w:sz w:val="18"/>
                <w:szCs w:val="18"/>
                <w:lang w:val="en-GB" w:eastAsia="en-GB"/>
              </w:rPr>
              <w:t>two-sample</w:t>
            </w:r>
            <w:r w:rsidRPr="00A1236D">
              <w:rPr>
                <w:rFonts w:eastAsia="Times New Roman"/>
                <w:sz w:val="18"/>
                <w:szCs w:val="18"/>
                <w:lang w:val="en-GB" w:eastAsia="en-GB"/>
              </w:rPr>
              <w:t xml:space="preserve"> </w:t>
            </w:r>
            <w:r w:rsidR="009E033F">
              <w:rPr>
                <w:rFonts w:eastAsia="Times New Roman"/>
                <w:sz w:val="18"/>
                <w:szCs w:val="18"/>
                <w:lang w:val="en-GB" w:eastAsia="en-GB"/>
              </w:rPr>
              <w:t>MR</w:t>
            </w:r>
            <w:r w:rsidRPr="00A1236D">
              <w:rPr>
                <w:rFonts w:eastAsia="Times New Roman"/>
                <w:sz w:val="18"/>
                <w:szCs w:val="18"/>
                <w:lang w:val="en-GB" w:eastAsia="en-GB"/>
              </w:rPr>
              <w:t>:</w:t>
            </w:r>
          </w:p>
          <w:p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   i.  Provide justification of the similarity of the genetic variant-exposure associations between the exposure and outcome samples</w:t>
            </w:r>
          </w:p>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   ii.  Provide information on the number of individuals who overlap between the exposure and outcome studies</w:t>
            </w:r>
          </w:p>
        </w:tc>
        <w:tc>
          <w:tcPr>
            <w:tcW w:w="720"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11</w:t>
            </w:r>
          </w:p>
        </w:tc>
        <w:tc>
          <w:tcPr>
            <w:tcW w:w="1822" w:type="dxa"/>
          </w:tcPr>
          <w:p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rsidR="0092231E" w:rsidRPr="00B170D9" w:rsidRDefault="00B170D9">
            <w:pPr>
              <w:rPr>
                <w:rFonts w:eastAsiaTheme="minorEastAsia" w:hint="eastAsia"/>
                <w:sz w:val="18"/>
                <w:szCs w:val="18"/>
                <w:lang w:val="en-GB" w:eastAsia="zh-CN"/>
              </w:rPr>
            </w:pPr>
            <w:r>
              <w:rPr>
                <w:rFonts w:eastAsiaTheme="minorEastAsia" w:hint="eastAsia"/>
                <w:sz w:val="18"/>
                <w:szCs w:val="18"/>
                <w:lang w:val="en-GB" w:eastAsia="zh-CN"/>
              </w:rPr>
              <w:t>12-1</w:t>
            </w:r>
            <w:r w:rsidR="00FE0A23">
              <w:rPr>
                <w:rFonts w:eastAsiaTheme="minorEastAsia" w:hint="eastAsia"/>
                <w:sz w:val="18"/>
                <w:szCs w:val="18"/>
                <w:lang w:val="en-GB" w:eastAsia="zh-CN"/>
              </w:rPr>
              <w:t>5</w:t>
            </w:r>
          </w:p>
        </w:tc>
        <w:tc>
          <w:tcPr>
            <w:tcW w:w="4320" w:type="dxa"/>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MR estimates: 14 blood metabolites (mainly lipids) showed causal associations with thyroid cancer. Effect sizes presented with forest plots (Fig. 1B).</w:t>
            </w: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associations between genetic variant and exposure, and between genetic variant and outcome, preferably on an interpretable scale</w:t>
            </w:r>
          </w:p>
        </w:tc>
        <w:tc>
          <w:tcPr>
            <w:tcW w:w="720"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Pr>
          <w:p w:rsidR="00D8098C" w:rsidRPr="00A1236D" w:rsidRDefault="00D8098C" w:rsidP="009E03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sidR="009E033F">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relevant, consider translating estimates of relative risk into absolute risk for a meaningful time period</w:t>
            </w:r>
          </w:p>
        </w:tc>
        <w:tc>
          <w:tcPr>
            <w:tcW w:w="720"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12</w:t>
            </w:r>
          </w:p>
        </w:tc>
        <w:tc>
          <w:tcPr>
            <w:tcW w:w="1822" w:type="dxa"/>
            <w:shd w:val="clear" w:color="auto" w:fill="EEEEEE"/>
          </w:tcPr>
          <w:p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rsidR="0092231E" w:rsidRPr="00B170D9" w:rsidRDefault="00B170D9">
            <w:pPr>
              <w:rPr>
                <w:rFonts w:eastAsiaTheme="minorEastAsia" w:hint="eastAsia"/>
                <w:sz w:val="18"/>
                <w:szCs w:val="18"/>
                <w:lang w:val="en-GB" w:eastAsia="zh-CN"/>
              </w:rPr>
            </w:pPr>
            <w:r>
              <w:rPr>
                <w:rFonts w:eastAsiaTheme="minorEastAsia" w:hint="eastAsia"/>
                <w:sz w:val="18"/>
                <w:szCs w:val="18"/>
                <w:lang w:val="en-GB" w:eastAsia="zh-CN"/>
              </w:rPr>
              <w:t>1</w:t>
            </w:r>
            <w:r w:rsidR="00FE0A23">
              <w:rPr>
                <w:rFonts w:eastAsiaTheme="minorEastAsia" w:hint="eastAsia"/>
                <w:sz w:val="18"/>
                <w:szCs w:val="18"/>
                <w:lang w:val="en-GB" w:eastAsia="zh-CN"/>
              </w:rPr>
              <w:t>5-16</w:t>
            </w:r>
          </w:p>
        </w:tc>
        <w:tc>
          <w:tcPr>
            <w:tcW w:w="4320" w:type="dxa"/>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Assumptions assessed by heterogeneity (Cochran’s Q), pleiotropy (Egger intercept), directionality (Steiger test). Plots (funnel, scatter) provided for visualization.</w:t>
            </w: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720"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22" w:type="dxa"/>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rsidR="0092231E" w:rsidRPr="00B170D9" w:rsidRDefault="00B170D9">
            <w:pPr>
              <w:rPr>
                <w:rFonts w:eastAsiaTheme="minorEastAsia" w:hint="eastAsia"/>
                <w:sz w:val="18"/>
                <w:szCs w:val="18"/>
                <w:lang w:val="en-GB" w:eastAsia="zh-CN"/>
              </w:rPr>
            </w:pPr>
            <w:r>
              <w:rPr>
                <w:rFonts w:eastAsiaTheme="minorEastAsia" w:hint="eastAsia"/>
                <w:sz w:val="18"/>
                <w:szCs w:val="18"/>
                <w:lang w:val="en-GB" w:eastAsia="zh-CN"/>
              </w:rPr>
              <w:t>1</w:t>
            </w:r>
            <w:r w:rsidR="00FE0A23">
              <w:rPr>
                <w:rFonts w:eastAsiaTheme="minorEastAsia" w:hint="eastAsia"/>
                <w:sz w:val="18"/>
                <w:szCs w:val="18"/>
                <w:lang w:val="en-GB" w:eastAsia="zh-CN"/>
              </w:rPr>
              <w:t>6-17</w:t>
            </w:r>
          </w:p>
        </w:tc>
        <w:tc>
          <w:tcPr>
            <w:tcW w:w="4320" w:type="dxa"/>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 xml:space="preserve">Sensitivity analyses: leave-one-out, MR-Egger intercept, Steiger directionality. Results robust. </w:t>
            </w: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720"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720"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Borders>
              <w:bottom w:val="single" w:sz="6" w:space="0" w:color="7F7F7F"/>
            </w:tcBorders>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tcBorders>
              <w:bottom w:val="single" w:sz="6" w:space="0" w:color="7F7F7F"/>
            </w:tcBorders>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720" w:type="dxa"/>
            <w:tcBorders>
              <w:bottom w:val="single" w:sz="6" w:space="0" w:color="7F7F7F"/>
            </w:tcBorders>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Borders>
              <w:top w:val="single" w:sz="6" w:space="0" w:color="7F7F7F"/>
            </w:tcBorders>
          </w:tcPr>
          <w:p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DISCUSSION</w:t>
            </w:r>
          </w:p>
        </w:tc>
        <w:tc>
          <w:tcPr>
            <w:tcW w:w="7041" w:type="dxa"/>
            <w:tcBorders>
              <w:top w:val="single" w:sz="6" w:space="0" w:color="7F7F7F"/>
            </w:tcBorders>
          </w:tcPr>
          <w:p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rsidR="00D8098C" w:rsidRPr="00BA6959" w:rsidRDefault="00D8098C" w:rsidP="00426603">
            <w:pPr>
              <w:spacing w:beforeLines="40" w:before="96" w:afterLines="40" w:after="96" w:line="24" w:lineRule="atLeast"/>
              <w:rPr>
                <w:rFonts w:eastAsia="Times New Roman"/>
                <w:sz w:val="18"/>
                <w:szCs w:val="18"/>
                <w:lang w:val="en-GB" w:eastAsia="en-GB"/>
              </w:rPr>
            </w:pPr>
          </w:p>
        </w:tc>
        <w:tc>
          <w:tcPr>
            <w:tcW w:w="4320" w:type="dxa"/>
            <w:tcBorders>
              <w:top w:val="single" w:sz="6" w:space="0" w:color="7F7F7F"/>
            </w:tcBorders>
          </w:tcPr>
          <w:p w:rsidR="00D8098C" w:rsidRPr="00BA6959"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14</w:t>
            </w:r>
          </w:p>
        </w:tc>
        <w:tc>
          <w:tcPr>
            <w:tcW w:w="1822" w:type="dxa"/>
            <w:shd w:val="clear" w:color="auto" w:fill="EEEEEE"/>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7041"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720" w:type="dxa"/>
            <w:shd w:val="clear" w:color="auto" w:fill="EEEEEE"/>
          </w:tcPr>
          <w:p w:rsidR="0092231E" w:rsidRPr="00AA188F" w:rsidRDefault="00AA188F">
            <w:pPr>
              <w:rPr>
                <w:rFonts w:eastAsiaTheme="minorEastAsia" w:hint="eastAsia"/>
                <w:sz w:val="18"/>
                <w:szCs w:val="18"/>
                <w:lang w:val="en-GB" w:eastAsia="zh-CN"/>
              </w:rPr>
            </w:pPr>
            <w:r>
              <w:rPr>
                <w:rFonts w:eastAsiaTheme="minorEastAsia" w:hint="eastAsia"/>
                <w:sz w:val="18"/>
                <w:szCs w:val="18"/>
                <w:lang w:val="en-GB" w:eastAsia="zh-CN"/>
              </w:rPr>
              <w:t>17-18</w:t>
            </w:r>
          </w:p>
        </w:tc>
        <w:tc>
          <w:tcPr>
            <w:tcW w:w="4320" w:type="dxa"/>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Key results: Lipids were the largest class causally associated with thyroid cancer; nine-gene prognostic model constructed; ACBD7 functional assays confirmed oncogenic role.</w:t>
            </w:r>
          </w:p>
        </w:tc>
      </w:tr>
      <w:tr w:rsidR="00D8098C" w:rsidRPr="00B853C6" w:rsidTr="003D447D">
        <w:tc>
          <w:tcPr>
            <w:tcW w:w="587" w:type="dxa"/>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15</w:t>
            </w:r>
          </w:p>
        </w:tc>
        <w:tc>
          <w:tcPr>
            <w:tcW w:w="1822" w:type="dxa"/>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7041" w:type="dxa"/>
          </w:tcPr>
          <w:p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sidRPr="00A1236D">
              <w:rPr>
                <w:rFonts w:eastAsia="Times New Roman"/>
                <w:sz w:val="18"/>
                <w:szCs w:val="18"/>
                <w:shd w:val="clear" w:color="auto" w:fill="FFFFFF"/>
                <w:lang w:val="en-GB" w:eastAsia="en-GB"/>
              </w:rPr>
              <w:t> </w:t>
            </w:r>
          </w:p>
        </w:tc>
        <w:tc>
          <w:tcPr>
            <w:tcW w:w="720" w:type="dxa"/>
          </w:tcPr>
          <w:p w:rsidR="0092231E" w:rsidRPr="00AA188F" w:rsidRDefault="00AA188F">
            <w:pPr>
              <w:rPr>
                <w:rFonts w:eastAsiaTheme="minorEastAsia" w:hint="eastAsia"/>
                <w:sz w:val="18"/>
                <w:szCs w:val="18"/>
                <w:lang w:val="en-GB" w:eastAsia="zh-CN"/>
              </w:rPr>
            </w:pPr>
            <w:r>
              <w:rPr>
                <w:rFonts w:eastAsiaTheme="minorEastAsia" w:hint="eastAsia"/>
                <w:sz w:val="18"/>
                <w:szCs w:val="18"/>
                <w:lang w:val="en-GB" w:eastAsia="zh-CN"/>
              </w:rPr>
              <w:t>18</w:t>
            </w:r>
          </w:p>
        </w:tc>
        <w:tc>
          <w:tcPr>
            <w:tcW w:w="4320" w:type="dxa"/>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 xml:space="preserve">Limitations: Prognostic model needs validation in larger cohorts; in vitro assays require in vivo confirmation. </w:t>
            </w: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16</w:t>
            </w:r>
          </w:p>
        </w:tc>
        <w:tc>
          <w:tcPr>
            <w:tcW w:w="1822" w:type="dxa"/>
            <w:shd w:val="clear" w:color="auto" w:fill="EEEEEE"/>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7041" w:type="dxa"/>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rsidR="0092231E" w:rsidRPr="00AA188F" w:rsidRDefault="00AA188F">
            <w:pPr>
              <w:rPr>
                <w:rFonts w:eastAsiaTheme="minorEastAsia" w:hint="eastAsia"/>
                <w:sz w:val="18"/>
                <w:szCs w:val="18"/>
                <w:lang w:val="en-GB" w:eastAsia="zh-CN"/>
              </w:rPr>
            </w:pPr>
            <w:r>
              <w:rPr>
                <w:rFonts w:eastAsiaTheme="minorEastAsia" w:hint="eastAsia"/>
                <w:sz w:val="18"/>
                <w:szCs w:val="18"/>
                <w:lang w:val="en-GB" w:eastAsia="zh-CN"/>
              </w:rPr>
              <w:t>18-19</w:t>
            </w:r>
          </w:p>
        </w:tc>
        <w:tc>
          <w:tcPr>
            <w:tcW w:w="4320" w:type="dxa"/>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Interpretation: Lipid metabolism contributes to thyroid cancer progression. Results suggest therapeutic potential of ACBD7. Causal interpretation cautious, conditioned on MR assumptions.</w:t>
            </w: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tcPr>
          <w:p w:rsidR="00D8098C" w:rsidRPr="00A1236D" w:rsidRDefault="00D8098C" w:rsidP="00685D31">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and in comparison </w:t>
            </w:r>
            <w:r w:rsidR="00685D31">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720" w:type="dxa"/>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w:t>
            </w:r>
            <w:r w:rsidR="00ED48A3">
              <w:rPr>
                <w:rFonts w:eastAsia="Times New Roman"/>
                <w:sz w:val="18"/>
                <w:szCs w:val="18"/>
                <w:lang w:val="en-GB" w:eastAsia="en-GB"/>
              </w:rPr>
              <w:t xml:space="preserve">only </w:t>
            </w:r>
            <w:r w:rsidRPr="00A1236D">
              <w:rPr>
                <w:rFonts w:eastAsia="Times New Roman"/>
                <w:sz w:val="18"/>
                <w:szCs w:val="18"/>
                <w:lang w:val="en-GB" w:eastAsia="en-GB"/>
              </w:rPr>
              <w:t xml:space="preserve">under certain assumptions </w:t>
            </w:r>
          </w:p>
        </w:tc>
        <w:tc>
          <w:tcPr>
            <w:tcW w:w="720" w:type="dxa"/>
            <w:shd w:val="clear" w:color="auto" w:fill="EEEEEE"/>
          </w:tcPr>
          <w:p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Pr>
          <w:p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Pr>
          <w:p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tcPr>
          <w:p w:rsidR="00D8098C" w:rsidRPr="00A1236D" w:rsidRDefault="00D8098C" w:rsidP="00426603">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720" w:type="dxa"/>
          </w:tcPr>
          <w:p w:rsidR="00D8098C" w:rsidRPr="00A1236D" w:rsidRDefault="00D8098C" w:rsidP="00426603">
            <w:pPr>
              <w:tabs>
                <w:tab w:val="left" w:pos="1350"/>
              </w:tabs>
              <w:spacing w:beforeLines="40" w:before="96" w:afterLines="40" w:after="96" w:line="24" w:lineRule="atLeast"/>
              <w:rPr>
                <w:rFonts w:eastAsia="Times New Roman"/>
                <w:sz w:val="18"/>
                <w:szCs w:val="18"/>
                <w:lang w:val="en-GB" w:eastAsia="en-GB"/>
              </w:rPr>
            </w:pPr>
          </w:p>
        </w:tc>
        <w:tc>
          <w:tcPr>
            <w:tcW w:w="4320" w:type="dxa"/>
          </w:tcPr>
          <w:p w:rsidR="00D8098C" w:rsidRDefault="00D8098C" w:rsidP="00426603">
            <w:pPr>
              <w:tabs>
                <w:tab w:val="left" w:pos="1350"/>
              </w:tabs>
              <w:spacing w:beforeLines="40" w:before="96" w:afterLines="40" w:after="96" w:line="24" w:lineRule="atLeast"/>
              <w:rPr>
                <w:rFonts w:eastAsia="Times New Roman"/>
                <w:sz w:val="18"/>
                <w:szCs w:val="18"/>
                <w:lang w:val="en-GB" w:eastAsia="en-GB"/>
              </w:rPr>
            </w:pPr>
          </w:p>
        </w:tc>
      </w:tr>
      <w:tr w:rsidR="00D8098C" w:rsidRPr="00B853C6" w:rsidTr="003D447D">
        <w:tc>
          <w:tcPr>
            <w:tcW w:w="587" w:type="dxa"/>
            <w:tcBorders>
              <w:bottom w:val="single" w:sz="6" w:space="0" w:color="7F7F7F"/>
            </w:tcBorders>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17</w:t>
            </w:r>
          </w:p>
        </w:tc>
        <w:tc>
          <w:tcPr>
            <w:tcW w:w="1822" w:type="dxa"/>
            <w:tcBorders>
              <w:bottom w:val="single" w:sz="6" w:space="0" w:color="7F7F7F"/>
            </w:tcBorders>
            <w:shd w:val="clear" w:color="auto" w:fill="EEEEEE"/>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7041" w:type="dxa"/>
            <w:tcBorders>
              <w:bottom w:val="single" w:sz="6" w:space="0" w:color="7F7F7F"/>
            </w:tcBorders>
            <w:shd w:val="clear" w:color="auto" w:fill="EEEEEE"/>
          </w:tcPr>
          <w:p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Discuss the generalizability of the study results (a) to other populations, (b) across other exposure periods/timings, and (c) across other levels of exposure</w:t>
            </w:r>
          </w:p>
        </w:tc>
        <w:tc>
          <w:tcPr>
            <w:tcW w:w="720" w:type="dxa"/>
            <w:tcBorders>
              <w:bottom w:val="single" w:sz="6" w:space="0" w:color="7F7F7F"/>
            </w:tcBorders>
            <w:shd w:val="clear" w:color="auto" w:fill="EEEEEE"/>
          </w:tcPr>
          <w:p w:rsidR="0092231E" w:rsidRPr="00AA188F" w:rsidRDefault="00AA188F">
            <w:pPr>
              <w:rPr>
                <w:rFonts w:eastAsiaTheme="minorEastAsia" w:hint="eastAsia"/>
                <w:sz w:val="18"/>
                <w:szCs w:val="18"/>
                <w:lang w:val="en-GB" w:eastAsia="zh-CN"/>
              </w:rPr>
            </w:pPr>
            <w:r>
              <w:rPr>
                <w:rFonts w:eastAsiaTheme="minorEastAsia" w:hint="eastAsia"/>
                <w:sz w:val="18"/>
                <w:szCs w:val="18"/>
                <w:lang w:val="en-GB" w:eastAsia="zh-CN"/>
              </w:rPr>
              <w:t>19</w:t>
            </w:r>
          </w:p>
        </w:tc>
        <w:tc>
          <w:tcPr>
            <w:tcW w:w="4320" w:type="dxa"/>
            <w:tcBorders>
              <w:bottom w:val="single" w:sz="6" w:space="0" w:color="7F7F7F"/>
            </w:tcBorders>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Generalizability: Data mainly from European populations; further validation needed in other ancestries.</w:t>
            </w:r>
          </w:p>
        </w:tc>
      </w:tr>
      <w:tr w:rsidR="00D8098C" w:rsidRPr="00B853C6" w:rsidTr="003D447D">
        <w:tc>
          <w:tcPr>
            <w:tcW w:w="587" w:type="dxa"/>
            <w:tcBorders>
              <w:top w:val="single" w:sz="6" w:space="0" w:color="7F7F7F"/>
            </w:tcBorders>
          </w:tcPr>
          <w:p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7041" w:type="dxa"/>
            <w:tcBorders>
              <w:top w:val="single" w:sz="6" w:space="0" w:color="7F7F7F"/>
            </w:tcBorders>
          </w:tcPr>
          <w:p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rsidR="00D8098C" w:rsidRPr="00BA6959" w:rsidRDefault="00D8098C" w:rsidP="00426603">
            <w:pPr>
              <w:spacing w:beforeLines="40" w:before="96" w:afterLines="40" w:after="96" w:line="24" w:lineRule="atLeast"/>
              <w:rPr>
                <w:rFonts w:eastAsia="Times New Roman"/>
                <w:sz w:val="18"/>
                <w:szCs w:val="18"/>
                <w:lang w:val="en-GB" w:eastAsia="en-GB"/>
              </w:rPr>
            </w:pPr>
          </w:p>
        </w:tc>
        <w:tc>
          <w:tcPr>
            <w:tcW w:w="4320" w:type="dxa"/>
            <w:tcBorders>
              <w:top w:val="single" w:sz="6" w:space="0" w:color="7F7F7F"/>
            </w:tcBorders>
          </w:tcPr>
          <w:p w:rsidR="00D8098C" w:rsidRPr="00BA6959" w:rsidRDefault="00D8098C" w:rsidP="00426603">
            <w:pPr>
              <w:spacing w:beforeLines="40" w:before="96" w:afterLines="40" w:after="96" w:line="24" w:lineRule="atLeast"/>
              <w:rPr>
                <w:rFonts w:eastAsia="Times New Roman"/>
                <w:sz w:val="18"/>
                <w:szCs w:val="18"/>
                <w:lang w:val="en-GB" w:eastAsia="en-GB"/>
              </w:rPr>
            </w:pPr>
          </w:p>
        </w:tc>
      </w:tr>
      <w:tr w:rsidR="00D8098C" w:rsidRPr="00B853C6" w:rsidTr="003D447D">
        <w:tc>
          <w:tcPr>
            <w:tcW w:w="587" w:type="dxa"/>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22" w:type="dxa"/>
            <w:shd w:val="clear" w:color="auto" w:fill="EEEEEE"/>
          </w:tcPr>
          <w:p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7041" w:type="dxa"/>
            <w:shd w:val="clear" w:color="auto" w:fill="EEEEEE"/>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720" w:type="dxa"/>
            <w:shd w:val="clear" w:color="auto" w:fill="EEEEEE"/>
          </w:tcPr>
          <w:p w:rsidR="0092231E" w:rsidRPr="00AA188F" w:rsidRDefault="00AA188F">
            <w:pPr>
              <w:rPr>
                <w:rFonts w:eastAsiaTheme="minorEastAsia" w:hint="eastAsia"/>
                <w:sz w:val="18"/>
                <w:szCs w:val="18"/>
                <w:lang w:val="en-GB" w:eastAsia="zh-CN"/>
              </w:rPr>
            </w:pPr>
            <w:r>
              <w:rPr>
                <w:rFonts w:eastAsiaTheme="minorEastAsia" w:hint="eastAsia"/>
                <w:sz w:val="18"/>
                <w:szCs w:val="18"/>
                <w:lang w:val="en-GB" w:eastAsia="zh-CN"/>
              </w:rPr>
              <w:t>20</w:t>
            </w:r>
          </w:p>
        </w:tc>
        <w:tc>
          <w:tcPr>
            <w:tcW w:w="4320" w:type="dxa"/>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Funding: National grant ‘Construction of a Non-Radioactive Iodine (¹²⁷I) Magnetic Nanoparticle-Coupling System…’ Grant No.: 24-214-3-25.</w:t>
            </w:r>
          </w:p>
        </w:tc>
      </w:tr>
      <w:tr w:rsidR="00D8098C" w:rsidRPr="00B853C6" w:rsidTr="003D447D">
        <w:tc>
          <w:tcPr>
            <w:tcW w:w="587" w:type="dxa"/>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22" w:type="dxa"/>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7041" w:type="dxa"/>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accessed, and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720" w:type="dxa"/>
          </w:tcPr>
          <w:p w:rsidR="0092231E" w:rsidRPr="00AA188F" w:rsidRDefault="00AA188F">
            <w:pPr>
              <w:rPr>
                <w:rFonts w:eastAsiaTheme="minorEastAsia" w:hint="eastAsia"/>
                <w:sz w:val="18"/>
                <w:szCs w:val="18"/>
                <w:lang w:val="en-GB" w:eastAsia="zh-CN"/>
              </w:rPr>
            </w:pPr>
            <w:r>
              <w:rPr>
                <w:rFonts w:eastAsiaTheme="minorEastAsia" w:hint="eastAsia"/>
                <w:sz w:val="18"/>
                <w:szCs w:val="18"/>
                <w:lang w:val="en-GB" w:eastAsia="zh-CN"/>
              </w:rPr>
              <w:t>20</w:t>
            </w:r>
          </w:p>
        </w:tc>
        <w:tc>
          <w:tcPr>
            <w:tcW w:w="4320" w:type="dxa"/>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Data Availability Statement: Metabolomics GWAS server, GWAS Catalog, TCGA-THCA (Xena), GEO single-cell dataset GSE184362. Analysis code available upon reasonable request.</w:t>
            </w:r>
          </w:p>
        </w:tc>
      </w:tr>
      <w:tr w:rsidR="00D8098C" w:rsidRPr="00B853C6" w:rsidTr="003D447D">
        <w:tc>
          <w:tcPr>
            <w:tcW w:w="587" w:type="dxa"/>
            <w:tcBorders>
              <w:bottom w:val="single" w:sz="6" w:space="0" w:color="7F7F7F"/>
            </w:tcBorders>
            <w:shd w:val="clear" w:color="auto" w:fill="EEEEEE"/>
          </w:tcPr>
          <w:p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20</w:t>
            </w:r>
          </w:p>
        </w:tc>
        <w:tc>
          <w:tcPr>
            <w:tcW w:w="1822" w:type="dxa"/>
            <w:tcBorders>
              <w:bottom w:val="single" w:sz="6" w:space="0" w:color="7F7F7F"/>
            </w:tcBorders>
            <w:shd w:val="clear" w:color="auto" w:fill="EEEEEE"/>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7041" w:type="dxa"/>
            <w:tcBorders>
              <w:bottom w:val="single" w:sz="6" w:space="0" w:color="7F7F7F"/>
            </w:tcBorders>
            <w:shd w:val="clear" w:color="auto" w:fill="EEEEEE"/>
          </w:tcPr>
          <w:p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720" w:type="dxa"/>
            <w:tcBorders>
              <w:bottom w:val="single" w:sz="6" w:space="0" w:color="7F7F7F"/>
            </w:tcBorders>
            <w:shd w:val="clear" w:color="auto" w:fill="EEEEEE"/>
          </w:tcPr>
          <w:p w:rsidR="0092231E" w:rsidRPr="00AA188F" w:rsidRDefault="00AA188F">
            <w:pPr>
              <w:rPr>
                <w:rFonts w:eastAsiaTheme="minorEastAsia" w:hint="eastAsia"/>
                <w:sz w:val="18"/>
                <w:szCs w:val="18"/>
                <w:lang w:val="en-GB" w:eastAsia="zh-CN"/>
              </w:rPr>
            </w:pPr>
            <w:r>
              <w:rPr>
                <w:rFonts w:eastAsiaTheme="minorEastAsia" w:hint="eastAsia"/>
                <w:sz w:val="18"/>
                <w:szCs w:val="18"/>
                <w:lang w:val="en-GB" w:eastAsia="zh-CN"/>
              </w:rPr>
              <w:t>19</w:t>
            </w:r>
          </w:p>
        </w:tc>
        <w:tc>
          <w:tcPr>
            <w:tcW w:w="4320" w:type="dxa"/>
            <w:tcBorders>
              <w:bottom w:val="single" w:sz="6" w:space="0" w:color="7F7F7F"/>
            </w:tcBorders>
            <w:shd w:val="clear" w:color="auto" w:fill="EEEEEE"/>
          </w:tcPr>
          <w:p w:rsidR="0092231E" w:rsidRPr="00BA6959" w:rsidRDefault="00000000">
            <w:pPr>
              <w:rPr>
                <w:rFonts w:eastAsia="Times New Roman"/>
                <w:sz w:val="18"/>
                <w:szCs w:val="18"/>
                <w:lang w:val="en-GB" w:eastAsia="en-GB"/>
              </w:rPr>
            </w:pPr>
            <w:r w:rsidRPr="00BA6959">
              <w:rPr>
                <w:rFonts w:eastAsia="Times New Roman"/>
                <w:sz w:val="18"/>
                <w:szCs w:val="18"/>
                <w:lang w:val="en-GB" w:eastAsia="en-GB"/>
              </w:rPr>
              <w:t>Conflict of Interest: Authors declare no commercial or financial relationships that could be seen as a possible conflict of interest.</w:t>
            </w:r>
          </w:p>
        </w:tc>
      </w:tr>
    </w:tbl>
    <w:p w:rsidR="0092231E" w:rsidRPr="009854A9" w:rsidRDefault="00D65199" w:rsidP="005520ED">
      <w:pPr>
        <w:spacing w:before="240" w:after="240"/>
        <w:rPr>
          <w:sz w:val="19"/>
          <w:szCs w:val="19"/>
        </w:rPr>
      </w:pPr>
      <w:r w:rsidRPr="009854A9">
        <w:rPr>
          <w:sz w:val="19"/>
          <w:szCs w:val="19"/>
        </w:rPr>
        <w:t>This checklist is copyrighted by the Equator Network under the Creative Commons Attribution 3.0 Unported (CC BY 3.0) license.</w:t>
      </w:r>
    </w:p>
    <w:p w:rsidR="009854A9" w:rsidRPr="009854A9" w:rsidRDefault="00804498" w:rsidP="009854A9">
      <w:pPr>
        <w:widowControl w:val="0"/>
        <w:autoSpaceDE w:val="0"/>
        <w:autoSpaceDN w:val="0"/>
        <w:adjustRightInd w:val="0"/>
        <w:spacing w:before="240" w:after="240" w:line="240" w:lineRule="auto"/>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009854A9" w:rsidRPr="009854A9">
        <w:rPr>
          <w:noProof/>
          <w:sz w:val="19"/>
          <w:szCs w:val="19"/>
        </w:rPr>
        <w:t xml:space="preserve">1. </w:t>
      </w:r>
      <w:r w:rsidR="009854A9" w:rsidRPr="009854A9">
        <w:rPr>
          <w:noProof/>
          <w:sz w:val="19"/>
          <w:szCs w:val="19"/>
        </w:rPr>
        <w:tab/>
        <w:t xml:space="preserve">Skrivankova VW, Richmond RC, Woolf BAR, Yarmolinsky J, Davies NM, Swanson SA, et al. Strengthening the Reporting of Observational Studies in Epidemiology using Mendelian Randomization (STROBE-MR) Statement. JAMA. 2021;under review. </w:t>
      </w:r>
    </w:p>
    <w:p w:rsidR="009854A9" w:rsidRPr="009854A9" w:rsidRDefault="009854A9" w:rsidP="009854A9">
      <w:pPr>
        <w:widowControl w:val="0"/>
        <w:autoSpaceDE w:val="0"/>
        <w:autoSpaceDN w:val="0"/>
        <w:adjustRightInd w:val="0"/>
        <w:spacing w:before="240" w:after="240" w:line="240" w:lineRule="auto"/>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Epidemiology using Mendelian Randomisation (STROBE-MR): Explanation and Elaboration. BMJ. 2021;375:n2233. </w:t>
      </w:r>
    </w:p>
    <w:p w:rsidR="00804498" w:rsidRDefault="00804498" w:rsidP="005520ED">
      <w:pPr>
        <w:spacing w:before="240" w:after="240"/>
      </w:pPr>
      <w:r w:rsidRPr="009854A9">
        <w:rPr>
          <w:sz w:val="19"/>
          <w:szCs w:val="19"/>
        </w:rPr>
        <w:fldChar w:fldCharType="end"/>
      </w:r>
    </w:p>
    <w:sectPr w:rsidR="00804498" w:rsidSect="003D447D">
      <w:footerReference w:type="even" r:id="rId10"/>
      <w:footerReference w:type="default" r:id="rId11"/>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5E1" w:rsidRDefault="00DA25E1">
      <w:pPr>
        <w:spacing w:line="240" w:lineRule="auto"/>
      </w:pPr>
      <w:r>
        <w:separator/>
      </w:r>
    </w:p>
  </w:endnote>
  <w:endnote w:type="continuationSeparator" w:id="0">
    <w:p w:rsidR="00DA25E1" w:rsidRDefault="00DA2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31E" w:rsidRDefault="0092231E" w:rsidP="00A365E5">
    <w:pPr>
      <w:pStyle w:val="a3"/>
      <w:framePr w:wrap="none" w:vAnchor="text" w:hAnchor="margin" w:xAlign="right" w:y="1"/>
      <w:rPr>
        <w:rStyle w:val="a5"/>
      </w:rPr>
    </w:pPr>
  </w:p>
  <w:p w:rsidR="0092231E" w:rsidRDefault="0092231E" w:rsidP="00C141F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31E" w:rsidRDefault="003D447D">
    <w:pPr>
      <w:pStyle w:val="a3"/>
      <w:jc w:val="right"/>
    </w:pPr>
    <w:r>
      <w:fldChar w:fldCharType="begin"/>
    </w:r>
    <w:r>
      <w:instrText xml:space="preserve"> PAGE   \* MERGEFORMAT </w:instrText>
    </w:r>
    <w:r>
      <w:fldChar w:fldCharType="separate"/>
    </w:r>
    <w:r w:rsidR="00BB6328">
      <w:rPr>
        <w:noProof/>
      </w:rPr>
      <w:t>1</w:t>
    </w:r>
    <w:r>
      <w:rPr>
        <w:noProof/>
      </w:rPr>
      <w:fldChar w:fldCharType="end"/>
    </w:r>
  </w:p>
  <w:p w:rsidR="0092231E" w:rsidRDefault="0092231E" w:rsidP="00C141F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5E1" w:rsidRDefault="00DA25E1">
      <w:pPr>
        <w:spacing w:line="240" w:lineRule="auto"/>
      </w:pPr>
      <w:r>
        <w:separator/>
      </w:r>
    </w:p>
  </w:footnote>
  <w:footnote w:type="continuationSeparator" w:id="0">
    <w:p w:rsidR="00DA25E1" w:rsidRDefault="00DA25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6"/>
    <w:rsid w:val="000A4CE8"/>
    <w:rsid w:val="002663E6"/>
    <w:rsid w:val="003D447D"/>
    <w:rsid w:val="003D47DD"/>
    <w:rsid w:val="00405D68"/>
    <w:rsid w:val="004825F9"/>
    <w:rsid w:val="004B5CBB"/>
    <w:rsid w:val="004E11D4"/>
    <w:rsid w:val="004F6F57"/>
    <w:rsid w:val="00514462"/>
    <w:rsid w:val="005520ED"/>
    <w:rsid w:val="005A0D0D"/>
    <w:rsid w:val="00685D31"/>
    <w:rsid w:val="006912BF"/>
    <w:rsid w:val="006A41D0"/>
    <w:rsid w:val="006B08D5"/>
    <w:rsid w:val="006D785D"/>
    <w:rsid w:val="0071762C"/>
    <w:rsid w:val="00804498"/>
    <w:rsid w:val="00914C56"/>
    <w:rsid w:val="0092231E"/>
    <w:rsid w:val="00950729"/>
    <w:rsid w:val="009854A9"/>
    <w:rsid w:val="009E033F"/>
    <w:rsid w:val="00AA188F"/>
    <w:rsid w:val="00AC6181"/>
    <w:rsid w:val="00B170D9"/>
    <w:rsid w:val="00BA6959"/>
    <w:rsid w:val="00BB6328"/>
    <w:rsid w:val="00D65199"/>
    <w:rsid w:val="00D8098C"/>
    <w:rsid w:val="00DA25E1"/>
    <w:rsid w:val="00DF397C"/>
    <w:rsid w:val="00E76897"/>
    <w:rsid w:val="00EA35CB"/>
    <w:rsid w:val="00ED48A3"/>
    <w:rsid w:val="00EF4B94"/>
    <w:rsid w:val="00FE0A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6EFA9"/>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14C56"/>
    <w:pPr>
      <w:spacing w:after="0" w:line="276" w:lineRule="auto"/>
    </w:pPr>
    <w:rPr>
      <w:rFonts w:ascii="Arial" w:eastAsia="Arial" w:hAnsi="Arial" w:cs="Arial"/>
      <w:lang w:val="en" w:eastAsia="de-CH"/>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4C56"/>
    <w:pPr>
      <w:tabs>
        <w:tab w:val="center" w:pos="4680"/>
        <w:tab w:val="right" w:pos="9360"/>
      </w:tabs>
      <w:spacing w:line="240" w:lineRule="auto"/>
    </w:pPr>
  </w:style>
  <w:style w:type="character" w:customStyle="1" w:styleId="a4">
    <w:name w:val="页脚 字符"/>
    <w:basedOn w:val="a0"/>
    <w:link w:val="a3"/>
    <w:uiPriority w:val="99"/>
    <w:rsid w:val="00914C56"/>
    <w:rPr>
      <w:rFonts w:ascii="Arial" w:eastAsia="Arial" w:hAnsi="Arial" w:cs="Arial"/>
      <w:lang w:val="en" w:eastAsia="de-CH"/>
    </w:rPr>
  </w:style>
  <w:style w:type="character" w:styleId="a5">
    <w:name w:val="page number"/>
    <w:basedOn w:val="a0"/>
    <w:uiPriority w:val="99"/>
    <w:semiHidden/>
    <w:unhideWhenUsed/>
    <w:rsid w:val="00914C56"/>
  </w:style>
  <w:style w:type="character" w:styleId="a6">
    <w:name w:val="line number"/>
    <w:basedOn w:val="a0"/>
    <w:uiPriority w:val="99"/>
    <w:semiHidden/>
    <w:unhideWhenUsed/>
    <w:rsid w:val="00914C56"/>
  </w:style>
  <w:style w:type="paragraph" w:styleId="a7">
    <w:name w:val="header"/>
    <w:basedOn w:val="a"/>
    <w:link w:val="a8"/>
    <w:uiPriority w:val="99"/>
    <w:unhideWhenUsed/>
    <w:rsid w:val="00BA6959"/>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BA6959"/>
    <w:rPr>
      <w:rFonts w:ascii="Arial" w:eastAsia="Arial" w:hAnsi="Arial" w:cs="Arial"/>
      <w:sz w:val="18"/>
      <w:szCs w:val="18"/>
      <w:lang w:val="en"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20111-77FD-4F18-8E31-D737874646AB}">
  <ds:schemaRefs>
    <ds:schemaRef ds:uri="http://schemas.microsoft.com/sharepoint/v3/contenttype/forms"/>
  </ds:schemaRefs>
</ds:datastoreItem>
</file>

<file path=customXml/itemProps2.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A32DB-E5B8-4E32-AD11-08F2E668867B}">
  <ds:schemaRefs>
    <ds:schemaRef ds:uri="http://schemas.openxmlformats.org/officeDocument/2006/bibliography"/>
  </ds:schemaRefs>
</ds:datastoreItem>
</file>

<file path=customXml/itemProps4.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X X</cp:lastModifiedBy>
  <cp:revision>6</cp:revision>
  <cp:lastPrinted>2021-09-28T07:08:00Z</cp:lastPrinted>
  <dcterms:created xsi:type="dcterms:W3CDTF">2025-10-15T13:21:00Z</dcterms:created>
  <dcterms:modified xsi:type="dcterms:W3CDTF">2025-10-15T13:42:00Z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