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CF2A0F" w:rsidRPr="00CF2A0F" w:rsidRDefault="00CF2A0F" w:rsidP="00CF2A0F">
      <w:pPr>
        <w:pStyle w:val="berschrift1"/>
      </w:pPr>
      <w:r w:rsidRPr="00CF2A0F">
        <w:t>Supplementary Figure 1</w:t>
      </w:r>
    </w:p>
    <w:p w:rsidR="00CF2A0F" w:rsidRPr="00CF2A0F" w:rsidRDefault="00CF2A0F" w:rsidP="00CF2A0F"/>
    <w:p w:rsidR="00CF2A0F" w:rsidRPr="00CF2A0F" w:rsidRDefault="00CF2A0F" w:rsidP="00CF2A0F">
      <w:r w:rsidRPr="00CF2A0F">
        <w:rPr>
          <w:noProof/>
        </w:rPr>
        <w:drawing>
          <wp:inline distT="0" distB="0" distL="0" distR="0">
            <wp:extent cx="5760720" cy="6765290"/>
            <wp:effectExtent l="0" t="0" r="5080" b="3810"/>
            <wp:docPr id="191611192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111928" name="Grafik 1916111928"/>
                    <pic:cNvPicPr/>
                  </pic:nvPicPr>
                  <pic:blipFill>
                    <a:blip r:embed="rId4"/>
                    <a:stretch>
                      <a:fillRect/>
                    </a:stretch>
                  </pic:blipFill>
                  <pic:spPr>
                    <a:xfrm>
                      <a:off x="0" y="0"/>
                      <a:ext cx="5760720" cy="6765290"/>
                    </a:xfrm>
                    <a:prstGeom prst="rect">
                      <a:avLst/>
                    </a:prstGeom>
                  </pic:spPr>
                </pic:pic>
              </a:graphicData>
            </a:graphic>
          </wp:inline>
        </w:drawing>
      </w:r>
    </w:p>
    <w:p w:rsidR="00CF2A0F" w:rsidRPr="00CF2A0F" w:rsidRDefault="00CF2A0F" w:rsidP="00CF2A0F"/>
    <w:p w:rsidR="00CF2A0F" w:rsidRPr="00CF2A0F" w:rsidRDefault="00CF2A0F" w:rsidP="00CF2A0F">
      <w:r w:rsidRPr="00CF2A0F">
        <w:t xml:space="preserve">Scoring application architecture and interface. (A) The architecture of the scoring app includes a client-side HTMX web app that interacts with a server based on </w:t>
      </w:r>
      <w:proofErr w:type="spellStart"/>
      <w:r w:rsidRPr="00CF2A0F">
        <w:t>FastAPI</w:t>
      </w:r>
      <w:proofErr w:type="spellEnd"/>
      <w:r w:rsidRPr="00CF2A0F">
        <w:t xml:space="preserve"> (Python). The server manages the scoring data stored in an SQLite database and handles image data in Deep Zoom Image (DZI) format. Users input scores through the web interface, and the data can be exported as a CSV file. (B) Project overview interface, displaying a list of TCGA projects with their respective statuses, allowing users to track and manage scoring progress. (C) Individual project view, presenting a detailed list of cases within a selected TCGA project, including the segmentation scores for each model. (D) Sample view from the scoring app, showing side-by-side comparisons of segmentation outputs from different models, allowing users to score the accuracy of tumor/stroma segmentation directly within the interface. Images can be zoomed and panned using </w:t>
      </w:r>
      <w:proofErr w:type="spellStart"/>
      <w:r w:rsidRPr="00CF2A0F">
        <w:t>OpenSeadragon</w:t>
      </w:r>
      <w:proofErr w:type="spellEnd"/>
      <w:r w:rsidRPr="00CF2A0F">
        <w:t xml:space="preserve"> for detailed examination if necessary.</w:t>
      </w:r>
    </w:p>
    <w:p w:rsidR="00CF2A0F" w:rsidRPr="00CF2A0F" w:rsidRDefault="00CF2A0F">
      <w:pPr>
        <w:jc w:val="left"/>
      </w:pPr>
      <w:r w:rsidRPr="00CF2A0F">
        <w:br w:type="page"/>
      </w:r>
    </w:p>
    <w:p w:rsidR="00CF2A0F" w:rsidRPr="00CF2A0F" w:rsidRDefault="00CF2A0F" w:rsidP="00CF2A0F">
      <w:pPr>
        <w:pStyle w:val="berschrift1"/>
      </w:pPr>
      <w:r w:rsidRPr="00CF2A0F">
        <w:lastRenderedPageBreak/>
        <w:t>Supplementary Figure 2</w:t>
      </w:r>
    </w:p>
    <w:p w:rsidR="00CF2A0F" w:rsidRDefault="00CF2A0F" w:rsidP="00CF2A0F"/>
    <w:p w:rsidR="00CF2A0F" w:rsidRPr="00CF2A0F" w:rsidRDefault="00CF2A0F" w:rsidP="00CF2A0F">
      <w:r>
        <w:rPr>
          <w:noProof/>
        </w:rPr>
        <w:drawing>
          <wp:inline distT="0" distB="0" distL="0" distR="0">
            <wp:extent cx="5760720" cy="6209665"/>
            <wp:effectExtent l="0" t="0" r="5080" b="635"/>
            <wp:docPr id="16823427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34277" name="Grafik 168234277"/>
                    <pic:cNvPicPr/>
                  </pic:nvPicPr>
                  <pic:blipFill>
                    <a:blip r:embed="rId5"/>
                    <a:stretch>
                      <a:fillRect/>
                    </a:stretch>
                  </pic:blipFill>
                  <pic:spPr>
                    <a:xfrm>
                      <a:off x="0" y="0"/>
                      <a:ext cx="5760720" cy="6209665"/>
                    </a:xfrm>
                    <a:prstGeom prst="rect">
                      <a:avLst/>
                    </a:prstGeom>
                  </pic:spPr>
                </pic:pic>
              </a:graphicData>
            </a:graphic>
          </wp:inline>
        </w:drawing>
      </w:r>
    </w:p>
    <w:p w:rsidR="00CF2A0F" w:rsidRPr="00CF2A0F" w:rsidRDefault="00CF2A0F" w:rsidP="00CF2A0F"/>
    <w:p w:rsidR="00CF2A0F" w:rsidRPr="00CF2A0F" w:rsidRDefault="00CF2A0F" w:rsidP="00CF2A0F">
      <w:r w:rsidRPr="00CF2A0F">
        <w:t>Example outputs from the breast model on the top 5 highest-scoring non-breast TCGA projects. Representative tumor regions of interest (ROIs) from cholangiocarcinoma (CHOL), ovarian (OV), prostate (PRAD), thyroid (THCA), and liver hepatocellular carcinoma (LIHC) cancers are shown. For each case, the tumor ROI (H&amp;E staining), the corresponding segmentation mask, an overlay of the H&amp;E image with the segmentation mask, and a detail view providing high-magnification visualization of tumor (blue) versus stroma (yellow) boundary precision are presented. Scale bars: 500 </w:t>
      </w:r>
      <w:r w:rsidRPr="00CF2A0F">
        <w:rPr>
          <w:lang w:val="el-GR"/>
        </w:rPr>
        <w:t>μ</w:t>
      </w:r>
      <w:r w:rsidRPr="00CF2A0F">
        <w:t>m.</w:t>
      </w:r>
    </w:p>
    <w:p w:rsidR="00CF2A0F" w:rsidRDefault="00CF2A0F">
      <w:pPr>
        <w:jc w:val="left"/>
        <w:rPr>
          <w:b/>
          <w:bCs/>
          <w:sz w:val="22"/>
          <w:szCs w:val="22"/>
        </w:rPr>
      </w:pPr>
      <w:r>
        <w:br w:type="page"/>
      </w:r>
    </w:p>
    <w:p w:rsidR="00CF2A0F" w:rsidRDefault="00CF2A0F" w:rsidP="00CF2A0F">
      <w:pPr>
        <w:pStyle w:val="berschrift1"/>
      </w:pPr>
      <w:r w:rsidRPr="00CF2A0F">
        <w:lastRenderedPageBreak/>
        <w:t>Supplementary Figure 3</w:t>
      </w:r>
    </w:p>
    <w:p w:rsidR="00CF2A0F" w:rsidRDefault="00CF2A0F" w:rsidP="00CF2A0F"/>
    <w:p w:rsidR="00CF2A0F" w:rsidRDefault="00CF2A0F" w:rsidP="00CF2A0F">
      <w:r>
        <w:rPr>
          <w:noProof/>
        </w:rPr>
        <w:drawing>
          <wp:inline distT="0" distB="0" distL="0" distR="0">
            <wp:extent cx="5760720" cy="6209665"/>
            <wp:effectExtent l="0" t="0" r="5080" b="635"/>
            <wp:docPr id="194381685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816852" name="Grafik 1943816852"/>
                    <pic:cNvPicPr/>
                  </pic:nvPicPr>
                  <pic:blipFill>
                    <a:blip r:embed="rId6"/>
                    <a:stretch>
                      <a:fillRect/>
                    </a:stretch>
                  </pic:blipFill>
                  <pic:spPr>
                    <a:xfrm>
                      <a:off x="0" y="0"/>
                      <a:ext cx="5760720" cy="6209665"/>
                    </a:xfrm>
                    <a:prstGeom prst="rect">
                      <a:avLst/>
                    </a:prstGeom>
                  </pic:spPr>
                </pic:pic>
              </a:graphicData>
            </a:graphic>
          </wp:inline>
        </w:drawing>
      </w:r>
    </w:p>
    <w:p w:rsidR="00CF2A0F" w:rsidRPr="00CF2A0F" w:rsidRDefault="00CF2A0F" w:rsidP="00CF2A0F"/>
    <w:p w:rsidR="00CF2A0F" w:rsidRPr="00CF2A0F" w:rsidRDefault="00CF2A0F" w:rsidP="00CF2A0F">
      <w:r w:rsidRPr="00CF2A0F">
        <w:t>Example outputs from the colon model on the top 5 highest-scoring non-colon TCGA projects. Representative tumor regions of interest (ROIs) from ovarian (OV), uterine corpus endometrial carcinoma (UCEC), esophageal (ESCA), thyroid (THCA), and cholangiocarcinoma (CHOL) cancers are shown. For each case, the tumor ROI (H&amp;E staining), the corresponding segmentation mask, an overlay of the H&amp;E image with the segmentation mask, and a detail view providing high-magnification visualization of tumor (blue) versus stroma (yellow) boundary precision are presented. Scale bars: 500 </w:t>
      </w:r>
      <w:r w:rsidRPr="00CF2A0F">
        <w:rPr>
          <w:lang w:val="el-GR"/>
        </w:rPr>
        <w:t>μ</w:t>
      </w:r>
      <w:r w:rsidRPr="00CF2A0F">
        <w:t>m.</w:t>
      </w:r>
    </w:p>
    <w:p w:rsidR="00CF2A0F" w:rsidRDefault="00CF2A0F">
      <w:pPr>
        <w:jc w:val="left"/>
        <w:rPr>
          <w:b/>
          <w:bCs/>
          <w:sz w:val="22"/>
          <w:szCs w:val="22"/>
        </w:rPr>
      </w:pPr>
      <w:r>
        <w:br w:type="page"/>
      </w:r>
    </w:p>
    <w:p w:rsidR="00CF2A0F" w:rsidRDefault="00CF2A0F" w:rsidP="00CF2A0F">
      <w:pPr>
        <w:pStyle w:val="berschrift1"/>
      </w:pPr>
      <w:r w:rsidRPr="00CF2A0F">
        <w:lastRenderedPageBreak/>
        <w:t>Supplementary Figure 4</w:t>
      </w:r>
    </w:p>
    <w:p w:rsidR="00CF2A0F" w:rsidRDefault="00CF2A0F" w:rsidP="00CF2A0F"/>
    <w:p w:rsidR="00CF2A0F" w:rsidRDefault="00CF2A0F" w:rsidP="00CF2A0F">
      <w:r>
        <w:rPr>
          <w:noProof/>
        </w:rPr>
        <w:drawing>
          <wp:inline distT="0" distB="0" distL="0" distR="0">
            <wp:extent cx="5760720" cy="6209665"/>
            <wp:effectExtent l="0" t="0" r="5080" b="635"/>
            <wp:docPr id="1582768023"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768023" name="Grafik 1582768023"/>
                    <pic:cNvPicPr/>
                  </pic:nvPicPr>
                  <pic:blipFill>
                    <a:blip r:embed="rId7"/>
                    <a:stretch>
                      <a:fillRect/>
                    </a:stretch>
                  </pic:blipFill>
                  <pic:spPr>
                    <a:xfrm>
                      <a:off x="0" y="0"/>
                      <a:ext cx="5760720" cy="6209665"/>
                    </a:xfrm>
                    <a:prstGeom prst="rect">
                      <a:avLst/>
                    </a:prstGeom>
                  </pic:spPr>
                </pic:pic>
              </a:graphicData>
            </a:graphic>
          </wp:inline>
        </w:drawing>
      </w:r>
    </w:p>
    <w:p w:rsidR="00CF2A0F" w:rsidRPr="00CF2A0F" w:rsidRDefault="00CF2A0F" w:rsidP="00CF2A0F"/>
    <w:p w:rsidR="00CF2A0F" w:rsidRPr="00CF2A0F" w:rsidRDefault="00CF2A0F" w:rsidP="00CF2A0F">
      <w:r w:rsidRPr="00CF2A0F">
        <w:t>Example outputs from the kidney model on the top 5 highest-scoring non-kidney TCGA projects. Representative tumor regions of interest (ROIs) from ovarian (OV), liver hepatocellular carcinoma (LIHC), esophageal (ESCA), bladder (BLCA), and cholangiocarcinoma (CHOL) cancers are shown. For each case, the tumor ROI (H&amp;E staining), the corresponding segmentation mask, an overlay of the H&amp;E image with the segmentation mask, and a detail view providing high-magnification visualization of tumor (blue) versus stroma (yellow) boundary precision are presented. Scale bars: 500 </w:t>
      </w:r>
      <w:r w:rsidRPr="00CF2A0F">
        <w:rPr>
          <w:lang w:val="el-GR"/>
        </w:rPr>
        <w:t>μ</w:t>
      </w:r>
      <w:r w:rsidRPr="00CF2A0F">
        <w:t>m.</w:t>
      </w:r>
    </w:p>
    <w:p w:rsidR="00CF2A0F" w:rsidRDefault="00CF2A0F">
      <w:pPr>
        <w:jc w:val="left"/>
        <w:rPr>
          <w:b/>
          <w:bCs/>
          <w:sz w:val="22"/>
          <w:szCs w:val="22"/>
        </w:rPr>
      </w:pPr>
      <w:r>
        <w:br w:type="page"/>
      </w:r>
    </w:p>
    <w:p w:rsidR="00CF2A0F" w:rsidRDefault="00CF2A0F" w:rsidP="00CF2A0F">
      <w:pPr>
        <w:pStyle w:val="berschrift1"/>
      </w:pPr>
      <w:r w:rsidRPr="00CF2A0F">
        <w:lastRenderedPageBreak/>
        <w:t>Supplementary Figure 5</w:t>
      </w:r>
    </w:p>
    <w:p w:rsidR="00CF2A0F" w:rsidRDefault="00CF2A0F" w:rsidP="00CF2A0F"/>
    <w:p w:rsidR="00CF2A0F" w:rsidRDefault="00CF2A0F" w:rsidP="00CF2A0F">
      <w:r>
        <w:rPr>
          <w:noProof/>
        </w:rPr>
        <w:drawing>
          <wp:inline distT="0" distB="0" distL="0" distR="0">
            <wp:extent cx="5760720" cy="6209665"/>
            <wp:effectExtent l="0" t="0" r="5080" b="635"/>
            <wp:docPr id="891205129"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205129" name="Grafik 891205129"/>
                    <pic:cNvPicPr/>
                  </pic:nvPicPr>
                  <pic:blipFill>
                    <a:blip r:embed="rId8"/>
                    <a:stretch>
                      <a:fillRect/>
                    </a:stretch>
                  </pic:blipFill>
                  <pic:spPr>
                    <a:xfrm>
                      <a:off x="0" y="0"/>
                      <a:ext cx="5760720" cy="6209665"/>
                    </a:xfrm>
                    <a:prstGeom prst="rect">
                      <a:avLst/>
                    </a:prstGeom>
                  </pic:spPr>
                </pic:pic>
              </a:graphicData>
            </a:graphic>
          </wp:inline>
        </w:drawing>
      </w:r>
    </w:p>
    <w:p w:rsidR="00CF2A0F" w:rsidRPr="00CF2A0F" w:rsidRDefault="00CF2A0F" w:rsidP="00CF2A0F"/>
    <w:p w:rsidR="00CF2A0F" w:rsidRPr="00CF2A0F" w:rsidRDefault="00CF2A0F" w:rsidP="00CF2A0F">
      <w:r w:rsidRPr="00CF2A0F">
        <w:t>Example outputs from the prostate model on the top 5 highest-scoring non-prostate TCGA projects. Representative tumor regions of interest (ROIs) from ovarian (OV), cholangiocarcinoma (CHOL), thyroid carcinoma (THCA), breast carcinoma (BRCA), and bladder carcinoma (BLCA) are shown. For each case, the tumor ROI (H&amp;E staining), the corresponding segmentation mask, an overlay of the H&amp;E image with the segmentation mask, and a detail view providing high-magnification visualization of tumor (blue) versus stroma (yellow) boundary precision are presented. Scale bars: 500 </w:t>
      </w:r>
      <w:r w:rsidRPr="00CF2A0F">
        <w:rPr>
          <w:lang w:val="el-GR"/>
        </w:rPr>
        <w:t>μ</w:t>
      </w:r>
      <w:r w:rsidRPr="00CF2A0F">
        <w:t>m.</w:t>
      </w:r>
    </w:p>
    <w:p w:rsidR="00CF2A0F" w:rsidRDefault="00CF2A0F">
      <w:pPr>
        <w:jc w:val="left"/>
        <w:rPr>
          <w:b/>
          <w:bCs/>
          <w:sz w:val="22"/>
          <w:szCs w:val="22"/>
        </w:rPr>
      </w:pPr>
      <w:r>
        <w:br w:type="page"/>
      </w:r>
    </w:p>
    <w:p w:rsidR="00CF2A0F" w:rsidRDefault="00CF2A0F" w:rsidP="00CF2A0F">
      <w:pPr>
        <w:pStyle w:val="berschrift1"/>
      </w:pPr>
      <w:r w:rsidRPr="00CF2A0F">
        <w:lastRenderedPageBreak/>
        <w:t>Supplementary Figure 6</w:t>
      </w:r>
    </w:p>
    <w:p w:rsidR="00CF2A0F" w:rsidRDefault="00CF2A0F" w:rsidP="00CF2A0F"/>
    <w:p w:rsidR="00CF2A0F" w:rsidRDefault="00CF2A0F" w:rsidP="00CF2A0F">
      <w:r>
        <w:rPr>
          <w:noProof/>
        </w:rPr>
        <w:drawing>
          <wp:inline distT="0" distB="0" distL="0" distR="0">
            <wp:extent cx="4445000" cy="3403600"/>
            <wp:effectExtent l="0" t="0" r="0" b="0"/>
            <wp:docPr id="177368838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688388" name="Grafik 1773688388"/>
                    <pic:cNvPicPr/>
                  </pic:nvPicPr>
                  <pic:blipFill>
                    <a:blip r:embed="rId9"/>
                    <a:stretch>
                      <a:fillRect/>
                    </a:stretch>
                  </pic:blipFill>
                  <pic:spPr>
                    <a:xfrm>
                      <a:off x="0" y="0"/>
                      <a:ext cx="4445000" cy="3403600"/>
                    </a:xfrm>
                    <a:prstGeom prst="rect">
                      <a:avLst/>
                    </a:prstGeom>
                  </pic:spPr>
                </pic:pic>
              </a:graphicData>
            </a:graphic>
          </wp:inline>
        </w:drawing>
      </w:r>
    </w:p>
    <w:p w:rsidR="00CF2A0F" w:rsidRPr="00CF2A0F" w:rsidRDefault="00CF2A0F" w:rsidP="00CF2A0F"/>
    <w:p w:rsidR="00CF2A0F" w:rsidRDefault="00CF2A0F" w:rsidP="00CF2A0F">
      <w:r w:rsidRPr="00CF2A0F">
        <w:t>Diagnosis breakdown of cases included in the analysis for Figure 5B. (A) Distribution of non-lung squamous cell carcinoma cases across different TCGA projects. (B) Distribution of diffuse-type carcinoma cases.</w:t>
      </w:r>
    </w:p>
    <w:p w:rsidR="00CF2A0F" w:rsidRDefault="00CF2A0F" w:rsidP="00CF2A0F"/>
    <w:p w:rsidR="00CF2A0F" w:rsidRDefault="00CF2A0F">
      <w:pPr>
        <w:jc w:val="left"/>
      </w:pPr>
      <w:r>
        <w:br w:type="page"/>
      </w:r>
    </w:p>
    <w:p w:rsidR="00CF2A0F" w:rsidRDefault="00CF2A0F" w:rsidP="00CF2A0F">
      <w:pPr>
        <w:pStyle w:val="berschrift1"/>
      </w:pPr>
      <w:r w:rsidRPr="00F1427C">
        <w:lastRenderedPageBreak/>
        <w:t>Supplementary Table 1</w:t>
      </w:r>
    </w:p>
    <w:p w:rsidR="00CF2A0F" w:rsidRPr="00CF2A0F" w:rsidRDefault="00CF2A0F" w:rsidP="00CF2A0F"/>
    <w:p w:rsidR="00CF2A0F" w:rsidRDefault="00CF2A0F" w:rsidP="00CF2A0F">
      <w:r w:rsidRPr="00F1427C">
        <w:t>Assignment of colors to various tissue classes for different cancer segmentation models</w:t>
      </w:r>
      <w:r>
        <w:t>.</w:t>
      </w:r>
    </w:p>
    <w:p w:rsidR="00CF2A0F" w:rsidRPr="00F1427C" w:rsidRDefault="00CF2A0F" w:rsidP="00CF2A0F"/>
    <w:tbl>
      <w:tblPr>
        <w:tblW w:w="0" w:type="auto"/>
        <w:tblCellMar>
          <w:left w:w="0" w:type="dxa"/>
          <w:right w:w="0" w:type="dxa"/>
        </w:tblCellMar>
        <w:tblLook w:val="04A0" w:firstRow="1" w:lastRow="0" w:firstColumn="1" w:lastColumn="0" w:noHBand="0" w:noVBand="1"/>
      </w:tblPr>
      <w:tblGrid>
        <w:gridCol w:w="730"/>
        <w:gridCol w:w="1289"/>
        <w:gridCol w:w="2009"/>
        <w:gridCol w:w="2212"/>
        <w:gridCol w:w="2025"/>
        <w:gridCol w:w="791"/>
      </w:tblGrid>
      <w:tr w:rsidR="00CF2A0F" w:rsidRPr="00F1427C" w:rsidTr="005A3710">
        <w:trPr>
          <w:trHeight w:val="165"/>
        </w:trPr>
        <w:tc>
          <w:tcPr>
            <w:tcW w:w="102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p>
        </w:tc>
        <w:tc>
          <w:tcPr>
            <w:tcW w:w="204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Breast</w:t>
            </w:r>
          </w:p>
        </w:tc>
        <w:tc>
          <w:tcPr>
            <w:tcW w:w="402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Colon</w:t>
            </w:r>
          </w:p>
        </w:tc>
        <w:tc>
          <w:tcPr>
            <w:tcW w:w="415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Lung</w:t>
            </w:r>
          </w:p>
        </w:tc>
        <w:tc>
          <w:tcPr>
            <w:tcW w:w="273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Kidney</w:t>
            </w:r>
          </w:p>
        </w:tc>
        <w:tc>
          <w:tcPr>
            <w:tcW w:w="54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Prostate</w:t>
            </w:r>
          </w:p>
        </w:tc>
      </w:tr>
      <w:tr w:rsidR="00CF2A0F" w:rsidRPr="00F1427C" w:rsidTr="005A3710">
        <w:trPr>
          <w:trHeight w:val="165"/>
        </w:trPr>
        <w:tc>
          <w:tcPr>
            <w:tcW w:w="102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Blue</w:t>
            </w:r>
          </w:p>
        </w:tc>
        <w:tc>
          <w:tcPr>
            <w:tcW w:w="204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TUMOR, DCIS, LCIS</w:t>
            </w:r>
          </w:p>
        </w:tc>
        <w:tc>
          <w:tcPr>
            <w:tcW w:w="402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TUMOR, ADENOM_HG</w:t>
            </w:r>
          </w:p>
        </w:tc>
        <w:tc>
          <w:tcPr>
            <w:tcW w:w="415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TUMOR</w:t>
            </w:r>
          </w:p>
        </w:tc>
        <w:tc>
          <w:tcPr>
            <w:tcW w:w="273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TUMOR</w:t>
            </w:r>
          </w:p>
        </w:tc>
        <w:tc>
          <w:tcPr>
            <w:tcW w:w="54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TUMOR</w:t>
            </w:r>
          </w:p>
        </w:tc>
      </w:tr>
      <w:tr w:rsidR="00CF2A0F" w:rsidRPr="00F1427C" w:rsidTr="005A3710">
        <w:trPr>
          <w:trHeight w:val="165"/>
        </w:trPr>
        <w:tc>
          <w:tcPr>
            <w:tcW w:w="102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Yellow</w:t>
            </w:r>
          </w:p>
        </w:tc>
        <w:tc>
          <w:tcPr>
            <w:tcW w:w="204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TUMOR STROMA</w:t>
            </w:r>
          </w:p>
        </w:tc>
        <w:tc>
          <w:tcPr>
            <w:tcW w:w="402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TU_STROMA</w:t>
            </w:r>
          </w:p>
        </w:tc>
        <w:tc>
          <w:tcPr>
            <w:tcW w:w="415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TUMOR STROMA</w:t>
            </w:r>
          </w:p>
        </w:tc>
        <w:tc>
          <w:tcPr>
            <w:tcW w:w="273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STROMA</w:t>
            </w:r>
          </w:p>
        </w:tc>
        <w:tc>
          <w:tcPr>
            <w:tcW w:w="54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N_STR</w:t>
            </w:r>
          </w:p>
        </w:tc>
      </w:tr>
      <w:tr w:rsidR="00CF2A0F" w:rsidRPr="00F1427C" w:rsidTr="005A3710">
        <w:trPr>
          <w:trHeight w:val="165"/>
        </w:trPr>
        <w:tc>
          <w:tcPr>
            <w:tcW w:w="102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Purple</w:t>
            </w:r>
          </w:p>
        </w:tc>
        <w:tc>
          <w:tcPr>
            <w:tcW w:w="204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NECROSIS</w:t>
            </w:r>
          </w:p>
        </w:tc>
        <w:tc>
          <w:tcPr>
            <w:tcW w:w="402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ULCUS, NECROSIS</w:t>
            </w:r>
          </w:p>
        </w:tc>
        <w:tc>
          <w:tcPr>
            <w:tcW w:w="415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NECROSIS</w:t>
            </w:r>
          </w:p>
        </w:tc>
        <w:tc>
          <w:tcPr>
            <w:tcW w:w="273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NECROSIS</w:t>
            </w:r>
          </w:p>
        </w:tc>
        <w:tc>
          <w:tcPr>
            <w:tcW w:w="54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p>
        </w:tc>
      </w:tr>
      <w:tr w:rsidR="00CF2A0F" w:rsidRPr="00F1427C" w:rsidTr="005A3710">
        <w:trPr>
          <w:trHeight w:val="165"/>
        </w:trPr>
        <w:tc>
          <w:tcPr>
            <w:tcW w:w="102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Pink</w:t>
            </w:r>
          </w:p>
        </w:tc>
        <w:tc>
          <w:tcPr>
            <w:tcW w:w="204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MUCIN</w:t>
            </w:r>
          </w:p>
        </w:tc>
        <w:tc>
          <w:tcPr>
            <w:tcW w:w="402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MUCIN</w:t>
            </w:r>
          </w:p>
        </w:tc>
        <w:tc>
          <w:tcPr>
            <w:tcW w:w="415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MUCIN</w:t>
            </w:r>
          </w:p>
        </w:tc>
        <w:tc>
          <w:tcPr>
            <w:tcW w:w="273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p>
        </w:tc>
        <w:tc>
          <w:tcPr>
            <w:tcW w:w="54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p>
        </w:tc>
      </w:tr>
      <w:tr w:rsidR="00CF2A0F" w:rsidRPr="00F1427C" w:rsidTr="005A3710">
        <w:trPr>
          <w:trHeight w:val="165"/>
        </w:trPr>
        <w:tc>
          <w:tcPr>
            <w:tcW w:w="102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Red</w:t>
            </w:r>
          </w:p>
        </w:tc>
        <w:tc>
          <w:tcPr>
            <w:tcW w:w="204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INFLAM</w:t>
            </w:r>
          </w:p>
        </w:tc>
        <w:tc>
          <w:tcPr>
            <w:tcW w:w="402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LYMPH_NODE, LYMPH_TIS, LYM_AGGR</w:t>
            </w:r>
          </w:p>
        </w:tc>
        <w:tc>
          <w:tcPr>
            <w:tcW w:w="415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LYMPH_AGGR, LYMPH_NODE</w:t>
            </w:r>
          </w:p>
        </w:tc>
        <w:tc>
          <w:tcPr>
            <w:tcW w:w="273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p>
        </w:tc>
        <w:tc>
          <w:tcPr>
            <w:tcW w:w="54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p>
        </w:tc>
      </w:tr>
      <w:tr w:rsidR="00CF2A0F" w:rsidRPr="00F1427C" w:rsidTr="005A3710">
        <w:trPr>
          <w:trHeight w:val="165"/>
        </w:trPr>
        <w:tc>
          <w:tcPr>
            <w:tcW w:w="102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Brown</w:t>
            </w:r>
          </w:p>
        </w:tc>
        <w:tc>
          <w:tcPr>
            <w:tcW w:w="204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FAT, STROMA</w:t>
            </w:r>
          </w:p>
        </w:tc>
        <w:tc>
          <w:tcPr>
            <w:tcW w:w="402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ADVENT, VESSEL</w:t>
            </w:r>
          </w:p>
        </w:tc>
        <w:tc>
          <w:tcPr>
            <w:tcW w:w="415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STROMA, NERVE, FAT, MUSCLE, VESSEL</w:t>
            </w:r>
          </w:p>
        </w:tc>
        <w:tc>
          <w:tcPr>
            <w:tcW w:w="273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FAT</w:t>
            </w:r>
          </w:p>
        </w:tc>
        <w:tc>
          <w:tcPr>
            <w:tcW w:w="54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p>
        </w:tc>
      </w:tr>
      <w:tr w:rsidR="00CF2A0F" w:rsidRPr="00F1427C" w:rsidTr="005A3710">
        <w:trPr>
          <w:trHeight w:val="180"/>
        </w:trPr>
        <w:tc>
          <w:tcPr>
            <w:tcW w:w="102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Gray</w:t>
            </w:r>
          </w:p>
        </w:tc>
        <w:tc>
          <w:tcPr>
            <w:tcW w:w="204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BLOOD</w:t>
            </w:r>
          </w:p>
        </w:tc>
        <w:tc>
          <w:tcPr>
            <w:tcW w:w="402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BLOOD</w:t>
            </w:r>
          </w:p>
        </w:tc>
        <w:tc>
          <w:tcPr>
            <w:tcW w:w="415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BLOOD</w:t>
            </w:r>
          </w:p>
        </w:tc>
        <w:tc>
          <w:tcPr>
            <w:tcW w:w="273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TUMOR_REGRESS, BLOOD</w:t>
            </w:r>
          </w:p>
        </w:tc>
        <w:tc>
          <w:tcPr>
            <w:tcW w:w="54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p>
        </w:tc>
      </w:tr>
      <w:tr w:rsidR="00CF2A0F" w:rsidRPr="00F1427C" w:rsidTr="005A3710">
        <w:trPr>
          <w:trHeight w:val="165"/>
        </w:trPr>
        <w:tc>
          <w:tcPr>
            <w:tcW w:w="102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Green</w:t>
            </w:r>
          </w:p>
        </w:tc>
        <w:tc>
          <w:tcPr>
            <w:tcW w:w="204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SKIN, BEN EPIT, SKIN ADNEX</w:t>
            </w:r>
          </w:p>
        </w:tc>
        <w:tc>
          <w:tcPr>
            <w:tcW w:w="402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MUC, ADENOM_LG, SUBMUC, MUSC_PROP, MUSC_MUC</w:t>
            </w:r>
          </w:p>
        </w:tc>
        <w:tc>
          <w:tcPr>
            <w:tcW w:w="415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BENIGN LUNG, BRONCHUS, CARTILAGE, GLAND_BRONCH</w:t>
            </w:r>
          </w:p>
        </w:tc>
        <w:tc>
          <w:tcPr>
            <w:tcW w:w="273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KIDNEY_BENIGN, UROTHEL, ADRENAL</w:t>
            </w:r>
          </w:p>
        </w:tc>
        <w:tc>
          <w:tcPr>
            <w:tcW w:w="54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N</w:t>
            </w:r>
          </w:p>
        </w:tc>
      </w:tr>
      <w:tr w:rsidR="00CF2A0F" w:rsidRPr="00F1427C" w:rsidTr="005A3710">
        <w:trPr>
          <w:trHeight w:val="165"/>
        </w:trPr>
        <w:tc>
          <w:tcPr>
            <w:tcW w:w="102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White</w:t>
            </w:r>
          </w:p>
        </w:tc>
        <w:tc>
          <w:tcPr>
            <w:tcW w:w="204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BACK</w:t>
            </w:r>
          </w:p>
        </w:tc>
        <w:tc>
          <w:tcPr>
            <w:tcW w:w="402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BACK</w:t>
            </w:r>
          </w:p>
        </w:tc>
        <w:tc>
          <w:tcPr>
            <w:tcW w:w="415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BACK</w:t>
            </w:r>
          </w:p>
        </w:tc>
        <w:tc>
          <w:tcPr>
            <w:tcW w:w="273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BACK</w:t>
            </w:r>
          </w:p>
        </w:tc>
        <w:tc>
          <w:tcPr>
            <w:tcW w:w="54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rsidR="00CF2A0F" w:rsidRPr="00CF2A0F" w:rsidRDefault="00CF2A0F" w:rsidP="005A3710">
            <w:pPr>
              <w:jc w:val="left"/>
            </w:pPr>
            <w:r w:rsidRPr="00CF2A0F">
              <w:t>BACK</w:t>
            </w:r>
          </w:p>
        </w:tc>
      </w:tr>
    </w:tbl>
    <w:p w:rsidR="00CF2A0F" w:rsidRPr="00CF2A0F" w:rsidRDefault="00CF2A0F" w:rsidP="00CF2A0F"/>
    <w:sectPr w:rsidR="00CF2A0F" w:rsidRPr="00CF2A0F">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38"/>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2A0F"/>
    <w:rsid w:val="000F249B"/>
    <w:rsid w:val="00213EF2"/>
    <w:rsid w:val="00596D0D"/>
    <w:rsid w:val="005F7728"/>
    <w:rsid w:val="00610AEC"/>
    <w:rsid w:val="00CF2A0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01B68A9E"/>
  <w15:chartTrackingRefBased/>
  <w15:docId w15:val="{3D214815-E6FC-DF4C-889A-02952C9AF8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D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CF2A0F"/>
    <w:pPr>
      <w:jc w:val="both"/>
    </w:pPr>
    <w:rPr>
      <w:rFonts w:ascii="Arial" w:hAnsi="Arial" w:cs="Arial"/>
      <w:sz w:val="18"/>
      <w:szCs w:val="18"/>
      <w:lang w:val="en-US"/>
    </w:rPr>
  </w:style>
  <w:style w:type="paragraph" w:styleId="berschrift1">
    <w:name w:val="heading 1"/>
    <w:basedOn w:val="Standard"/>
    <w:next w:val="Standard"/>
    <w:link w:val="berschrift1Zchn"/>
    <w:uiPriority w:val="9"/>
    <w:qFormat/>
    <w:rsid w:val="00CF2A0F"/>
    <w:pPr>
      <w:outlineLvl w:val="0"/>
    </w:pPr>
    <w:rPr>
      <w:b/>
      <w:bCs/>
      <w:sz w:val="22"/>
      <w:szCs w:val="22"/>
    </w:rPr>
  </w:style>
  <w:style w:type="paragraph" w:styleId="berschrift2">
    <w:name w:val="heading 2"/>
    <w:basedOn w:val="Standard"/>
    <w:next w:val="Standard"/>
    <w:link w:val="berschrift2Zchn"/>
    <w:uiPriority w:val="9"/>
    <w:unhideWhenUsed/>
    <w:qFormat/>
    <w:rsid w:val="00CF2A0F"/>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berschrift3">
    <w:name w:val="heading 3"/>
    <w:basedOn w:val="Standard"/>
    <w:next w:val="Standard"/>
    <w:link w:val="berschrift3Zchn"/>
    <w:uiPriority w:val="9"/>
    <w:semiHidden/>
    <w:unhideWhenUsed/>
    <w:qFormat/>
    <w:rsid w:val="00CF2A0F"/>
    <w:pPr>
      <w:keepNext/>
      <w:keepLines/>
      <w:spacing w:before="160" w:after="80"/>
      <w:outlineLvl w:val="2"/>
    </w:pPr>
    <w:rPr>
      <w:rFonts w:eastAsiaTheme="majorEastAsia" w:cstheme="majorBidi"/>
      <w:color w:val="2F5496" w:themeColor="accent1" w:themeShade="BF"/>
      <w:sz w:val="28"/>
      <w:szCs w:val="28"/>
    </w:rPr>
  </w:style>
  <w:style w:type="paragraph" w:styleId="berschrift4">
    <w:name w:val="heading 4"/>
    <w:basedOn w:val="Standard"/>
    <w:next w:val="Standard"/>
    <w:link w:val="berschrift4Zchn"/>
    <w:uiPriority w:val="9"/>
    <w:semiHidden/>
    <w:unhideWhenUsed/>
    <w:qFormat/>
    <w:rsid w:val="00CF2A0F"/>
    <w:pPr>
      <w:keepNext/>
      <w:keepLines/>
      <w:spacing w:before="80" w:after="40"/>
      <w:outlineLvl w:val="3"/>
    </w:pPr>
    <w:rPr>
      <w:rFonts w:eastAsiaTheme="majorEastAsia" w:cstheme="majorBidi"/>
      <w:i/>
      <w:iCs/>
      <w:color w:val="2F5496" w:themeColor="accent1" w:themeShade="BF"/>
    </w:rPr>
  </w:style>
  <w:style w:type="paragraph" w:styleId="berschrift5">
    <w:name w:val="heading 5"/>
    <w:basedOn w:val="Standard"/>
    <w:next w:val="Standard"/>
    <w:link w:val="berschrift5Zchn"/>
    <w:uiPriority w:val="9"/>
    <w:semiHidden/>
    <w:unhideWhenUsed/>
    <w:qFormat/>
    <w:rsid w:val="00CF2A0F"/>
    <w:pPr>
      <w:keepNext/>
      <w:keepLines/>
      <w:spacing w:before="80" w:after="40"/>
      <w:outlineLvl w:val="4"/>
    </w:pPr>
    <w:rPr>
      <w:rFonts w:eastAsiaTheme="majorEastAsia" w:cstheme="majorBidi"/>
      <w:color w:val="2F5496" w:themeColor="accent1" w:themeShade="BF"/>
    </w:rPr>
  </w:style>
  <w:style w:type="paragraph" w:styleId="berschrift6">
    <w:name w:val="heading 6"/>
    <w:basedOn w:val="Standard"/>
    <w:next w:val="Standard"/>
    <w:link w:val="berschrift6Zchn"/>
    <w:uiPriority w:val="9"/>
    <w:semiHidden/>
    <w:unhideWhenUsed/>
    <w:qFormat/>
    <w:rsid w:val="00CF2A0F"/>
    <w:pPr>
      <w:keepNext/>
      <w:keepLines/>
      <w:spacing w:before="4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CF2A0F"/>
    <w:pPr>
      <w:keepNext/>
      <w:keepLines/>
      <w:spacing w:before="4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CF2A0F"/>
    <w:pPr>
      <w:keepNext/>
      <w:keepLines/>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CF2A0F"/>
    <w:pPr>
      <w:keepNext/>
      <w:keepLines/>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
    <w:name w:val="Table"/>
    <w:basedOn w:val="Gitternetztabelle1hell"/>
    <w:uiPriority w:val="99"/>
    <w:rsid w:val="00610AEC"/>
    <w:rPr>
      <w:rFonts w:ascii="Arial" w:eastAsiaTheme="minorEastAsia" w:hAnsi="Arial"/>
      <w:kern w:val="0"/>
      <w:sz w:val="18"/>
      <w:szCs w:val="20"/>
      <w:lang w:val="en-US" w:eastAsia="zh-C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
    <w:name w:val="Grid Table 1 Light"/>
    <w:basedOn w:val="NormaleTabelle"/>
    <w:uiPriority w:val="46"/>
    <w:rsid w:val="00610AEC"/>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berschrift1Zchn">
    <w:name w:val="Überschrift 1 Zchn"/>
    <w:basedOn w:val="Absatz-Standardschriftart"/>
    <w:link w:val="berschrift1"/>
    <w:uiPriority w:val="9"/>
    <w:rsid w:val="00CF2A0F"/>
    <w:rPr>
      <w:rFonts w:ascii="Arial" w:hAnsi="Arial" w:cs="Arial"/>
      <w:b/>
      <w:bCs/>
      <w:sz w:val="22"/>
      <w:szCs w:val="22"/>
    </w:rPr>
  </w:style>
  <w:style w:type="character" w:customStyle="1" w:styleId="berschrift2Zchn">
    <w:name w:val="Überschrift 2 Zchn"/>
    <w:basedOn w:val="Absatz-Standardschriftart"/>
    <w:link w:val="berschrift2"/>
    <w:uiPriority w:val="9"/>
    <w:rsid w:val="00CF2A0F"/>
    <w:rPr>
      <w:rFonts w:asciiTheme="majorHAnsi" w:eastAsiaTheme="majorEastAsia" w:hAnsiTheme="majorHAnsi" w:cstheme="majorBidi"/>
      <w:color w:val="2F5496" w:themeColor="accent1" w:themeShade="BF"/>
      <w:sz w:val="32"/>
      <w:szCs w:val="32"/>
    </w:rPr>
  </w:style>
  <w:style w:type="character" w:customStyle="1" w:styleId="berschrift3Zchn">
    <w:name w:val="Überschrift 3 Zchn"/>
    <w:basedOn w:val="Absatz-Standardschriftart"/>
    <w:link w:val="berschrift3"/>
    <w:uiPriority w:val="9"/>
    <w:semiHidden/>
    <w:rsid w:val="00CF2A0F"/>
    <w:rPr>
      <w:rFonts w:eastAsiaTheme="majorEastAsia" w:cstheme="majorBidi"/>
      <w:color w:val="2F5496" w:themeColor="accent1" w:themeShade="BF"/>
      <w:sz w:val="28"/>
      <w:szCs w:val="28"/>
    </w:rPr>
  </w:style>
  <w:style w:type="character" w:customStyle="1" w:styleId="berschrift4Zchn">
    <w:name w:val="Überschrift 4 Zchn"/>
    <w:basedOn w:val="Absatz-Standardschriftart"/>
    <w:link w:val="berschrift4"/>
    <w:uiPriority w:val="9"/>
    <w:semiHidden/>
    <w:rsid w:val="00CF2A0F"/>
    <w:rPr>
      <w:rFonts w:eastAsiaTheme="majorEastAsia" w:cstheme="majorBidi"/>
      <w:i/>
      <w:iCs/>
      <w:color w:val="2F5496" w:themeColor="accent1" w:themeShade="BF"/>
    </w:rPr>
  </w:style>
  <w:style w:type="character" w:customStyle="1" w:styleId="berschrift5Zchn">
    <w:name w:val="Überschrift 5 Zchn"/>
    <w:basedOn w:val="Absatz-Standardschriftart"/>
    <w:link w:val="berschrift5"/>
    <w:uiPriority w:val="9"/>
    <w:semiHidden/>
    <w:rsid w:val="00CF2A0F"/>
    <w:rPr>
      <w:rFonts w:eastAsiaTheme="majorEastAsia" w:cstheme="majorBidi"/>
      <w:color w:val="2F5496" w:themeColor="accent1" w:themeShade="BF"/>
    </w:rPr>
  </w:style>
  <w:style w:type="character" w:customStyle="1" w:styleId="berschrift6Zchn">
    <w:name w:val="Überschrift 6 Zchn"/>
    <w:basedOn w:val="Absatz-Standardschriftart"/>
    <w:link w:val="berschrift6"/>
    <w:uiPriority w:val="9"/>
    <w:semiHidden/>
    <w:rsid w:val="00CF2A0F"/>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CF2A0F"/>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CF2A0F"/>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CF2A0F"/>
    <w:rPr>
      <w:rFonts w:eastAsiaTheme="majorEastAsia" w:cstheme="majorBidi"/>
      <w:color w:val="272727" w:themeColor="text1" w:themeTint="D8"/>
    </w:rPr>
  </w:style>
  <w:style w:type="paragraph" w:styleId="Titel">
    <w:name w:val="Title"/>
    <w:basedOn w:val="Standard"/>
    <w:next w:val="Standard"/>
    <w:link w:val="TitelZchn"/>
    <w:uiPriority w:val="10"/>
    <w:qFormat/>
    <w:rsid w:val="00CF2A0F"/>
    <w:pPr>
      <w:spacing w:after="80"/>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CF2A0F"/>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CF2A0F"/>
    <w:pPr>
      <w:numPr>
        <w:ilvl w:val="1"/>
      </w:numPr>
      <w:spacing w:after="160"/>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CF2A0F"/>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CF2A0F"/>
    <w:pPr>
      <w:spacing w:before="160" w:after="160"/>
      <w:jc w:val="center"/>
    </w:pPr>
    <w:rPr>
      <w:i/>
      <w:iCs/>
      <w:color w:val="404040" w:themeColor="text1" w:themeTint="BF"/>
    </w:rPr>
  </w:style>
  <w:style w:type="character" w:customStyle="1" w:styleId="ZitatZchn">
    <w:name w:val="Zitat Zchn"/>
    <w:basedOn w:val="Absatz-Standardschriftart"/>
    <w:link w:val="Zitat"/>
    <w:uiPriority w:val="29"/>
    <w:rsid w:val="00CF2A0F"/>
    <w:rPr>
      <w:i/>
      <w:iCs/>
      <w:color w:val="404040" w:themeColor="text1" w:themeTint="BF"/>
    </w:rPr>
  </w:style>
  <w:style w:type="paragraph" w:styleId="Listenabsatz">
    <w:name w:val="List Paragraph"/>
    <w:basedOn w:val="Standard"/>
    <w:uiPriority w:val="34"/>
    <w:qFormat/>
    <w:rsid w:val="00CF2A0F"/>
    <w:pPr>
      <w:ind w:left="720"/>
      <w:contextualSpacing/>
    </w:pPr>
  </w:style>
  <w:style w:type="character" w:styleId="IntensiveHervorhebung">
    <w:name w:val="Intense Emphasis"/>
    <w:basedOn w:val="Absatz-Standardschriftart"/>
    <w:uiPriority w:val="21"/>
    <w:qFormat/>
    <w:rsid w:val="00CF2A0F"/>
    <w:rPr>
      <w:i/>
      <w:iCs/>
      <w:color w:val="2F5496" w:themeColor="accent1" w:themeShade="BF"/>
    </w:rPr>
  </w:style>
  <w:style w:type="paragraph" w:styleId="IntensivesZitat">
    <w:name w:val="Intense Quote"/>
    <w:basedOn w:val="Standard"/>
    <w:next w:val="Standard"/>
    <w:link w:val="IntensivesZitatZchn"/>
    <w:uiPriority w:val="30"/>
    <w:qFormat/>
    <w:rsid w:val="00CF2A0F"/>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ivesZitatZchn">
    <w:name w:val="Intensives Zitat Zchn"/>
    <w:basedOn w:val="Absatz-Standardschriftart"/>
    <w:link w:val="IntensivesZitat"/>
    <w:uiPriority w:val="30"/>
    <w:rsid w:val="00CF2A0F"/>
    <w:rPr>
      <w:i/>
      <w:iCs/>
      <w:color w:val="2F5496" w:themeColor="accent1" w:themeShade="BF"/>
    </w:rPr>
  </w:style>
  <w:style w:type="character" w:styleId="IntensiverVerweis">
    <w:name w:val="Intense Reference"/>
    <w:basedOn w:val="Absatz-Standardschriftart"/>
    <w:uiPriority w:val="32"/>
    <w:qFormat/>
    <w:rsid w:val="00CF2A0F"/>
    <w:rPr>
      <w:b/>
      <w:bCs/>
      <w:smallCaps/>
      <w:color w:val="2F5496" w:themeColor="accent1" w:themeShade="BF"/>
      <w:spacing w:val="5"/>
    </w:rPr>
  </w:style>
  <w:style w:type="paragraph" w:styleId="KeinLeerraum">
    <w:name w:val="No Spacing"/>
    <w:uiPriority w:val="1"/>
    <w:qFormat/>
    <w:rsid w:val="00CF2A0F"/>
    <w:pPr>
      <w:jc w:val="both"/>
    </w:pPr>
    <w:rPr>
      <w:rFonts w:ascii="Arial" w:hAnsi="Arial" w:cs="Arial"/>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3" Type="http://schemas.openxmlformats.org/officeDocument/2006/relationships/webSettings" Target="webSettings.xml"/><Relationship Id="rId7" Type="http://schemas.openxmlformats.org/officeDocument/2006/relationships/image" Target="media/image4.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theme" Target="theme/theme1.xml"/><Relationship Id="rId5" Type="http://schemas.openxmlformats.org/officeDocument/2006/relationships/image" Target="media/image2.emf"/><Relationship Id="rId10" Type="http://schemas.openxmlformats.org/officeDocument/2006/relationships/fontTable" Target="fontTable.xml"/><Relationship Id="rId4" Type="http://schemas.openxmlformats.org/officeDocument/2006/relationships/image" Target="media/image1.emf"/><Relationship Id="rId9" Type="http://schemas.openxmlformats.org/officeDocument/2006/relationships/image" Target="media/image6.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Pages>
  <Words>603</Words>
  <Characters>3803</Characters>
  <Application>Microsoft Office Word</Application>
  <DocSecurity>0</DocSecurity>
  <Lines>31</Lines>
  <Paragraphs>8</Paragraphs>
  <ScaleCrop>false</ScaleCrop>
  <Company/>
  <LinksUpToDate>false</LinksUpToDate>
  <CharactersWithSpaces>4398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Tillmann Bedau</dc:creator>
  <cp:keywords/>
  <dc:description/>
  <cp:lastModifiedBy>Tillmann Bedau</cp:lastModifiedBy>
  <cp:revision>1</cp:revision>
  <dcterms:created xsi:type="dcterms:W3CDTF">2026-02-02T13:58:00Z</dcterms:created>
  <dcterms:modified xsi:type="dcterms:W3CDTF">2026-02-02T14:05:00Z</dcterms:modified>
</cp:coreProperties>
</file>