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2CF250">
      <w:pPr>
        <w:jc w:val="center"/>
        <w:rPr>
          <w:color w:val="auto"/>
          <w:sz w:val="36"/>
          <w:szCs w:val="36"/>
          <w:highlight w:val="none"/>
        </w:rPr>
      </w:pPr>
      <w:bookmarkStart w:id="2" w:name="_GoBack"/>
    </w:p>
    <w:p w14:paraId="3958C2DA">
      <w:pPr>
        <w:rPr>
          <w:color w:val="auto"/>
          <w:sz w:val="36"/>
          <w:szCs w:val="36"/>
          <w:highlight w:val="none"/>
        </w:rPr>
      </w:pPr>
    </w:p>
    <w:p w14:paraId="1D37EC3B">
      <w:pPr>
        <w:jc w:val="center"/>
        <w:rPr>
          <w:color w:val="auto"/>
          <w:sz w:val="36"/>
          <w:szCs w:val="36"/>
          <w:highlight w:val="none"/>
        </w:rPr>
      </w:pPr>
    </w:p>
    <w:p w14:paraId="056E4E68">
      <w:pPr>
        <w:jc w:val="center"/>
        <w:rPr>
          <w:color w:val="auto"/>
          <w:sz w:val="36"/>
          <w:szCs w:val="36"/>
          <w:highlight w:val="none"/>
        </w:rPr>
      </w:pPr>
      <w:r>
        <w:rPr>
          <w:color w:val="auto"/>
          <w:sz w:val="36"/>
          <w:szCs w:val="36"/>
          <w:highlight w:val="none"/>
        </w:rPr>
        <w:t>Supplementary Materials for</w:t>
      </w:r>
    </w:p>
    <w:p w14:paraId="73C29D62">
      <w:pPr>
        <w:rPr>
          <w:color w:val="auto"/>
          <w:highlight w:val="none"/>
        </w:rPr>
      </w:pPr>
    </w:p>
    <w:p w14:paraId="0C1C9BE3">
      <w:pPr>
        <w:jc w:val="center"/>
        <w:rPr>
          <w:b/>
          <w:bCs/>
          <w:color w:val="auto"/>
          <w:sz w:val="28"/>
          <w:szCs w:val="28"/>
          <w:highlight w:val="none"/>
        </w:rPr>
      </w:pPr>
      <w:r>
        <w:rPr>
          <w:rFonts w:hint="eastAsia"/>
          <w:b/>
          <w:bCs/>
          <w:color w:val="auto"/>
          <w:sz w:val="28"/>
          <w:szCs w:val="28"/>
          <w:highlight w:val="none"/>
        </w:rPr>
        <w:t>Deltex E3 ubiquitin ligase 2 potentiates STING-mediated type I interferon response by K63-linked ubiquitination</w:t>
      </w:r>
    </w:p>
    <w:p w14:paraId="4094FA81">
      <w:pPr>
        <w:jc w:val="center"/>
        <w:rPr>
          <w:i/>
          <w:iCs/>
          <w:color w:val="auto"/>
          <w:szCs w:val="24"/>
          <w:highlight w:val="none"/>
        </w:rPr>
      </w:pPr>
      <w:r>
        <w:rPr>
          <w:color w:val="auto"/>
          <w:highlight w:val="none"/>
        </w:rPr>
        <w:t>Zhuang Liu</w:t>
      </w:r>
      <w:r>
        <w:rPr>
          <w:rFonts w:hint="eastAsia" w:eastAsia="宋体"/>
          <w:color w:val="auto"/>
          <w:szCs w:val="24"/>
          <w:highlight w:val="none"/>
          <w:lang w:eastAsia="zh-CN"/>
        </w:rPr>
        <w:t xml:space="preserve">, </w:t>
      </w:r>
      <w:r>
        <w:rPr>
          <w:rFonts w:hint="eastAsia" w:eastAsiaTheme="minorEastAsia"/>
          <w:color w:val="auto"/>
          <w:highlight w:val="none"/>
          <w:lang w:eastAsia="zh-CN"/>
        </w:rPr>
        <w:t>Runze Li</w:t>
      </w:r>
      <w:r>
        <w:rPr>
          <w:rFonts w:hint="eastAsia" w:eastAsia="宋体"/>
          <w:color w:val="auto"/>
          <w:szCs w:val="24"/>
          <w:highlight w:val="none"/>
          <w:lang w:eastAsia="zh-CN"/>
        </w:rPr>
        <w:t xml:space="preserve">, </w:t>
      </w:r>
      <w:r>
        <w:rPr>
          <w:i/>
          <w:iCs/>
          <w:color w:val="auto"/>
          <w:szCs w:val="24"/>
          <w:highlight w:val="none"/>
        </w:rPr>
        <w:t>et al.</w:t>
      </w:r>
    </w:p>
    <w:p w14:paraId="2E5AF2B1">
      <w:pPr>
        <w:jc w:val="center"/>
        <w:rPr>
          <w:color w:val="auto"/>
          <w:szCs w:val="24"/>
          <w:highlight w:val="none"/>
        </w:rPr>
      </w:pPr>
    </w:p>
    <w:p w14:paraId="721D433E">
      <w:pPr>
        <w:jc w:val="center"/>
        <w:rPr>
          <w:color w:val="auto"/>
          <w:sz w:val="20"/>
          <w:highlight w:val="none"/>
        </w:rPr>
      </w:pPr>
      <w:r>
        <w:rPr>
          <w:color w:val="auto"/>
          <w:sz w:val="20"/>
          <w:highlight w:val="none"/>
        </w:rPr>
        <w:t xml:space="preserve">*Corresponding author. </w:t>
      </w:r>
      <w:r>
        <w:rPr>
          <w:rFonts w:hint="eastAsia"/>
          <w:color w:val="auto"/>
          <w:sz w:val="20"/>
          <w:highlight w:val="none"/>
        </w:rPr>
        <w:t>E-mail: liuchang419@tmu.edu.cn (Chang Liu), shenyanna@tmu.edu.cn (Yanna Shen), qizhi@nankai.edu.cn (Zhi Qi), wxd.1133@163.com (Xudong Wang)</w:t>
      </w:r>
    </w:p>
    <w:p w14:paraId="67A9A4A5">
      <w:pPr>
        <w:pStyle w:val="143"/>
        <w:rPr>
          <w:color w:val="auto"/>
          <w:highlight w:val="none"/>
        </w:rPr>
      </w:pPr>
    </w:p>
    <w:p w14:paraId="721E4958">
      <w:pPr>
        <w:jc w:val="center"/>
        <w:rPr>
          <w:color w:val="auto"/>
          <w:highlight w:val="none"/>
        </w:rPr>
      </w:pPr>
    </w:p>
    <w:p w14:paraId="0EF0BB65">
      <w:pPr>
        <w:jc w:val="center"/>
        <w:rPr>
          <w:color w:val="auto"/>
          <w:szCs w:val="24"/>
          <w:highlight w:val="none"/>
        </w:rPr>
      </w:pPr>
    </w:p>
    <w:p w14:paraId="4451C012">
      <w:pPr>
        <w:rPr>
          <w:color w:val="auto"/>
          <w:highlight w:val="none"/>
        </w:rPr>
      </w:pPr>
    </w:p>
    <w:p w14:paraId="0F425D17">
      <w:pPr>
        <w:rPr>
          <w:b/>
          <w:color w:val="auto"/>
          <w:highlight w:val="none"/>
        </w:rPr>
      </w:pPr>
    </w:p>
    <w:p w14:paraId="7FF9FA11">
      <w:pPr>
        <w:rPr>
          <w:b/>
          <w:color w:val="auto"/>
          <w:highlight w:val="none"/>
        </w:rPr>
      </w:pPr>
      <w:r>
        <w:rPr>
          <w:b/>
          <w:color w:val="auto"/>
          <w:highlight w:val="none"/>
        </w:rPr>
        <w:t>This PDF file includes:</w:t>
      </w:r>
    </w:p>
    <w:p w14:paraId="33FB5FA7">
      <w:pPr>
        <w:rPr>
          <w:color w:val="auto"/>
          <w:highlight w:val="none"/>
        </w:rPr>
      </w:pPr>
    </w:p>
    <w:p w14:paraId="4D915EB6">
      <w:pPr>
        <w:ind w:left="720"/>
        <w:rPr>
          <w:rFonts w:eastAsia="宋体"/>
          <w:color w:val="auto"/>
          <w:highlight w:val="none"/>
          <w:lang w:eastAsia="zh-CN"/>
        </w:rPr>
      </w:pPr>
      <w:r>
        <w:rPr>
          <w:color w:val="auto"/>
          <w:highlight w:val="none"/>
        </w:rPr>
        <w:t>Figs. S1 to S</w:t>
      </w:r>
      <w:r>
        <w:rPr>
          <w:rFonts w:hint="eastAsia" w:eastAsia="宋体"/>
          <w:color w:val="auto"/>
          <w:highlight w:val="none"/>
          <w:lang w:val="en-US" w:eastAsia="zh-CN"/>
        </w:rPr>
        <w:t>9</w:t>
      </w:r>
    </w:p>
    <w:p w14:paraId="5CEB4C2C">
      <w:pPr>
        <w:ind w:left="720"/>
        <w:rPr>
          <w:color w:val="auto"/>
          <w:highlight w:val="none"/>
        </w:rPr>
      </w:pPr>
      <w:r>
        <w:rPr>
          <w:color w:val="auto"/>
          <w:highlight w:val="none"/>
        </w:rPr>
        <w:br w:type="textWrapping"/>
      </w:r>
    </w:p>
    <w:p w14:paraId="49D62EF1">
      <w:pPr>
        <w:pStyle w:val="101"/>
        <w:rPr>
          <w:color w:val="auto"/>
          <w:highlight w:val="none"/>
        </w:rPr>
      </w:pPr>
      <w:r>
        <w:rPr>
          <w:color w:val="auto"/>
          <w:highlight w:val="none"/>
        </w:rPr>
        <w:br w:type="page"/>
      </w:r>
      <w:bookmarkStart w:id="0" w:name="MaterialsMethods"/>
      <w:bookmarkEnd w:id="0"/>
      <w:bookmarkStart w:id="1" w:name="Tables"/>
      <w:bookmarkEnd w:id="1"/>
    </w:p>
    <w:p w14:paraId="38D3B02A">
      <w:pPr>
        <w:jc w:val="center"/>
        <w:rPr>
          <w:rFonts w:eastAsiaTheme="minorEastAsia"/>
          <w:color w:val="auto"/>
          <w:sz w:val="22"/>
          <w:szCs w:val="22"/>
          <w:highlight w:val="none"/>
          <w:lang w:eastAsia="zh-CN"/>
        </w:rPr>
      </w:pPr>
      <w:r>
        <w:rPr>
          <w:rFonts w:eastAsiaTheme="minorEastAsia"/>
          <w:color w:val="auto"/>
          <w:sz w:val="22"/>
          <w:szCs w:val="22"/>
          <w:highlight w:val="none"/>
          <w:lang w:eastAsia="zh-CN"/>
        </w:rPr>
        <w:drawing>
          <wp:inline distT="0" distB="0" distL="114300" distR="114300">
            <wp:extent cx="5892800" cy="8225155"/>
            <wp:effectExtent l="0" t="0" r="0" b="4445"/>
            <wp:docPr id="6" name="图片 6" descr="Revised 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Revised figure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D257">
      <w:pPr>
        <w:jc w:val="both"/>
        <w:rPr>
          <w:rFonts w:eastAsiaTheme="minorEastAsia"/>
          <w:color w:val="auto"/>
          <w:sz w:val="21"/>
          <w:szCs w:val="21"/>
          <w:highlight w:val="none"/>
          <w:lang w:eastAsia="zh-CN"/>
        </w:rPr>
      </w:pP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 xml:space="preserve">Figure S1. DTX2 positively regulates dsDNA-induced type I interferon response. A, B) Dtx2 expression in PMs infected with HSV-1 for the indicated time was detected by RT-PCR (A) and western blot assay (B). C) The image of sex- and age-matched WT and </w:t>
      </w:r>
      <w:r>
        <w:rPr>
          <w:rFonts w:hint="eastAsia" w:eastAsiaTheme="minorEastAsia"/>
          <w:i/>
          <w:iCs/>
          <w:color w:val="auto"/>
          <w:sz w:val="21"/>
          <w:szCs w:val="21"/>
          <w:highlight w:val="none"/>
          <w:lang w:eastAsia="zh-CN"/>
        </w:rPr>
        <w:t>Dtx2</w:t>
      </w:r>
      <w:r>
        <w:rPr>
          <w:rFonts w:hint="eastAsia" w:eastAsiaTheme="minorEastAsia"/>
          <w:color w:val="auto"/>
          <w:sz w:val="21"/>
          <w:szCs w:val="21"/>
          <w:highlight w:val="none"/>
          <w:vertAlign w:val="superscript"/>
          <w:lang w:eastAsia="zh-CN"/>
        </w:rPr>
        <w:t xml:space="preserve">-/- 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 xml:space="preserve">mice. D) The body weight of sex- and age-matched WT and </w:t>
      </w:r>
      <w:r>
        <w:rPr>
          <w:rFonts w:hint="eastAsia" w:eastAsiaTheme="minorEastAsia"/>
          <w:i/>
          <w:iCs/>
          <w:color w:val="auto"/>
          <w:sz w:val="21"/>
          <w:szCs w:val="21"/>
          <w:highlight w:val="none"/>
          <w:lang w:eastAsia="zh-CN"/>
        </w:rPr>
        <w:t>Dtx2</w:t>
      </w:r>
      <w:r>
        <w:rPr>
          <w:rFonts w:hint="eastAsia" w:eastAsiaTheme="minorEastAsia"/>
          <w:color w:val="auto"/>
          <w:sz w:val="21"/>
          <w:szCs w:val="21"/>
          <w:highlight w:val="none"/>
          <w:vertAlign w:val="superscript"/>
          <w:lang w:eastAsia="zh-CN"/>
        </w:rPr>
        <w:t>-/-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 xml:space="preserve"> mice (n = 6). E-J) Dtx2 expression in BMDMs (E, F), PMs (G, H), and MEFs (I, J) from WT and </w:t>
      </w:r>
      <w:r>
        <w:rPr>
          <w:rFonts w:hint="eastAsia" w:eastAsiaTheme="minorEastAsia"/>
          <w:i/>
          <w:iCs/>
          <w:color w:val="auto"/>
          <w:sz w:val="21"/>
          <w:szCs w:val="21"/>
          <w:highlight w:val="none"/>
          <w:lang w:eastAsia="zh-CN"/>
        </w:rPr>
        <w:t>Dtx2</w:t>
      </w:r>
      <w:r>
        <w:rPr>
          <w:rFonts w:hint="eastAsia" w:eastAsiaTheme="minorEastAsia"/>
          <w:color w:val="auto"/>
          <w:sz w:val="21"/>
          <w:szCs w:val="21"/>
          <w:highlight w:val="none"/>
          <w:vertAlign w:val="superscript"/>
          <w:lang w:eastAsia="zh-CN"/>
        </w:rPr>
        <w:t>-/-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 xml:space="preserve"> mice was detected by RT-PCR assay and western blot assay. K-M) WT and </w:t>
      </w:r>
      <w:r>
        <w:rPr>
          <w:rFonts w:hint="eastAsia" w:eastAsiaTheme="minorEastAsia"/>
          <w:i/>
          <w:iCs/>
          <w:color w:val="auto"/>
          <w:sz w:val="21"/>
          <w:szCs w:val="21"/>
          <w:highlight w:val="none"/>
          <w:lang w:eastAsia="zh-CN"/>
        </w:rPr>
        <w:t>Dtx2</w:t>
      </w:r>
      <w:r>
        <w:rPr>
          <w:rFonts w:hint="eastAsia" w:eastAsiaTheme="minorEastAsia"/>
          <w:color w:val="auto"/>
          <w:sz w:val="21"/>
          <w:szCs w:val="21"/>
          <w:highlight w:val="none"/>
          <w:vertAlign w:val="superscript"/>
          <w:lang w:eastAsia="zh-CN"/>
        </w:rPr>
        <w:t>-/-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 xml:space="preserve"> PMs were infected with HSV-1(K), or stimulated with cGAMP (L) and ISD (M) for the 0, 4, and 8 h. RT-PCR was used to measure the mRNA expression of </w:t>
      </w:r>
      <w:r>
        <w:rPr>
          <w:rFonts w:hint="eastAsia" w:eastAsiaTheme="minorEastAsia"/>
          <w:i/>
          <w:iCs/>
          <w:color w:val="auto"/>
          <w:sz w:val="21"/>
          <w:szCs w:val="21"/>
          <w:highlight w:val="none"/>
          <w:lang w:eastAsia="zh-CN"/>
        </w:rPr>
        <w:t>Ifnb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 xml:space="preserve">, </w:t>
      </w:r>
      <w:r>
        <w:rPr>
          <w:rFonts w:hint="eastAsia" w:eastAsiaTheme="minorEastAsia"/>
          <w:i/>
          <w:iCs/>
          <w:color w:val="auto"/>
          <w:sz w:val="21"/>
          <w:szCs w:val="21"/>
          <w:highlight w:val="none"/>
          <w:lang w:eastAsia="zh-CN"/>
        </w:rPr>
        <w:t>Ccl5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 xml:space="preserve">, and </w:t>
      </w:r>
      <w:r>
        <w:rPr>
          <w:rFonts w:hint="eastAsia" w:eastAsiaTheme="minorEastAsia"/>
          <w:i/>
          <w:iCs/>
          <w:color w:val="auto"/>
          <w:sz w:val="21"/>
          <w:szCs w:val="21"/>
          <w:highlight w:val="none"/>
          <w:lang w:eastAsia="zh-CN"/>
        </w:rPr>
        <w:t>Cxcl10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.</w:t>
      </w:r>
      <w:r>
        <w:rPr>
          <w:rFonts w:hint="eastAsia" w:eastAsiaTheme="minorEastAsia"/>
          <w:color w:val="auto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eastAsiaTheme="minorEastAsia"/>
          <w:color w:val="auto"/>
          <w:sz w:val="21"/>
          <w:szCs w:val="21"/>
          <w:highlight w:val="none"/>
          <w:lang w:val="en-US" w:eastAsia="zh-CN"/>
        </w:rPr>
        <w:t>N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 xml:space="preserve">) WT and </w:t>
      </w:r>
      <w:r>
        <w:rPr>
          <w:rFonts w:hint="eastAsia" w:eastAsiaTheme="minorEastAsia"/>
          <w:i/>
          <w:iCs/>
          <w:color w:val="auto"/>
          <w:sz w:val="21"/>
          <w:szCs w:val="21"/>
          <w:highlight w:val="none"/>
          <w:lang w:eastAsia="zh-CN"/>
        </w:rPr>
        <w:t>Dtx2</w:t>
      </w:r>
      <w:r>
        <w:rPr>
          <w:rFonts w:hint="eastAsia" w:eastAsiaTheme="minorEastAsia"/>
          <w:color w:val="auto"/>
          <w:sz w:val="21"/>
          <w:szCs w:val="21"/>
          <w:highlight w:val="none"/>
          <w:vertAlign w:val="superscript"/>
          <w:lang w:eastAsia="zh-CN"/>
        </w:rPr>
        <w:t>-/-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 xml:space="preserve"> BMDMs were infected with </w:t>
      </w:r>
      <w:r>
        <w:rPr>
          <w:rFonts w:hint="eastAsia" w:eastAsiaTheme="minorEastAsia"/>
          <w:color w:val="auto"/>
          <w:sz w:val="21"/>
          <w:szCs w:val="21"/>
          <w:highlight w:val="none"/>
          <w:lang w:val="en-US" w:eastAsia="zh-CN"/>
        </w:rPr>
        <w:t xml:space="preserve">SeV 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 xml:space="preserve">for the 0, 4, and 8 h. RT-PCR was used to measure the mRNA expression of </w:t>
      </w:r>
      <w:r>
        <w:rPr>
          <w:rFonts w:hint="eastAsia" w:eastAsiaTheme="minorEastAsia"/>
          <w:i/>
          <w:iCs/>
          <w:color w:val="auto"/>
          <w:sz w:val="21"/>
          <w:szCs w:val="21"/>
          <w:highlight w:val="none"/>
          <w:lang w:eastAsia="zh-CN"/>
        </w:rPr>
        <w:t>Ifnb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 xml:space="preserve"> and </w:t>
      </w:r>
      <w:r>
        <w:rPr>
          <w:rFonts w:hint="eastAsia" w:eastAsiaTheme="minorEastAsia"/>
          <w:i/>
          <w:iCs/>
          <w:color w:val="auto"/>
          <w:sz w:val="21"/>
          <w:szCs w:val="21"/>
          <w:highlight w:val="none"/>
          <w:lang w:eastAsia="zh-CN"/>
        </w:rPr>
        <w:t>Cxcl10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.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 xml:space="preserve"> Data in (D, E, G, I, K-</w:t>
      </w:r>
      <w:r>
        <w:rPr>
          <w:rFonts w:hint="eastAsia" w:eastAsiaTheme="minorEastAsia"/>
          <w:color w:val="auto"/>
          <w:sz w:val="21"/>
          <w:szCs w:val="21"/>
          <w:highlight w:val="none"/>
          <w:lang w:val="en-US" w:eastAsia="zh-CN"/>
        </w:rPr>
        <w:t>N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) are shown as mean</w:t>
      </w:r>
      <w:r>
        <w:rPr>
          <w:rFonts w:eastAsiaTheme="minorEastAsia"/>
          <w:color w:val="auto"/>
          <w:sz w:val="21"/>
          <w:szCs w:val="21"/>
          <w:highlight w:val="none"/>
          <w:lang w:eastAsia="zh-CN"/>
        </w:rPr>
        <w:t xml:space="preserve"> ± 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SD of three independent experiments. *</w:t>
      </w:r>
      <w:r>
        <w:rPr>
          <w:rFonts w:hint="eastAsia" w:eastAsiaTheme="minorEastAsia"/>
          <w:i/>
          <w:iCs/>
          <w:color w:val="auto"/>
          <w:sz w:val="21"/>
          <w:szCs w:val="21"/>
          <w:highlight w:val="none"/>
          <w:lang w:eastAsia="zh-CN"/>
        </w:rPr>
        <w:t>p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 xml:space="preserve"> &lt; 0.05, **</w:t>
      </w:r>
      <w:r>
        <w:rPr>
          <w:rFonts w:hint="eastAsia" w:eastAsiaTheme="minorEastAsia"/>
          <w:i/>
          <w:iCs/>
          <w:color w:val="auto"/>
          <w:sz w:val="21"/>
          <w:szCs w:val="21"/>
          <w:highlight w:val="none"/>
          <w:lang w:eastAsia="zh-CN"/>
        </w:rPr>
        <w:t>p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 xml:space="preserve"> &lt; 0.01, ***</w:t>
      </w:r>
      <w:r>
        <w:rPr>
          <w:rFonts w:hint="eastAsia" w:eastAsiaTheme="minorEastAsia"/>
          <w:i/>
          <w:iCs/>
          <w:color w:val="auto"/>
          <w:sz w:val="21"/>
          <w:szCs w:val="21"/>
          <w:highlight w:val="none"/>
          <w:lang w:eastAsia="zh-CN"/>
        </w:rPr>
        <w:t>p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 xml:space="preserve"> &lt;0.001, </w:t>
      </w:r>
      <w:r>
        <w:rPr>
          <w:rFonts w:eastAsiaTheme="minorEastAsia"/>
          <w:color w:val="auto"/>
          <w:sz w:val="21"/>
          <w:szCs w:val="21"/>
          <w:highlight w:val="none"/>
          <w:lang w:eastAsia="zh-CN"/>
        </w:rPr>
        <w:t>NS means no significance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.</w:t>
      </w:r>
    </w:p>
    <w:p w14:paraId="6539560E">
      <w:pPr>
        <w:jc w:val="both"/>
        <w:rPr>
          <w:rFonts w:eastAsiaTheme="minorEastAsia"/>
          <w:color w:val="auto"/>
          <w:sz w:val="21"/>
          <w:szCs w:val="21"/>
          <w:highlight w:val="none"/>
          <w:lang w:eastAsia="zh-CN"/>
        </w:rPr>
      </w:pPr>
    </w:p>
    <w:p w14:paraId="67722E2D">
      <w:pPr>
        <w:jc w:val="both"/>
        <w:rPr>
          <w:rFonts w:eastAsiaTheme="minorEastAsia"/>
          <w:color w:val="auto"/>
          <w:sz w:val="21"/>
          <w:szCs w:val="21"/>
          <w:highlight w:val="none"/>
          <w:lang w:eastAsia="zh-CN"/>
        </w:rPr>
      </w:pPr>
    </w:p>
    <w:p w14:paraId="6D548533">
      <w:pPr>
        <w:jc w:val="both"/>
        <w:rPr>
          <w:rFonts w:eastAsiaTheme="minorEastAsia"/>
          <w:color w:val="auto"/>
          <w:sz w:val="21"/>
          <w:szCs w:val="21"/>
          <w:highlight w:val="none"/>
          <w:lang w:eastAsia="zh-CN"/>
        </w:rPr>
      </w:pPr>
    </w:p>
    <w:p w14:paraId="4B7B3F46">
      <w:pPr>
        <w:jc w:val="both"/>
        <w:rPr>
          <w:rFonts w:eastAsiaTheme="minorEastAsia"/>
          <w:color w:val="auto"/>
          <w:sz w:val="21"/>
          <w:szCs w:val="21"/>
          <w:highlight w:val="none"/>
          <w:lang w:eastAsia="zh-CN"/>
        </w:rPr>
      </w:pPr>
    </w:p>
    <w:p w14:paraId="0C24AFAB">
      <w:pPr>
        <w:jc w:val="both"/>
        <w:rPr>
          <w:rFonts w:eastAsiaTheme="minorEastAsia"/>
          <w:color w:val="auto"/>
          <w:sz w:val="21"/>
          <w:szCs w:val="21"/>
          <w:highlight w:val="none"/>
          <w:lang w:eastAsia="zh-CN"/>
        </w:rPr>
      </w:pPr>
    </w:p>
    <w:p w14:paraId="6FB29EDB">
      <w:pPr>
        <w:jc w:val="both"/>
        <w:rPr>
          <w:rFonts w:eastAsiaTheme="minorEastAsia"/>
          <w:color w:val="auto"/>
          <w:sz w:val="21"/>
          <w:szCs w:val="21"/>
          <w:highlight w:val="none"/>
          <w:lang w:eastAsia="zh-CN"/>
        </w:rPr>
      </w:pPr>
    </w:p>
    <w:p w14:paraId="7E8F31C4">
      <w:pPr>
        <w:jc w:val="both"/>
        <w:rPr>
          <w:rFonts w:eastAsiaTheme="minorEastAsia"/>
          <w:color w:val="auto"/>
          <w:sz w:val="21"/>
          <w:szCs w:val="21"/>
          <w:highlight w:val="none"/>
          <w:lang w:eastAsia="zh-CN"/>
        </w:rPr>
      </w:pPr>
    </w:p>
    <w:p w14:paraId="63A73A10">
      <w:pPr>
        <w:jc w:val="center"/>
        <w:rPr>
          <w:rFonts w:eastAsiaTheme="minorEastAsia"/>
          <w:color w:val="auto"/>
          <w:sz w:val="21"/>
          <w:szCs w:val="21"/>
          <w:highlight w:val="none"/>
          <w:lang w:eastAsia="zh-CN"/>
        </w:rPr>
      </w:pPr>
      <w:r>
        <w:rPr>
          <w:rFonts w:eastAsiaTheme="minorEastAsia"/>
          <w:color w:val="auto"/>
          <w:sz w:val="21"/>
          <w:szCs w:val="21"/>
          <w:highlight w:val="none"/>
          <w:lang w:eastAsia="zh-CN"/>
        </w:rPr>
        <w:drawing>
          <wp:inline distT="0" distB="0" distL="0" distR="0">
            <wp:extent cx="5943600" cy="3333750"/>
            <wp:effectExtent l="0" t="0" r="0" b="0"/>
            <wp:docPr id="7077367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36763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B75FE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329A669E">
      <w:pPr>
        <w:jc w:val="both"/>
        <w:rPr>
          <w:rFonts w:eastAsiaTheme="minorEastAsia"/>
          <w:color w:val="auto"/>
          <w:sz w:val="21"/>
          <w:szCs w:val="21"/>
          <w:highlight w:val="none"/>
          <w:lang w:eastAsia="zh-CN"/>
        </w:rPr>
      </w:pP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Figure S2. DTX2 is required for dsDNA-induced STING-type I interferon signaling. A-C) WT and </w:t>
      </w:r>
      <w:r>
        <w:rPr>
          <w:rFonts w:hint="eastAsia"/>
          <w:i/>
          <w:iCs/>
          <w:color w:val="auto"/>
          <w:sz w:val="21"/>
          <w:szCs w:val="21"/>
          <w:highlight w:val="none"/>
          <w:lang w:eastAsia="zh-CN"/>
        </w:rPr>
        <w:t>Dtx2</w:t>
      </w:r>
      <w:r>
        <w:rPr>
          <w:rFonts w:hint="eastAsia"/>
          <w:color w:val="auto"/>
          <w:sz w:val="21"/>
          <w:szCs w:val="21"/>
          <w:highlight w:val="none"/>
          <w:vertAlign w:val="superscript"/>
          <w:lang w:eastAsia="zh-CN"/>
        </w:rPr>
        <w:t>-/-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 PMs were infected with HSV-1 (A), stimulated with cGAMP (B) or ISD (C) for 0, 4, and 8 h. Cells were collected and lysed for western blotting. D-F) WT and </w:t>
      </w:r>
      <w:r>
        <w:rPr>
          <w:rFonts w:hint="eastAsia"/>
          <w:i/>
          <w:iCs/>
          <w:color w:val="auto"/>
          <w:sz w:val="21"/>
          <w:szCs w:val="21"/>
          <w:highlight w:val="none"/>
          <w:lang w:eastAsia="zh-CN"/>
        </w:rPr>
        <w:t>Dtx2</w:t>
      </w:r>
      <w:r>
        <w:rPr>
          <w:rFonts w:hint="eastAsia"/>
          <w:color w:val="auto"/>
          <w:sz w:val="21"/>
          <w:szCs w:val="21"/>
          <w:highlight w:val="none"/>
          <w:vertAlign w:val="superscript"/>
          <w:lang w:eastAsia="zh-CN"/>
        </w:rPr>
        <w:t>-/-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 PMs were infected with HSV-1 for 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36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 h. IFN-β (D), IL-6 (E), and TNF-α (F) production was then quantified in each group using ELISA assay. 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Data in (D-F) are shown as mean</w:t>
      </w:r>
      <w:r>
        <w:rPr>
          <w:rFonts w:eastAsiaTheme="minorEastAsia"/>
          <w:color w:val="auto"/>
          <w:sz w:val="21"/>
          <w:szCs w:val="21"/>
          <w:highlight w:val="none"/>
          <w:lang w:eastAsia="zh-CN"/>
        </w:rPr>
        <w:t xml:space="preserve"> ± 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SD of three independent experiments. ***</w:t>
      </w:r>
      <w:r>
        <w:rPr>
          <w:rFonts w:hint="eastAsia" w:eastAsiaTheme="minorEastAsia"/>
          <w:i/>
          <w:iCs/>
          <w:color w:val="auto"/>
          <w:sz w:val="21"/>
          <w:szCs w:val="21"/>
          <w:highlight w:val="none"/>
          <w:lang w:eastAsia="zh-CN"/>
        </w:rPr>
        <w:t>p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 xml:space="preserve"> &lt;0.001.</w:t>
      </w:r>
    </w:p>
    <w:p w14:paraId="685F90F7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35493E34">
      <w:pPr>
        <w:jc w:val="both"/>
        <w:rPr>
          <w:color w:val="auto"/>
          <w:highlight w:val="none"/>
          <w:lang w:eastAsia="zh-CN"/>
        </w:rPr>
      </w:pPr>
    </w:p>
    <w:p w14:paraId="2DEBF23C">
      <w:pPr>
        <w:jc w:val="center"/>
        <w:rPr>
          <w:rFonts w:eastAsiaTheme="minorEastAsia"/>
          <w:color w:val="auto"/>
          <w:highlight w:val="none"/>
          <w:lang w:eastAsia="zh-CN"/>
        </w:rPr>
      </w:pPr>
      <w:r>
        <w:rPr>
          <w:rFonts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937250" cy="4153535"/>
            <wp:effectExtent l="0" t="0" r="6350" b="12065"/>
            <wp:docPr id="1" name="图片 1" descr="Revised 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evised figure S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7BFD">
      <w:pPr>
        <w:jc w:val="both"/>
        <w:rPr>
          <w:rFonts w:eastAsiaTheme="minorEastAsia"/>
          <w:color w:val="auto"/>
          <w:sz w:val="21"/>
          <w:szCs w:val="21"/>
          <w:highlight w:val="none"/>
          <w:lang w:eastAsia="zh-CN"/>
        </w:rPr>
      </w:pPr>
    </w:p>
    <w:p w14:paraId="4FB8BC77">
      <w:pPr>
        <w:jc w:val="both"/>
        <w:rPr>
          <w:rFonts w:hint="default"/>
          <w:color w:val="auto"/>
          <w:sz w:val="21"/>
          <w:szCs w:val="21"/>
          <w:highlight w:val="none"/>
          <w:lang w:val="en-US" w:eastAsia="zh-CN"/>
        </w:rPr>
      </w:pPr>
      <w:r>
        <w:rPr>
          <w:color w:val="auto"/>
          <w:sz w:val="21"/>
          <w:szCs w:val="21"/>
          <w:highlight w:val="none"/>
          <w:lang w:eastAsia="zh-CN"/>
        </w:rPr>
        <w:t>Figure S3. DTX2 promotes STING ubiquitination. A-F) HEK293T cells transfected with Myc-DTX2, Flag-STING, and HA-tagged K6 (A), K11 (B), K27 (C), K29 (D), K33 (E)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,</w:t>
      </w:r>
      <w:r>
        <w:rPr>
          <w:color w:val="auto"/>
          <w:sz w:val="21"/>
          <w:szCs w:val="21"/>
          <w:highlight w:val="none"/>
          <w:lang w:eastAsia="zh-CN"/>
        </w:rPr>
        <w:t xml:space="preserve"> and K48 (F) mutant plasmids for 24 h. Cell lysate was subjected to Co-IP using anti-Flag beads, followed by western blot analysis with anti-HA antibody.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 xml:space="preserve">(G) </w:t>
      </w:r>
      <w:r>
        <w:rPr>
          <w:rFonts w:hint="default" w:ascii="Times New Roman" w:hAnsi="Times New Roman" w:eastAsia="Times New Roman" w:cs="Times New Roman"/>
          <w:i/>
          <w:iCs/>
          <w:color w:val="auto"/>
          <w:sz w:val="21"/>
          <w:szCs w:val="21"/>
          <w:highlight w:val="none"/>
          <w:lang w:eastAsia="zh-CN"/>
        </w:rPr>
        <w:t>Dtx2</w:t>
      </w:r>
      <w:r>
        <w:rPr>
          <w:rFonts w:hint="default" w:ascii="Times New Roman" w:hAnsi="Times New Roman" w:eastAsia="Times New Roman" w:cs="Times New Roman"/>
          <w:color w:val="auto"/>
          <w:sz w:val="21"/>
          <w:szCs w:val="21"/>
          <w:highlight w:val="none"/>
          <w:vertAlign w:val="superscript"/>
          <w:lang w:eastAsia="zh-CN"/>
        </w:rPr>
        <w:t>-/-</w:t>
      </w:r>
      <w:r>
        <w:rPr>
          <w:rFonts w:hint="default" w:ascii="Times New Roman" w:hAnsi="Times New Roman" w:eastAsia="Times New Roman" w:cs="Times New Roman"/>
          <w:color w:val="auto"/>
          <w:sz w:val="21"/>
          <w:szCs w:val="21"/>
          <w:highlight w:val="none"/>
          <w:lang w:eastAsia="zh-CN"/>
        </w:rPr>
        <w:t xml:space="preserve"> </w:t>
      </w:r>
      <w:r>
        <w:rPr>
          <w:rFonts w:hint="eastAsia" w:ascii="Times New Roman" w:hAnsi="Times New Roman" w:eastAsia="Times New Roman" w:cs="Times New Roman"/>
          <w:color w:val="auto"/>
          <w:sz w:val="21"/>
          <w:szCs w:val="21"/>
          <w:highlight w:val="none"/>
          <w:lang w:val="en-US" w:eastAsia="zh-CN"/>
        </w:rPr>
        <w:t>PM</w:t>
      </w:r>
      <w:r>
        <w:rPr>
          <w:rFonts w:hint="default" w:ascii="Times New Roman" w:hAnsi="Times New Roman" w:eastAsia="Times New Roman" w:cs="Times New Roman"/>
          <w:color w:val="auto"/>
          <w:sz w:val="21"/>
          <w:szCs w:val="21"/>
          <w:highlight w:val="none"/>
          <w:lang w:eastAsia="zh-CN"/>
        </w:rPr>
        <w:t>s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 xml:space="preserve"> transfected with Myc-Dtx2 and Myc-Dtx2(</w:t>
      </w:r>
      <w:r>
        <w:rPr>
          <w:rFonts w:hint="default" w:ascii="Times New Roman" w:hAnsi="Times New Roman" w:cs="Times New Roman"/>
          <w:color w:val="auto"/>
          <w:sz w:val="21"/>
          <w:szCs w:val="21"/>
          <w:highlight w:val="none"/>
          <w:lang w:val="en-US" w:eastAsia="zh-CN"/>
        </w:rPr>
        <w:t>Δ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RING-H2) mutant plasmids</w:t>
      </w:r>
      <w:r>
        <w:rPr>
          <w:rFonts w:hint="eastAsia" w:ascii="Times New Roman" w:hAnsi="Times New Roman" w:eastAsia="Times New Roman" w:cs="Times New Roman"/>
          <w:color w:val="auto"/>
          <w:sz w:val="21"/>
          <w:szCs w:val="21"/>
          <w:highlight w:val="none"/>
          <w:lang w:val="en-US" w:eastAsia="zh-CN"/>
        </w:rPr>
        <w:t xml:space="preserve"> for 24 h. </w:t>
      </w:r>
      <w:r>
        <w:rPr>
          <w:rFonts w:hint="default" w:ascii="Times New Roman" w:hAnsi="Times New Roman" w:eastAsia="Times New Roman" w:cs="Times New Roman"/>
          <w:color w:val="auto"/>
          <w:sz w:val="21"/>
          <w:szCs w:val="21"/>
          <w:highlight w:val="none"/>
          <w:lang w:eastAsia="zh-CN"/>
        </w:rPr>
        <w:t>The endogenous ubiquitination of STING were measured by Co-IP assay with anti-STING antibody, followed by western blotting with indicated antibodies.</w:t>
      </w:r>
    </w:p>
    <w:p w14:paraId="7D2304CF">
      <w:pPr>
        <w:jc w:val="center"/>
        <w:rPr>
          <w:color w:val="auto"/>
          <w:sz w:val="22"/>
          <w:szCs w:val="22"/>
          <w:highlight w:val="none"/>
          <w:lang w:eastAsia="zh-CN"/>
        </w:rPr>
      </w:pPr>
    </w:p>
    <w:p w14:paraId="437C6266">
      <w:pPr>
        <w:jc w:val="center"/>
        <w:rPr>
          <w:color w:val="auto"/>
          <w:sz w:val="22"/>
          <w:szCs w:val="22"/>
          <w:highlight w:val="none"/>
          <w:lang w:eastAsia="zh-CN"/>
        </w:rPr>
      </w:pPr>
    </w:p>
    <w:p w14:paraId="15D7BDCC">
      <w:pPr>
        <w:jc w:val="center"/>
        <w:rPr>
          <w:color w:val="auto"/>
          <w:sz w:val="22"/>
          <w:szCs w:val="22"/>
          <w:highlight w:val="none"/>
          <w:lang w:eastAsia="zh-CN"/>
        </w:rPr>
      </w:pPr>
    </w:p>
    <w:p w14:paraId="1098ED51">
      <w:pPr>
        <w:jc w:val="center"/>
        <w:rPr>
          <w:color w:val="auto"/>
          <w:sz w:val="22"/>
          <w:szCs w:val="22"/>
          <w:highlight w:val="none"/>
          <w:lang w:eastAsia="zh-CN"/>
        </w:rPr>
      </w:pPr>
    </w:p>
    <w:p w14:paraId="55D4E45D">
      <w:pPr>
        <w:jc w:val="center"/>
        <w:rPr>
          <w:color w:val="auto"/>
          <w:sz w:val="22"/>
          <w:szCs w:val="22"/>
          <w:highlight w:val="none"/>
          <w:lang w:eastAsia="zh-CN"/>
        </w:rPr>
      </w:pPr>
      <w:r>
        <w:rPr>
          <w:color w:val="auto"/>
          <w:sz w:val="22"/>
          <w:szCs w:val="22"/>
          <w:highlight w:val="none"/>
          <w:lang w:eastAsia="zh-CN"/>
        </w:rPr>
        <w:drawing>
          <wp:inline distT="0" distB="0" distL="114300" distR="114300">
            <wp:extent cx="5937885" cy="6985635"/>
            <wp:effectExtent l="0" t="0" r="5715" b="12065"/>
            <wp:docPr id="3" name="图片 3" descr="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698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99681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191FC116">
      <w:pPr>
        <w:jc w:val="both"/>
        <w:rPr>
          <w:color w:val="auto"/>
          <w:sz w:val="21"/>
          <w:szCs w:val="21"/>
          <w:highlight w:val="none"/>
          <w:lang w:eastAsia="zh-CN"/>
        </w:rPr>
      </w:pPr>
      <w:r>
        <w:rPr>
          <w:color w:val="auto"/>
          <w:sz w:val="21"/>
          <w:szCs w:val="21"/>
          <w:highlight w:val="none"/>
          <w:lang w:eastAsia="zh-CN"/>
        </w:rPr>
        <w:t xml:space="preserve">Figure S4. </w:t>
      </w:r>
      <w:r>
        <w:rPr>
          <w:i/>
          <w:iCs/>
          <w:color w:val="auto"/>
          <w:sz w:val="21"/>
          <w:szCs w:val="21"/>
          <w:highlight w:val="none"/>
          <w:lang w:eastAsia="zh-CN"/>
        </w:rPr>
        <w:t>Dtx2</w:t>
      </w:r>
      <w:r>
        <w:rPr>
          <w:color w:val="auto"/>
          <w:sz w:val="21"/>
          <w:szCs w:val="21"/>
          <w:highlight w:val="none"/>
          <w:lang w:eastAsia="zh-CN"/>
        </w:rPr>
        <w:t>-deficient impairs STING translocation. A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, B</w:t>
      </w:r>
      <w:r>
        <w:rPr>
          <w:color w:val="auto"/>
          <w:sz w:val="21"/>
          <w:szCs w:val="21"/>
          <w:highlight w:val="none"/>
          <w:lang w:eastAsia="zh-CN"/>
        </w:rPr>
        <w:t xml:space="preserve">) Representative images illustrating the co-localization of STING and GM130 in HSV-1-infected WT and </w:t>
      </w:r>
      <w:r>
        <w:rPr>
          <w:i/>
          <w:iCs/>
          <w:color w:val="auto"/>
          <w:sz w:val="21"/>
          <w:szCs w:val="21"/>
          <w:highlight w:val="none"/>
          <w:lang w:eastAsia="zh-CN"/>
        </w:rPr>
        <w:t>Dtx2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-</w:t>
      </w:r>
      <w:r>
        <w:rPr>
          <w:color w:val="auto"/>
          <w:sz w:val="21"/>
          <w:szCs w:val="21"/>
          <w:highlight w:val="none"/>
          <w:lang w:eastAsia="zh-CN"/>
        </w:rPr>
        <w:t>deficient MEFs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 xml:space="preserve"> (A). </w:t>
      </w:r>
      <w:r>
        <w:rPr>
          <w:color w:val="auto"/>
          <w:sz w:val="21"/>
          <w:szCs w:val="21"/>
          <w:highlight w:val="none"/>
          <w:lang w:eastAsia="zh-CN"/>
        </w:rPr>
        <w:t xml:space="preserve">Co-localization of STING and GM130 in HSV-1-infected WT and </w:t>
      </w:r>
      <w:r>
        <w:rPr>
          <w:i/>
          <w:iCs/>
          <w:color w:val="auto"/>
          <w:sz w:val="21"/>
          <w:szCs w:val="21"/>
          <w:highlight w:val="none"/>
          <w:lang w:eastAsia="zh-CN"/>
        </w:rPr>
        <w:t>Dtx2</w:t>
      </w:r>
      <w:r>
        <w:rPr>
          <w:color w:val="auto"/>
          <w:sz w:val="21"/>
          <w:szCs w:val="21"/>
          <w:highlight w:val="none"/>
          <w:lang w:eastAsia="zh-CN"/>
        </w:rPr>
        <w:t>-deficient MEFs was analyzed using ImageJ software, and Pearson correlation coefficients were statistically evaluated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 xml:space="preserve"> </w:t>
      </w:r>
      <w:r>
        <w:rPr>
          <w:color w:val="auto"/>
          <w:sz w:val="21"/>
          <w:szCs w:val="21"/>
          <w:highlight w:val="none"/>
          <w:lang w:eastAsia="zh-CN"/>
        </w:rPr>
        <w:t>(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B</w:t>
      </w:r>
      <w:r>
        <w:rPr>
          <w:color w:val="auto"/>
          <w:sz w:val="21"/>
          <w:szCs w:val="21"/>
          <w:highlight w:val="none"/>
          <w:lang w:eastAsia="zh-CN"/>
        </w:rPr>
        <w:t xml:space="preserve">). Scale bar = 20 μm. 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C</w:t>
      </w:r>
      <w:r>
        <w:rPr>
          <w:color w:val="auto"/>
          <w:sz w:val="21"/>
          <w:szCs w:val="21"/>
          <w:highlight w:val="none"/>
          <w:lang w:eastAsia="zh-CN"/>
        </w:rPr>
        <w:t xml:space="preserve">) The Golgi apparatus was fractionated from WT and </w:t>
      </w:r>
      <w:r>
        <w:rPr>
          <w:i/>
          <w:iCs/>
          <w:color w:val="auto"/>
          <w:sz w:val="21"/>
          <w:szCs w:val="21"/>
          <w:highlight w:val="none"/>
          <w:lang w:eastAsia="zh-CN"/>
        </w:rPr>
        <w:t>Dtx2</w:t>
      </w:r>
      <w:r>
        <w:rPr>
          <w:color w:val="auto"/>
          <w:sz w:val="21"/>
          <w:szCs w:val="21"/>
          <w:highlight w:val="none"/>
          <w:vertAlign w:val="superscript"/>
          <w:lang w:eastAsia="zh-CN"/>
        </w:rPr>
        <w:t>-/-</w:t>
      </w:r>
      <w:r>
        <w:rPr>
          <w:color w:val="auto"/>
          <w:sz w:val="21"/>
          <w:szCs w:val="21"/>
          <w:highlight w:val="none"/>
          <w:lang w:eastAsia="zh-CN"/>
        </w:rPr>
        <w:t xml:space="preserve"> MEFs infected with HSV-1 for 4 h. Cell 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remnants</w:t>
      </w:r>
      <w:r>
        <w:rPr>
          <w:color w:val="auto"/>
          <w:sz w:val="21"/>
          <w:szCs w:val="21"/>
          <w:highlight w:val="none"/>
          <w:lang w:eastAsia="zh-CN"/>
        </w:rPr>
        <w:t xml:space="preserve"> and Golgi apparatus-enriched components were separately analyzed by western blotting. 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D</w:t>
      </w:r>
      <w:r>
        <w:rPr>
          <w:color w:val="auto"/>
          <w:sz w:val="21"/>
          <w:szCs w:val="21"/>
          <w:highlight w:val="none"/>
          <w:lang w:eastAsia="zh-CN"/>
        </w:rPr>
        <w:t>-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I</w:t>
      </w:r>
      <w:r>
        <w:rPr>
          <w:color w:val="auto"/>
          <w:sz w:val="21"/>
          <w:szCs w:val="21"/>
          <w:highlight w:val="none"/>
          <w:lang w:eastAsia="zh-CN"/>
        </w:rPr>
        <w:t xml:space="preserve">) WT and </w:t>
      </w:r>
      <w:r>
        <w:rPr>
          <w:i/>
          <w:iCs/>
          <w:color w:val="auto"/>
          <w:sz w:val="21"/>
          <w:szCs w:val="21"/>
          <w:highlight w:val="none"/>
          <w:lang w:eastAsia="zh-CN"/>
        </w:rPr>
        <w:t>Dtx2</w:t>
      </w:r>
      <w:r>
        <w:rPr>
          <w:color w:val="auto"/>
          <w:sz w:val="21"/>
          <w:szCs w:val="21"/>
          <w:highlight w:val="none"/>
          <w:vertAlign w:val="superscript"/>
          <w:lang w:eastAsia="zh-CN"/>
        </w:rPr>
        <w:t xml:space="preserve">-/- </w:t>
      </w:r>
      <w:r>
        <w:rPr>
          <w:rFonts w:hint="eastAsia"/>
          <w:color w:val="auto"/>
          <w:sz w:val="21"/>
          <w:szCs w:val="21"/>
          <w:highlight w:val="none"/>
          <w:vertAlign w:val="baseline"/>
          <w:lang w:val="en-US" w:eastAsia="zh-CN"/>
        </w:rPr>
        <w:t xml:space="preserve">BMDMs and </w:t>
      </w:r>
      <w:r>
        <w:rPr>
          <w:color w:val="auto"/>
          <w:sz w:val="21"/>
          <w:szCs w:val="21"/>
          <w:highlight w:val="none"/>
          <w:lang w:eastAsia="zh-CN"/>
        </w:rPr>
        <w:t xml:space="preserve">MEFs were treated with BFA (5 μg/ml) or 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DMSO</w:t>
      </w:r>
      <w:r>
        <w:rPr>
          <w:color w:val="auto"/>
          <w:sz w:val="21"/>
          <w:szCs w:val="21"/>
          <w:highlight w:val="none"/>
          <w:lang w:eastAsia="zh-CN"/>
        </w:rPr>
        <w:t xml:space="preserve"> for 3 h, followed by infection with HSV-1 for 4 h. Subsequently, mRNA expression levels of </w:t>
      </w:r>
      <w:r>
        <w:rPr>
          <w:i/>
          <w:iCs/>
          <w:color w:val="auto"/>
          <w:sz w:val="21"/>
          <w:szCs w:val="21"/>
          <w:highlight w:val="none"/>
          <w:lang w:eastAsia="zh-CN"/>
        </w:rPr>
        <w:t>Ifnb</w:t>
      </w:r>
      <w:r>
        <w:rPr>
          <w:color w:val="auto"/>
          <w:sz w:val="21"/>
          <w:szCs w:val="21"/>
          <w:highlight w:val="none"/>
          <w:lang w:eastAsia="zh-CN"/>
        </w:rPr>
        <w:t xml:space="preserve">, </w:t>
      </w:r>
      <w:r>
        <w:rPr>
          <w:i/>
          <w:iCs/>
          <w:color w:val="auto"/>
          <w:sz w:val="21"/>
          <w:szCs w:val="21"/>
          <w:highlight w:val="none"/>
          <w:lang w:eastAsia="zh-CN"/>
        </w:rPr>
        <w:t>Ccl5</w:t>
      </w:r>
      <w:r>
        <w:rPr>
          <w:color w:val="auto"/>
          <w:sz w:val="21"/>
          <w:szCs w:val="21"/>
          <w:highlight w:val="none"/>
          <w:lang w:eastAsia="zh-CN"/>
        </w:rPr>
        <w:t xml:space="preserve">, and </w:t>
      </w:r>
      <w:r>
        <w:rPr>
          <w:i/>
          <w:iCs/>
          <w:color w:val="auto"/>
          <w:sz w:val="21"/>
          <w:szCs w:val="21"/>
          <w:highlight w:val="none"/>
          <w:lang w:eastAsia="zh-CN"/>
        </w:rPr>
        <w:t>Cxcl10</w:t>
      </w:r>
      <w:r>
        <w:rPr>
          <w:color w:val="auto"/>
          <w:sz w:val="21"/>
          <w:szCs w:val="21"/>
          <w:highlight w:val="none"/>
          <w:lang w:eastAsia="zh-CN"/>
        </w:rPr>
        <w:t xml:space="preserve"> were quantified by RT-PCR. (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J</w:t>
      </w:r>
      <w:r>
        <w:rPr>
          <w:color w:val="auto"/>
          <w:sz w:val="21"/>
          <w:szCs w:val="21"/>
          <w:highlight w:val="none"/>
          <w:lang w:eastAsia="zh-CN"/>
        </w:rPr>
        <w:t xml:space="preserve">, 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K</w:t>
      </w:r>
      <w:r>
        <w:rPr>
          <w:color w:val="auto"/>
          <w:sz w:val="21"/>
          <w:szCs w:val="21"/>
          <w:highlight w:val="none"/>
          <w:lang w:eastAsia="zh-CN"/>
        </w:rPr>
        <w:t>) Pearson correlation coefficients for the co-localization of STING and p-TBK1 (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J</w:t>
      </w:r>
      <w:r>
        <w:rPr>
          <w:color w:val="auto"/>
          <w:sz w:val="21"/>
          <w:szCs w:val="21"/>
          <w:highlight w:val="none"/>
          <w:lang w:eastAsia="zh-CN"/>
        </w:rPr>
        <w:t>), and p-TBK1 and TGN46 (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K</w:t>
      </w:r>
      <w:r>
        <w:rPr>
          <w:color w:val="auto"/>
          <w:sz w:val="21"/>
          <w:szCs w:val="21"/>
          <w:highlight w:val="none"/>
          <w:lang w:eastAsia="zh-CN"/>
        </w:rPr>
        <w:t>)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 xml:space="preserve"> </w:t>
      </w:r>
      <w:r>
        <w:rPr>
          <w:color w:val="auto"/>
          <w:sz w:val="21"/>
          <w:szCs w:val="21"/>
          <w:highlight w:val="none"/>
          <w:lang w:eastAsia="zh-CN"/>
        </w:rPr>
        <w:t xml:space="preserve">were statistically analyzed in HSV-1-infected WT and </w:t>
      </w:r>
      <w:r>
        <w:rPr>
          <w:i/>
          <w:iCs/>
          <w:color w:val="auto"/>
          <w:sz w:val="21"/>
          <w:szCs w:val="21"/>
          <w:highlight w:val="none"/>
          <w:lang w:eastAsia="zh-CN"/>
        </w:rPr>
        <w:t>Dtx2</w:t>
      </w:r>
      <w:r>
        <w:rPr>
          <w:color w:val="auto"/>
          <w:sz w:val="21"/>
          <w:szCs w:val="21"/>
          <w:highlight w:val="none"/>
          <w:lang w:eastAsia="zh-CN"/>
        </w:rPr>
        <w:t xml:space="preserve">-deficient PMs. 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L</w:t>
      </w:r>
      <w:r>
        <w:rPr>
          <w:color w:val="auto"/>
          <w:sz w:val="21"/>
          <w:szCs w:val="21"/>
          <w:highlight w:val="none"/>
          <w:lang w:eastAsia="zh-CN"/>
        </w:rPr>
        <w:t>-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O</w:t>
      </w:r>
      <w:r>
        <w:rPr>
          <w:color w:val="auto"/>
          <w:sz w:val="21"/>
          <w:szCs w:val="21"/>
          <w:highlight w:val="none"/>
          <w:lang w:eastAsia="zh-CN"/>
        </w:rPr>
        <w:t xml:space="preserve">) WT and </w:t>
      </w:r>
      <w:r>
        <w:rPr>
          <w:i/>
          <w:iCs/>
          <w:color w:val="auto"/>
          <w:sz w:val="21"/>
          <w:szCs w:val="21"/>
          <w:highlight w:val="none"/>
          <w:lang w:eastAsia="zh-CN"/>
        </w:rPr>
        <w:t>Dtx2</w:t>
      </w:r>
      <w:r>
        <w:rPr>
          <w:color w:val="auto"/>
          <w:sz w:val="21"/>
          <w:szCs w:val="21"/>
          <w:highlight w:val="none"/>
          <w:vertAlign w:val="superscript"/>
          <w:lang w:eastAsia="zh-CN"/>
        </w:rPr>
        <w:t>-/-</w:t>
      </w:r>
      <w:r>
        <w:rPr>
          <w:color w:val="auto"/>
          <w:sz w:val="21"/>
          <w:szCs w:val="21"/>
          <w:highlight w:val="none"/>
          <w:lang w:eastAsia="zh-CN"/>
        </w:rPr>
        <w:t xml:space="preserve"> MEFs were infected with HSV-1 for 4 h. Afterward, the cells were fixed and labeled with the indicated antibodies. Co-localization analysis between STING and p-TBK1, TGN46 and p-TBK1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 xml:space="preserve"> were</w:t>
      </w:r>
      <w:r>
        <w:rPr>
          <w:color w:val="auto"/>
          <w:sz w:val="21"/>
          <w:szCs w:val="21"/>
          <w:highlight w:val="none"/>
          <w:lang w:eastAsia="zh-CN"/>
        </w:rPr>
        <w:t xml:space="preserve"> conducted using ImageJ software, and Pearson correlation coefficients were statistically evaluated (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L</w:t>
      </w:r>
      <w:r>
        <w:rPr>
          <w:color w:val="auto"/>
          <w:sz w:val="21"/>
          <w:szCs w:val="21"/>
          <w:highlight w:val="none"/>
          <w:lang w:eastAsia="zh-CN"/>
        </w:rPr>
        <w:t xml:space="preserve">, 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M</w:t>
      </w:r>
      <w:r>
        <w:rPr>
          <w:color w:val="auto"/>
          <w:sz w:val="21"/>
          <w:szCs w:val="21"/>
          <w:highlight w:val="none"/>
          <w:lang w:eastAsia="zh-CN"/>
        </w:rPr>
        <w:t>). Representative images illustrating the co-localization of STING and p-TBK1 (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N</w:t>
      </w:r>
      <w:r>
        <w:rPr>
          <w:color w:val="auto"/>
          <w:sz w:val="21"/>
          <w:szCs w:val="21"/>
          <w:highlight w:val="none"/>
          <w:lang w:eastAsia="zh-CN"/>
        </w:rPr>
        <w:t>), TGN46 and p-TBK1 (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O</w:t>
      </w:r>
      <w:r>
        <w:rPr>
          <w:color w:val="auto"/>
          <w:sz w:val="21"/>
          <w:szCs w:val="21"/>
          <w:highlight w:val="none"/>
          <w:lang w:eastAsia="zh-CN"/>
        </w:rPr>
        <w:t xml:space="preserve">) in HSV-1-infected WT and </w:t>
      </w:r>
      <w:r>
        <w:rPr>
          <w:i/>
          <w:iCs/>
          <w:color w:val="auto"/>
          <w:sz w:val="21"/>
          <w:szCs w:val="21"/>
          <w:highlight w:val="none"/>
          <w:lang w:eastAsia="zh-CN"/>
        </w:rPr>
        <w:t>Dtx2</w:t>
      </w:r>
      <w:r>
        <w:rPr>
          <w:color w:val="auto"/>
          <w:sz w:val="21"/>
          <w:szCs w:val="21"/>
          <w:highlight w:val="none"/>
          <w:lang w:eastAsia="zh-CN"/>
        </w:rPr>
        <w:t xml:space="preserve">-deficient MEFs. Scale bar = 20 μm. Data 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in (B, 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D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-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M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) </w:t>
      </w:r>
      <w:r>
        <w:rPr>
          <w:color w:val="auto"/>
          <w:sz w:val="21"/>
          <w:szCs w:val="21"/>
          <w:highlight w:val="none"/>
          <w:lang w:eastAsia="zh-CN"/>
        </w:rPr>
        <w:t>are shown as mean ± SD of three independent experiments.  ***</w:t>
      </w:r>
      <w:r>
        <w:rPr>
          <w:i/>
          <w:iCs/>
          <w:color w:val="auto"/>
          <w:sz w:val="21"/>
          <w:szCs w:val="21"/>
          <w:highlight w:val="none"/>
          <w:lang w:eastAsia="zh-CN"/>
        </w:rPr>
        <w:t>p</w:t>
      </w:r>
      <w:r>
        <w:rPr>
          <w:color w:val="auto"/>
          <w:sz w:val="21"/>
          <w:szCs w:val="21"/>
          <w:highlight w:val="none"/>
          <w:lang w:eastAsia="zh-CN"/>
        </w:rPr>
        <w:t xml:space="preserve"> &lt; 0.001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 xml:space="preserve">, </w:t>
      </w:r>
      <w:r>
        <w:rPr>
          <w:rFonts w:eastAsiaTheme="minorEastAsia"/>
          <w:color w:val="auto"/>
          <w:sz w:val="21"/>
          <w:szCs w:val="21"/>
          <w:highlight w:val="none"/>
          <w:lang w:eastAsia="zh-CN"/>
        </w:rPr>
        <w:t>NS means no significance</w:t>
      </w:r>
      <w:r>
        <w:rPr>
          <w:color w:val="auto"/>
          <w:sz w:val="21"/>
          <w:szCs w:val="21"/>
          <w:highlight w:val="none"/>
          <w:lang w:eastAsia="zh-CN"/>
        </w:rPr>
        <w:t>.</w:t>
      </w:r>
    </w:p>
    <w:p w14:paraId="723F23E2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7B508C76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5C297257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3D146DF7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53CB67F5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3D6009EE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2869C6D4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7CFD84E9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24E0CCF1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5F22FB69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5C13DE62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01473D62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250A7BAC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1E372943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4536C206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60BE37BB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7C6CF777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7B5E9E11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77E2EC88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57990F12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25E41483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39F39971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51525233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5E2859AC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4D0511F2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568E516C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2CD67447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3A378BAE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7FF65B6A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291DDD1B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79B8285A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28F0F2D7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3EA0FC8B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4105438D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01FD5703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6EFFB8F2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63671838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05191A4D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2F12BC6A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7CD2EA13">
      <w:pPr>
        <w:jc w:val="both"/>
        <w:rPr>
          <w:rFonts w:eastAsiaTheme="minorEastAsia"/>
          <w:color w:val="auto"/>
          <w:sz w:val="21"/>
          <w:szCs w:val="21"/>
          <w:highlight w:val="none"/>
          <w:lang w:eastAsia="zh-CN"/>
        </w:rPr>
      </w:pPr>
    </w:p>
    <w:p w14:paraId="426AC440">
      <w:pPr>
        <w:jc w:val="center"/>
        <w:rPr>
          <w:color w:val="auto"/>
          <w:sz w:val="21"/>
          <w:szCs w:val="21"/>
          <w:highlight w:val="none"/>
          <w:lang w:eastAsia="zh-CN"/>
        </w:rPr>
      </w:pPr>
      <w:r>
        <w:rPr>
          <w:color w:val="auto"/>
          <w:sz w:val="21"/>
          <w:szCs w:val="21"/>
          <w:highlight w:val="none"/>
          <w:lang w:eastAsia="zh-CN"/>
        </w:rPr>
        <w:drawing>
          <wp:inline distT="0" distB="0" distL="0" distR="0">
            <wp:extent cx="5943600" cy="3063240"/>
            <wp:effectExtent l="0" t="0" r="0" b="3810"/>
            <wp:docPr id="19939766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976632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F432">
      <w:pPr>
        <w:jc w:val="both"/>
        <w:rPr>
          <w:rFonts w:eastAsiaTheme="minorEastAsia"/>
          <w:color w:val="auto"/>
          <w:sz w:val="21"/>
          <w:szCs w:val="21"/>
          <w:highlight w:val="none"/>
          <w:lang w:eastAsia="zh-CN"/>
        </w:rPr>
      </w:pPr>
    </w:p>
    <w:p w14:paraId="14F7B414">
      <w:pPr>
        <w:jc w:val="both"/>
        <w:rPr>
          <w:color w:val="auto"/>
          <w:sz w:val="21"/>
          <w:szCs w:val="21"/>
          <w:highlight w:val="none"/>
          <w:lang w:eastAsia="zh-CN"/>
        </w:rPr>
      </w:pPr>
      <w:r>
        <w:rPr>
          <w:color w:val="auto"/>
          <w:sz w:val="21"/>
          <w:szCs w:val="21"/>
          <w:highlight w:val="none"/>
          <w:lang w:eastAsia="zh-CN"/>
        </w:rPr>
        <w:t>Figure S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5</w:t>
      </w:r>
      <w:r>
        <w:rPr>
          <w:color w:val="auto"/>
          <w:sz w:val="21"/>
          <w:szCs w:val="21"/>
          <w:highlight w:val="none"/>
          <w:lang w:eastAsia="zh-CN"/>
        </w:rPr>
        <w:t>. STING K236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R</w:t>
      </w:r>
      <w:r>
        <w:rPr>
          <w:color w:val="auto"/>
          <w:sz w:val="21"/>
          <w:szCs w:val="21"/>
          <w:highlight w:val="none"/>
          <w:lang w:eastAsia="zh-CN"/>
        </w:rPr>
        <w:t xml:space="preserve"> and K370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R</w:t>
      </w:r>
      <w:r>
        <w:rPr>
          <w:color w:val="auto"/>
          <w:sz w:val="21"/>
          <w:szCs w:val="21"/>
          <w:highlight w:val="none"/>
          <w:lang w:eastAsia="zh-CN"/>
        </w:rPr>
        <w:t xml:space="preserve"> mutations preserve interaction with DTX2 but impair STING translocation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. A) 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HeLa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 cells were transfected with Myc-DTX2, Flag-STING-WT or mutants (K236R or K370R) for 24 h. The cell lysate was subjected to Co-IP and western blot assays. B</w:t>
      </w:r>
      <w:r>
        <w:rPr>
          <w:color w:val="auto"/>
          <w:sz w:val="21"/>
          <w:szCs w:val="21"/>
          <w:highlight w:val="none"/>
          <w:lang w:eastAsia="zh-CN"/>
        </w:rPr>
        <w:t xml:space="preserve">, 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C</w:t>
      </w:r>
      <w:r>
        <w:rPr>
          <w:color w:val="auto"/>
          <w:sz w:val="21"/>
          <w:szCs w:val="21"/>
          <w:highlight w:val="none"/>
          <w:lang w:eastAsia="zh-CN"/>
        </w:rPr>
        <w:t>) After transfection of HeLa cells with siSTING, STING expression was detected by RT-PCR (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B</w:t>
      </w:r>
      <w:r>
        <w:rPr>
          <w:color w:val="auto"/>
          <w:sz w:val="21"/>
          <w:szCs w:val="21"/>
          <w:highlight w:val="none"/>
          <w:lang w:eastAsia="zh-CN"/>
        </w:rPr>
        <w:t>) and western blot assay (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C</w:t>
      </w:r>
      <w:r>
        <w:rPr>
          <w:color w:val="auto"/>
          <w:sz w:val="21"/>
          <w:szCs w:val="21"/>
          <w:highlight w:val="none"/>
          <w:lang w:eastAsia="zh-CN"/>
        </w:rPr>
        <w:t>).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 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D</w:t>
      </w:r>
      <w:r>
        <w:rPr>
          <w:color w:val="auto"/>
          <w:sz w:val="21"/>
          <w:szCs w:val="21"/>
          <w:highlight w:val="none"/>
          <w:lang w:eastAsia="zh-CN"/>
        </w:rPr>
        <w:t xml:space="preserve">, 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E</w:t>
      </w:r>
      <w:r>
        <w:rPr>
          <w:color w:val="auto"/>
          <w:sz w:val="21"/>
          <w:szCs w:val="21"/>
          <w:highlight w:val="none"/>
          <w:lang w:eastAsia="zh-CN"/>
        </w:rPr>
        <w:t xml:space="preserve">) After transfection of 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PMs</w:t>
      </w:r>
      <w:r>
        <w:rPr>
          <w:color w:val="auto"/>
          <w:sz w:val="21"/>
          <w:szCs w:val="21"/>
          <w:highlight w:val="none"/>
          <w:lang w:eastAsia="zh-CN"/>
        </w:rPr>
        <w:t xml:space="preserve"> with siSTING, STING expression was detected by RT-PCR (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D</w:t>
      </w:r>
      <w:r>
        <w:rPr>
          <w:color w:val="auto"/>
          <w:sz w:val="21"/>
          <w:szCs w:val="21"/>
          <w:highlight w:val="none"/>
          <w:lang w:eastAsia="zh-CN"/>
        </w:rPr>
        <w:t>) and western blot assay (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E</w:t>
      </w:r>
      <w:r>
        <w:rPr>
          <w:color w:val="auto"/>
          <w:sz w:val="21"/>
          <w:szCs w:val="21"/>
          <w:highlight w:val="none"/>
          <w:lang w:eastAsia="zh-CN"/>
        </w:rPr>
        <w:t>).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 (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F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, 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G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) STING-knockdown HeLa were transfected with Flag-STING (WT) or mutants (K236R and K370R) for 24 h, then infected with HSV-1 for 4 h. Afterward, the cells were fixed and labeled with the indicated antibodies. Co-localization analysis between STING and GM130 (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F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), STING and p-TBK1 (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G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) 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were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 conducted using ImageJ software, and Pearson correlation coefficients were statistically evaluated. </w:t>
      </w:r>
      <w:r>
        <w:rPr>
          <w:color w:val="auto"/>
          <w:sz w:val="21"/>
          <w:szCs w:val="21"/>
          <w:highlight w:val="none"/>
          <w:lang w:eastAsia="zh-CN"/>
        </w:rPr>
        <w:t xml:space="preserve">Data 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in (B, D, E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, F, G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) </w:t>
      </w:r>
      <w:r>
        <w:rPr>
          <w:color w:val="auto"/>
          <w:sz w:val="21"/>
          <w:szCs w:val="21"/>
          <w:highlight w:val="none"/>
          <w:lang w:eastAsia="zh-CN"/>
        </w:rPr>
        <w:t>are shown as mean ± SD of three independent experiments.  **</w:t>
      </w:r>
      <w:r>
        <w:rPr>
          <w:i/>
          <w:iCs/>
          <w:color w:val="auto"/>
          <w:sz w:val="21"/>
          <w:szCs w:val="21"/>
          <w:highlight w:val="none"/>
          <w:lang w:eastAsia="zh-CN"/>
        </w:rPr>
        <w:t>p</w:t>
      </w:r>
      <w:r>
        <w:rPr>
          <w:color w:val="auto"/>
          <w:sz w:val="21"/>
          <w:szCs w:val="21"/>
          <w:highlight w:val="none"/>
          <w:lang w:eastAsia="zh-CN"/>
        </w:rPr>
        <w:t xml:space="preserve"> &lt; 0.01, ***</w:t>
      </w:r>
      <w:r>
        <w:rPr>
          <w:i/>
          <w:iCs/>
          <w:color w:val="auto"/>
          <w:sz w:val="21"/>
          <w:szCs w:val="21"/>
          <w:highlight w:val="none"/>
          <w:lang w:eastAsia="zh-CN"/>
        </w:rPr>
        <w:t>p</w:t>
      </w:r>
      <w:r>
        <w:rPr>
          <w:color w:val="auto"/>
          <w:sz w:val="21"/>
          <w:szCs w:val="21"/>
          <w:highlight w:val="none"/>
          <w:lang w:eastAsia="zh-CN"/>
        </w:rPr>
        <w:t xml:space="preserve"> &lt; 0.001.</w:t>
      </w:r>
    </w:p>
    <w:p w14:paraId="7DC41B29">
      <w:pPr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6752E110">
      <w:pPr>
        <w:jc w:val="center"/>
        <w:rPr>
          <w:color w:val="auto"/>
          <w:sz w:val="21"/>
          <w:szCs w:val="21"/>
          <w:highlight w:val="none"/>
          <w:lang w:eastAsia="zh-CN"/>
        </w:rPr>
      </w:pPr>
      <w:r>
        <w:rPr>
          <w:color w:val="auto"/>
          <w:sz w:val="21"/>
          <w:szCs w:val="21"/>
          <w:highlight w:val="none"/>
          <w:lang w:eastAsia="zh-CN"/>
        </w:rPr>
        <w:drawing>
          <wp:inline distT="0" distB="0" distL="0" distR="0">
            <wp:extent cx="5943600" cy="6503670"/>
            <wp:effectExtent l="0" t="0" r="0" b="0"/>
            <wp:docPr id="15218508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850803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0E8D">
      <w:pPr>
        <w:jc w:val="both"/>
        <w:rPr>
          <w:rFonts w:eastAsiaTheme="minorEastAsia"/>
          <w:color w:val="auto"/>
          <w:sz w:val="21"/>
          <w:szCs w:val="21"/>
          <w:highlight w:val="none"/>
          <w:lang w:eastAsia="zh-CN"/>
        </w:rPr>
      </w:pPr>
    </w:p>
    <w:p w14:paraId="719115AD">
      <w:pPr>
        <w:jc w:val="both"/>
        <w:rPr>
          <w:color w:val="auto"/>
          <w:sz w:val="21"/>
          <w:szCs w:val="21"/>
          <w:highlight w:val="none"/>
          <w:lang w:eastAsia="zh-CN"/>
        </w:rPr>
      </w:pP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Figure S6. DTX2 expression correlates positively with the STING signal-related pathway across diverse tumor types. A-D) The biological processes associated with DTX2 were analyzed in BLCA, ESCA, PAAD, and MESO using GSEA, and the results are summarized. 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E-F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) KEGG pathway analysis revealed a significant enrichment of the cytosolic DNA-sensing pathway in the DTX2-high group in HNSC, STAD, TGCT, and MESO.</w:t>
      </w:r>
    </w:p>
    <w:p w14:paraId="65F97925">
      <w:pPr>
        <w:jc w:val="both"/>
        <w:rPr>
          <w:color w:val="auto"/>
          <w:sz w:val="21"/>
          <w:szCs w:val="21"/>
          <w:highlight w:val="none"/>
          <w:lang w:eastAsia="zh-CN"/>
        </w:rPr>
      </w:pPr>
      <w:r>
        <w:rPr>
          <w:color w:val="auto"/>
          <w:sz w:val="21"/>
          <w:szCs w:val="21"/>
          <w:highlight w:val="none"/>
          <w:lang w:eastAsia="zh-CN"/>
        </w:rPr>
        <w:drawing>
          <wp:inline distT="0" distB="0" distL="0" distR="0">
            <wp:extent cx="5943600" cy="1852295"/>
            <wp:effectExtent l="0" t="0" r="0" b="0"/>
            <wp:docPr id="27798267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982679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C8AD3">
      <w:pPr>
        <w:jc w:val="both"/>
        <w:rPr>
          <w:rFonts w:eastAsiaTheme="minorEastAsia"/>
          <w:color w:val="auto"/>
          <w:sz w:val="21"/>
          <w:szCs w:val="21"/>
          <w:highlight w:val="none"/>
          <w:lang w:eastAsia="zh-CN"/>
        </w:rPr>
      </w:pPr>
    </w:p>
    <w:p w14:paraId="2EA95E7A">
      <w:pPr>
        <w:jc w:val="both"/>
        <w:rPr>
          <w:color w:val="auto"/>
          <w:sz w:val="21"/>
          <w:szCs w:val="21"/>
          <w:highlight w:val="none"/>
          <w:lang w:eastAsia="zh-CN"/>
        </w:rPr>
      </w:pPr>
      <w:r>
        <w:rPr>
          <w:color w:val="auto"/>
          <w:sz w:val="21"/>
          <w:szCs w:val="21"/>
          <w:highlight w:val="none"/>
          <w:lang w:eastAsia="zh-CN"/>
        </w:rPr>
        <w:t>Figure S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7. High DTX2 expression is associated with a favorable prognosis in tumor patients treated with immunotherapy. A-C) </w:t>
      </w:r>
      <w:r>
        <w:rPr>
          <w:color w:val="auto"/>
          <w:sz w:val="21"/>
          <w:szCs w:val="21"/>
          <w:highlight w:val="none"/>
          <w:lang w:eastAsia="zh-CN"/>
        </w:rPr>
        <w:t>The correlation between DTX2 expression and Overall survival (OS) was assessed in cancer patients treated with PD-1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 (A)</w:t>
      </w:r>
      <w:r>
        <w:rPr>
          <w:color w:val="auto"/>
          <w:sz w:val="21"/>
          <w:szCs w:val="21"/>
          <w:highlight w:val="none"/>
          <w:lang w:eastAsia="zh-CN"/>
        </w:rPr>
        <w:t>, PD-L1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 (B)</w:t>
      </w:r>
      <w:r>
        <w:rPr>
          <w:color w:val="auto"/>
          <w:sz w:val="21"/>
          <w:szCs w:val="21"/>
          <w:highlight w:val="none"/>
          <w:lang w:eastAsia="zh-CN"/>
        </w:rPr>
        <w:t xml:space="preserve">, or CTLA-4 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(C) </w:t>
      </w:r>
      <w:r>
        <w:rPr>
          <w:color w:val="auto"/>
          <w:sz w:val="21"/>
          <w:szCs w:val="21"/>
          <w:highlight w:val="none"/>
          <w:lang w:eastAsia="zh-CN"/>
        </w:rPr>
        <w:t>blockade immunotherapy using the Kaplan-Meier Plotter database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.</w:t>
      </w:r>
    </w:p>
    <w:p w14:paraId="329A4696">
      <w:pPr>
        <w:spacing w:line="360" w:lineRule="auto"/>
        <w:jc w:val="both"/>
        <w:rPr>
          <w:color w:val="auto"/>
          <w:sz w:val="21"/>
          <w:szCs w:val="21"/>
          <w:highlight w:val="none"/>
          <w:lang w:eastAsia="zh-CN"/>
        </w:rPr>
      </w:pPr>
    </w:p>
    <w:p w14:paraId="4991473F">
      <w:pPr>
        <w:spacing w:line="360" w:lineRule="auto"/>
        <w:jc w:val="center"/>
        <w:rPr>
          <w:color w:val="auto"/>
          <w:sz w:val="21"/>
          <w:szCs w:val="21"/>
          <w:highlight w:val="none"/>
          <w:lang w:eastAsia="zh-CN"/>
        </w:rPr>
      </w:pPr>
      <w:r>
        <w:rPr>
          <w:color w:val="auto"/>
          <w:sz w:val="21"/>
          <w:szCs w:val="21"/>
          <w:highlight w:val="none"/>
          <w:lang w:eastAsia="zh-CN"/>
        </w:rPr>
        <w:drawing>
          <wp:inline distT="0" distB="0" distL="114300" distR="114300">
            <wp:extent cx="4983480" cy="6873240"/>
            <wp:effectExtent l="0" t="0" r="7620" b="10160"/>
            <wp:docPr id="4" name="图片 4" descr="Revised figure 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Revised figure S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E6F2">
      <w:pPr>
        <w:jc w:val="both"/>
        <w:rPr>
          <w:rFonts w:hint="eastAsia"/>
          <w:color w:val="auto"/>
          <w:sz w:val="21"/>
          <w:szCs w:val="21"/>
          <w:highlight w:val="none"/>
          <w:lang w:eastAsia="zh-CN"/>
        </w:rPr>
      </w:pPr>
      <w:r>
        <w:rPr>
          <w:color w:val="auto"/>
          <w:sz w:val="21"/>
          <w:szCs w:val="21"/>
          <w:highlight w:val="none"/>
          <w:lang w:eastAsia="zh-CN"/>
        </w:rPr>
        <w:t>Figure S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8. DTX2 enhances type I interferon response in tumor cells. A-C) The expression of DTX2 in FaDu, MOC1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,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 and HeLa cells was detected by western blotting. D-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F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) RT-PCR was used to quantify the mRNA expression of </w:t>
      </w:r>
      <w:r>
        <w:rPr>
          <w:rFonts w:hint="eastAsia"/>
          <w:i/>
          <w:iCs/>
          <w:color w:val="auto"/>
          <w:sz w:val="21"/>
          <w:szCs w:val="21"/>
          <w:highlight w:val="none"/>
          <w:lang w:val="en-US" w:eastAsia="zh-CN"/>
        </w:rPr>
        <w:t>IFNB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 xml:space="preserve">, </w:t>
      </w:r>
      <w:r>
        <w:rPr>
          <w:rFonts w:hint="eastAsia"/>
          <w:i/>
          <w:iCs/>
          <w:color w:val="auto"/>
          <w:sz w:val="21"/>
          <w:szCs w:val="21"/>
          <w:highlight w:val="none"/>
          <w:lang w:eastAsia="zh-CN"/>
        </w:rPr>
        <w:t>CCL5</w:t>
      </w:r>
      <w:r>
        <w:rPr>
          <w:rFonts w:hint="eastAsia"/>
          <w:i/>
          <w:iCs/>
          <w:color w:val="auto"/>
          <w:sz w:val="21"/>
          <w:szCs w:val="21"/>
          <w:highlight w:val="none"/>
          <w:lang w:val="en-US" w:eastAsia="zh-CN"/>
        </w:rPr>
        <w:t>,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 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 xml:space="preserve">and </w:t>
      </w:r>
      <w:r>
        <w:rPr>
          <w:rFonts w:hint="eastAsia"/>
          <w:i/>
          <w:iCs/>
          <w:color w:val="auto"/>
          <w:sz w:val="21"/>
          <w:szCs w:val="21"/>
          <w:highlight w:val="none"/>
          <w:lang w:val="en-US" w:eastAsia="zh-CN"/>
        </w:rPr>
        <w:t xml:space="preserve">CXCL10 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in FaDu, MOC1, and HeLa cells with DTX2 overexpression following treatment with ci</w:t>
      </w:r>
      <w:r>
        <w:rPr>
          <w:rFonts w:hint="eastAsia" w:ascii="Times New Roman" w:hAnsi="Times New Roman" w:eastAsia="Times New Roman" w:cs="Times New Roman"/>
          <w:color w:val="auto"/>
          <w:sz w:val="21"/>
          <w:szCs w:val="21"/>
          <w:highlight w:val="none"/>
          <w:lang w:eastAsia="zh-CN"/>
        </w:rPr>
        <w:t xml:space="preserve">splatin. </w:t>
      </w:r>
      <w:r>
        <w:rPr>
          <w:rFonts w:hint="eastAsia" w:ascii="Times New Roman" w:hAnsi="Times New Roman" w:eastAsia="Times New Roman" w:cs="Times New Roman"/>
          <w:color w:val="auto"/>
          <w:sz w:val="21"/>
          <w:szCs w:val="21"/>
          <w:highlight w:val="none"/>
          <w:lang w:val="en-US" w:eastAsia="zh-CN"/>
        </w:rPr>
        <w:t>G</w:t>
      </w:r>
      <w:r>
        <w:rPr>
          <w:rFonts w:hint="eastAsia" w:ascii="Times New Roman" w:hAnsi="Times New Roman" w:eastAsia="Times New Roman" w:cs="Times New Roman"/>
          <w:color w:val="auto"/>
          <w:sz w:val="21"/>
          <w:szCs w:val="21"/>
          <w:highlight w:val="none"/>
          <w:lang w:eastAsia="zh-CN"/>
        </w:rPr>
        <w:t xml:space="preserve">) </w:t>
      </w:r>
      <w:r>
        <w:rPr>
          <w:rFonts w:hint="default" w:ascii="Times New Roman" w:hAnsi="Times New Roman" w:eastAsia="Times New Roman" w:cs="Times New Roman"/>
          <w:color w:val="auto"/>
          <w:sz w:val="21"/>
          <w:szCs w:val="21"/>
          <w:highlight w:val="none"/>
          <w:lang w:eastAsia="zh-CN"/>
        </w:rPr>
        <w:t>HeLa</w:t>
      </w:r>
      <w:r>
        <w:rPr>
          <w:rFonts w:hint="eastAsia" w:ascii="Times New Roman" w:hAnsi="Times New Roman" w:eastAsia="Times New Roman" w:cs="Times New Roman"/>
          <w:color w:val="auto"/>
          <w:sz w:val="21"/>
          <w:szCs w:val="21"/>
          <w:highlight w:val="none"/>
          <w:lang w:val="en-US" w:eastAsia="zh-CN"/>
        </w:rPr>
        <w:t xml:space="preserve"> cells</w:t>
      </w:r>
      <w:r>
        <w:rPr>
          <w:rFonts w:hint="default" w:ascii="Times New Roman" w:hAnsi="Times New Roman" w:eastAsia="Times New Roman" w:cs="Times New Roman"/>
          <w:color w:val="auto"/>
          <w:sz w:val="21"/>
          <w:szCs w:val="21"/>
          <w:highlight w:val="none"/>
          <w:lang w:eastAsia="zh-CN"/>
        </w:rPr>
        <w:t xml:space="preserve"> were stimulated with </w:t>
      </w:r>
      <w:r>
        <w:rPr>
          <w:rFonts w:hint="eastAsia" w:ascii="Times New Roman" w:hAnsi="Times New Roman" w:eastAsia="Times New Roman" w:cs="Times New Roman"/>
          <w:color w:val="auto"/>
          <w:sz w:val="21"/>
          <w:szCs w:val="21"/>
          <w:highlight w:val="none"/>
          <w:lang w:val="en-US" w:eastAsia="zh-CN"/>
        </w:rPr>
        <w:t>HSV-1.</w:t>
      </w:r>
      <w:r>
        <w:rPr>
          <w:rFonts w:hint="default" w:ascii="Times New Roman" w:hAnsi="Times New Roman" w:eastAsia="Times New Roman" w:cs="Times New Roman"/>
          <w:color w:val="auto"/>
          <w:sz w:val="21"/>
          <w:szCs w:val="21"/>
          <w:highlight w:val="none"/>
          <w:lang w:eastAsia="zh-CN"/>
        </w:rPr>
        <w:t xml:space="preserve"> Cells were collected and lysed for western blotting.</w:t>
      </w:r>
      <w:r>
        <w:rPr>
          <w:rFonts w:hint="eastAsia" w:ascii="Times New Roman" w:hAnsi="Times New Roman" w:eastAsia="Times New Roman" w:cs="Times New Roman"/>
          <w:color w:val="auto"/>
          <w:sz w:val="21"/>
          <w:szCs w:val="21"/>
          <w:highlight w:val="none"/>
          <w:lang w:val="en-US" w:eastAsia="zh-CN"/>
        </w:rPr>
        <w:t xml:space="preserve"> H) </w:t>
      </w:r>
      <w:r>
        <w:rPr>
          <w:rFonts w:hint="eastAsia" w:ascii="Times New Roman" w:hAnsi="Times New Roman" w:eastAsia="Times New Roman" w:cs="Times New Roman"/>
          <w:color w:val="auto"/>
          <w:sz w:val="21"/>
          <w:szCs w:val="21"/>
          <w:highlight w:val="none"/>
          <w:lang w:eastAsia="zh-CN"/>
        </w:rPr>
        <w:t xml:space="preserve">The expressions of </w:t>
      </w:r>
      <w:r>
        <w:rPr>
          <w:rFonts w:hint="eastAsia" w:ascii="Times New Roman" w:hAnsi="Times New Roman" w:eastAsia="Times New Roman" w:cs="Times New Roman"/>
          <w:i/>
          <w:iCs/>
          <w:color w:val="auto"/>
          <w:sz w:val="21"/>
          <w:szCs w:val="21"/>
          <w:highlight w:val="none"/>
          <w:lang w:eastAsia="zh-CN"/>
        </w:rPr>
        <w:t>Ccl5</w:t>
      </w:r>
      <w:r>
        <w:rPr>
          <w:rFonts w:hint="eastAsia" w:ascii="Times New Roman" w:hAnsi="Times New Roman" w:eastAsia="Times New Roman" w:cs="Times New Roman"/>
          <w:color w:val="auto"/>
          <w:sz w:val="21"/>
          <w:szCs w:val="21"/>
          <w:highlight w:val="none"/>
          <w:lang w:eastAsia="zh-CN"/>
        </w:rPr>
        <w:t xml:space="preserve"> mRNA in each group of tumor tissues were quantified by RT-PCR. Data in (D-</w:t>
      </w:r>
      <w:r>
        <w:rPr>
          <w:rFonts w:hint="eastAsia" w:ascii="Times New Roman" w:hAnsi="Times New Roman" w:eastAsia="Times New Roman" w:cs="Times New Roman"/>
          <w:color w:val="auto"/>
          <w:sz w:val="21"/>
          <w:szCs w:val="21"/>
          <w:highlight w:val="none"/>
          <w:lang w:val="en-US" w:eastAsia="zh-CN"/>
        </w:rPr>
        <w:t>F; H</w:t>
      </w:r>
      <w:r>
        <w:rPr>
          <w:rFonts w:hint="eastAsia" w:ascii="Times New Roman" w:hAnsi="Times New Roman" w:eastAsia="Times New Roman" w:cs="Times New Roman"/>
          <w:color w:val="auto"/>
          <w:sz w:val="21"/>
          <w:szCs w:val="21"/>
          <w:highlight w:val="none"/>
          <w:lang w:eastAsia="zh-CN"/>
        </w:rPr>
        <w:t xml:space="preserve">) are shown as mean ± SD </w:t>
      </w:r>
      <w:r>
        <w:rPr>
          <w:color w:val="auto"/>
          <w:sz w:val="21"/>
          <w:szCs w:val="21"/>
          <w:highlight w:val="none"/>
          <w:lang w:eastAsia="zh-CN"/>
        </w:rPr>
        <w:t>of three independent experiments.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 </w:t>
      </w:r>
      <w:r>
        <w:rPr>
          <w:color w:val="auto"/>
          <w:sz w:val="21"/>
          <w:szCs w:val="21"/>
          <w:highlight w:val="none"/>
          <w:lang w:eastAsia="zh-CN"/>
        </w:rPr>
        <w:t>*</w:t>
      </w:r>
      <w:r>
        <w:rPr>
          <w:i/>
          <w:iCs/>
          <w:color w:val="auto"/>
          <w:sz w:val="21"/>
          <w:szCs w:val="21"/>
          <w:highlight w:val="none"/>
          <w:lang w:eastAsia="zh-CN"/>
        </w:rPr>
        <w:t>p</w:t>
      </w:r>
      <w:r>
        <w:rPr>
          <w:color w:val="auto"/>
          <w:sz w:val="21"/>
          <w:szCs w:val="21"/>
          <w:highlight w:val="none"/>
          <w:lang w:eastAsia="zh-CN"/>
        </w:rPr>
        <w:t xml:space="preserve"> &lt; 0.0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5</w:t>
      </w:r>
      <w:r>
        <w:rPr>
          <w:color w:val="auto"/>
          <w:sz w:val="21"/>
          <w:szCs w:val="21"/>
          <w:highlight w:val="none"/>
          <w:lang w:eastAsia="zh-CN"/>
        </w:rPr>
        <w:t>, **</w:t>
      </w:r>
      <w:r>
        <w:rPr>
          <w:i/>
          <w:iCs/>
          <w:color w:val="auto"/>
          <w:sz w:val="21"/>
          <w:szCs w:val="21"/>
          <w:highlight w:val="none"/>
          <w:lang w:eastAsia="zh-CN"/>
        </w:rPr>
        <w:t>p</w:t>
      </w:r>
      <w:r>
        <w:rPr>
          <w:color w:val="auto"/>
          <w:sz w:val="21"/>
          <w:szCs w:val="21"/>
          <w:highlight w:val="none"/>
          <w:lang w:eastAsia="zh-CN"/>
        </w:rPr>
        <w:t xml:space="preserve"> &lt; 0.0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1</w:t>
      </w:r>
      <w:r>
        <w:rPr>
          <w:color w:val="auto"/>
          <w:sz w:val="21"/>
          <w:szCs w:val="21"/>
          <w:highlight w:val="none"/>
          <w:lang w:eastAsia="zh-CN"/>
        </w:rPr>
        <w:t>, ***</w:t>
      </w:r>
      <w:r>
        <w:rPr>
          <w:i/>
          <w:iCs/>
          <w:color w:val="auto"/>
          <w:sz w:val="21"/>
          <w:szCs w:val="21"/>
          <w:highlight w:val="none"/>
          <w:lang w:eastAsia="zh-CN"/>
        </w:rPr>
        <w:t>p</w:t>
      </w:r>
      <w:r>
        <w:rPr>
          <w:color w:val="auto"/>
          <w:sz w:val="21"/>
          <w:szCs w:val="21"/>
          <w:highlight w:val="none"/>
          <w:lang w:eastAsia="zh-CN"/>
        </w:rPr>
        <w:t xml:space="preserve"> &lt; 0.001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.</w:t>
      </w:r>
    </w:p>
    <w:p w14:paraId="7639EB49">
      <w:pPr>
        <w:jc w:val="both"/>
        <w:rPr>
          <w:rFonts w:hint="eastAsia"/>
          <w:color w:val="auto"/>
          <w:sz w:val="21"/>
          <w:szCs w:val="21"/>
          <w:highlight w:val="none"/>
          <w:lang w:eastAsia="zh-CN"/>
        </w:rPr>
      </w:pPr>
    </w:p>
    <w:p w14:paraId="77D5760B">
      <w:pPr>
        <w:jc w:val="center"/>
        <w:rPr>
          <w:rFonts w:hint="eastAsia"/>
          <w:color w:val="auto"/>
          <w:sz w:val="21"/>
          <w:szCs w:val="21"/>
          <w:highlight w:val="none"/>
          <w:lang w:eastAsia="zh-CN"/>
        </w:rPr>
      </w:pPr>
      <w:r>
        <w:rPr>
          <w:rFonts w:hint="eastAsia"/>
          <w:color w:val="auto"/>
          <w:sz w:val="21"/>
          <w:szCs w:val="21"/>
          <w:highlight w:val="none"/>
          <w:lang w:eastAsia="zh-CN"/>
        </w:rPr>
        <w:drawing>
          <wp:inline distT="0" distB="0" distL="114300" distR="114300">
            <wp:extent cx="5779135" cy="5797550"/>
            <wp:effectExtent l="0" t="0" r="12065" b="6350"/>
            <wp:docPr id="2" name="图片 2" descr="Revised figure 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Revised figure S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84ADC">
      <w:pPr>
        <w:jc w:val="both"/>
        <w:rPr>
          <w:rFonts w:hint="eastAsia"/>
          <w:color w:val="auto"/>
          <w:sz w:val="21"/>
          <w:szCs w:val="21"/>
          <w:highlight w:val="none"/>
          <w:lang w:eastAsia="zh-CN"/>
        </w:rPr>
      </w:pPr>
      <w:r>
        <w:rPr>
          <w:color w:val="auto"/>
          <w:sz w:val="21"/>
          <w:szCs w:val="21"/>
          <w:highlight w:val="none"/>
          <w:lang w:eastAsia="zh-CN"/>
        </w:rPr>
        <w:t>Figure S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9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. DTX2 promotes the infiltration of CD8T and NK cells in tumor tissues. A) Representative flow cytometry staining 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of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 CD8</w:t>
      </w:r>
      <w:r>
        <w:rPr>
          <w:rFonts w:hint="eastAsia"/>
          <w:color w:val="auto"/>
          <w:sz w:val="21"/>
          <w:szCs w:val="21"/>
          <w:highlight w:val="none"/>
          <w:vertAlign w:val="superscript"/>
          <w:lang w:eastAsia="zh-CN"/>
        </w:rPr>
        <w:t>+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CD3</w:t>
      </w:r>
      <w:r>
        <w:rPr>
          <w:rFonts w:hint="eastAsia"/>
          <w:color w:val="auto"/>
          <w:sz w:val="21"/>
          <w:szCs w:val="21"/>
          <w:highlight w:val="none"/>
          <w:vertAlign w:val="superscript"/>
          <w:lang w:eastAsia="zh-CN"/>
        </w:rPr>
        <w:t>+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 T cells in the labeled groups.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 xml:space="preserve"> B) Representative flow cytometry staining and the percentage of NK cells 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in the labeled groups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 xml:space="preserve">. C) 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Representative flow cytometry staining 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of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 CD8</w:t>
      </w:r>
      <w:r>
        <w:rPr>
          <w:rFonts w:hint="eastAsia"/>
          <w:color w:val="auto"/>
          <w:sz w:val="21"/>
          <w:szCs w:val="21"/>
          <w:highlight w:val="none"/>
          <w:vertAlign w:val="superscript"/>
          <w:lang w:eastAsia="zh-CN"/>
        </w:rPr>
        <w:t>+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CD3</w:t>
      </w:r>
      <w:r>
        <w:rPr>
          <w:rFonts w:hint="eastAsia"/>
          <w:color w:val="auto"/>
          <w:sz w:val="21"/>
          <w:szCs w:val="21"/>
          <w:highlight w:val="none"/>
          <w:vertAlign w:val="superscript"/>
          <w:lang w:eastAsia="zh-CN"/>
        </w:rPr>
        <w:t>+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 T cells in in the labeled groups.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 xml:space="preserve"> D) Representative flow cytometry staining and the percentage of NK cells 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in the labeled groups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 xml:space="preserve">. 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 xml:space="preserve"> n=5 mice/group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 xml:space="preserve">. </w:t>
      </w:r>
      <w:r>
        <w:rPr>
          <w:color w:val="auto"/>
          <w:sz w:val="21"/>
          <w:szCs w:val="21"/>
          <w:highlight w:val="none"/>
          <w:lang w:eastAsia="zh-CN"/>
        </w:rPr>
        <w:t>*</w:t>
      </w:r>
      <w:r>
        <w:rPr>
          <w:i/>
          <w:iCs/>
          <w:color w:val="auto"/>
          <w:sz w:val="21"/>
          <w:szCs w:val="21"/>
          <w:highlight w:val="none"/>
          <w:lang w:eastAsia="zh-CN"/>
        </w:rPr>
        <w:t>p</w:t>
      </w:r>
      <w:r>
        <w:rPr>
          <w:color w:val="auto"/>
          <w:sz w:val="21"/>
          <w:szCs w:val="21"/>
          <w:highlight w:val="none"/>
          <w:lang w:eastAsia="zh-CN"/>
        </w:rPr>
        <w:t xml:space="preserve"> &lt; 0.0</w:t>
      </w:r>
      <w:r>
        <w:rPr>
          <w:rFonts w:hint="eastAsia" w:eastAsiaTheme="minorEastAsia"/>
          <w:color w:val="auto"/>
          <w:sz w:val="21"/>
          <w:szCs w:val="21"/>
          <w:highlight w:val="none"/>
          <w:lang w:eastAsia="zh-CN"/>
        </w:rPr>
        <w:t>5</w:t>
      </w:r>
      <w:r>
        <w:rPr>
          <w:rFonts w:hint="eastAsia"/>
          <w:color w:val="auto"/>
          <w:sz w:val="21"/>
          <w:szCs w:val="21"/>
          <w:highlight w:val="none"/>
          <w:lang w:eastAsia="zh-CN"/>
        </w:rPr>
        <w:t>.</w:t>
      </w:r>
    </w:p>
    <w:p w14:paraId="3DC26515">
      <w:pPr>
        <w:jc w:val="both"/>
        <w:rPr>
          <w:rFonts w:hint="eastAsia"/>
          <w:color w:val="auto"/>
          <w:sz w:val="21"/>
          <w:szCs w:val="21"/>
          <w:highlight w:val="none"/>
          <w:lang w:eastAsia="zh-CN"/>
        </w:rPr>
      </w:pPr>
    </w:p>
    <w:bookmarkEnd w:id="2"/>
    <w:sectPr>
      <w:headerReference r:id="rId3" w:type="default"/>
      <w:footerReference r:id="rId4" w:type="default"/>
      <w:pgSz w:w="12240" w:h="15840"/>
      <w:pgMar w:top="1440" w:right="1440" w:bottom="1440" w:left="1440" w:header="720" w:footer="720" w:gutter="0"/>
      <w:pgNumType w:start="1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F3AC56">
    <w:pPr>
      <w:pStyle w:val="5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</w:p>
  <w:p w14:paraId="162744FF">
    <w:pPr>
      <w:pStyle w:val="5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F3AE81">
    <w:pPr>
      <w:jc w:val="right"/>
      <w:rPr>
        <w:sz w:val="20"/>
      </w:rPr>
    </w:pPr>
  </w:p>
  <w:p w14:paraId="6D7A47E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6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47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36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14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46"/>
      <w:lvlText w:val=""/>
      <w:lvlJc w:val="left"/>
      <w:pPr>
        <w:tabs>
          <w:tab w:val="left" w:pos="1800"/>
        </w:tabs>
        <w:ind w:left="1800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17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33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40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20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24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0F"/>
    <w:rsid w:val="00015F74"/>
    <w:rsid w:val="00065EBD"/>
    <w:rsid w:val="00066D0C"/>
    <w:rsid w:val="00083B44"/>
    <w:rsid w:val="000850DC"/>
    <w:rsid w:val="000C07BF"/>
    <w:rsid w:val="000C2771"/>
    <w:rsid w:val="000D46F4"/>
    <w:rsid w:val="000E4A83"/>
    <w:rsid w:val="000F0DCE"/>
    <w:rsid w:val="000F6BE3"/>
    <w:rsid w:val="00112C5B"/>
    <w:rsid w:val="00114193"/>
    <w:rsid w:val="00115A38"/>
    <w:rsid w:val="0011687B"/>
    <w:rsid w:val="00124F82"/>
    <w:rsid w:val="001302DA"/>
    <w:rsid w:val="001562E6"/>
    <w:rsid w:val="0016337A"/>
    <w:rsid w:val="00164269"/>
    <w:rsid w:val="001928A9"/>
    <w:rsid w:val="001A1BDE"/>
    <w:rsid w:val="001B034F"/>
    <w:rsid w:val="001B13CE"/>
    <w:rsid w:val="001F004E"/>
    <w:rsid w:val="001F06EF"/>
    <w:rsid w:val="001F0876"/>
    <w:rsid w:val="001F167C"/>
    <w:rsid w:val="001F5E91"/>
    <w:rsid w:val="002077B9"/>
    <w:rsid w:val="00262D72"/>
    <w:rsid w:val="002718FB"/>
    <w:rsid w:val="00294FBB"/>
    <w:rsid w:val="002C030F"/>
    <w:rsid w:val="002C0788"/>
    <w:rsid w:val="002F0FB6"/>
    <w:rsid w:val="0031671A"/>
    <w:rsid w:val="00331D75"/>
    <w:rsid w:val="003368D5"/>
    <w:rsid w:val="00355362"/>
    <w:rsid w:val="00363E44"/>
    <w:rsid w:val="003659A8"/>
    <w:rsid w:val="003669F9"/>
    <w:rsid w:val="00392402"/>
    <w:rsid w:val="00393BAB"/>
    <w:rsid w:val="00395E86"/>
    <w:rsid w:val="003A2FD8"/>
    <w:rsid w:val="003B40E6"/>
    <w:rsid w:val="003C7F16"/>
    <w:rsid w:val="003E74FB"/>
    <w:rsid w:val="003F5904"/>
    <w:rsid w:val="003F6E14"/>
    <w:rsid w:val="00405336"/>
    <w:rsid w:val="00411480"/>
    <w:rsid w:val="00435ABE"/>
    <w:rsid w:val="004571D5"/>
    <w:rsid w:val="00461D81"/>
    <w:rsid w:val="0046356B"/>
    <w:rsid w:val="004677ED"/>
    <w:rsid w:val="00477182"/>
    <w:rsid w:val="004779CB"/>
    <w:rsid w:val="004A6F57"/>
    <w:rsid w:val="004B0160"/>
    <w:rsid w:val="004D0135"/>
    <w:rsid w:val="004E42D8"/>
    <w:rsid w:val="004E7BA2"/>
    <w:rsid w:val="004F7EDF"/>
    <w:rsid w:val="005001AC"/>
    <w:rsid w:val="00527D71"/>
    <w:rsid w:val="00533910"/>
    <w:rsid w:val="005520A8"/>
    <w:rsid w:val="005607DD"/>
    <w:rsid w:val="005748C4"/>
    <w:rsid w:val="005A558C"/>
    <w:rsid w:val="005D712F"/>
    <w:rsid w:val="005E28F8"/>
    <w:rsid w:val="005E6513"/>
    <w:rsid w:val="00602455"/>
    <w:rsid w:val="00607E8E"/>
    <w:rsid w:val="00632CA3"/>
    <w:rsid w:val="00651114"/>
    <w:rsid w:val="00664560"/>
    <w:rsid w:val="00670299"/>
    <w:rsid w:val="0067228C"/>
    <w:rsid w:val="00691985"/>
    <w:rsid w:val="00697611"/>
    <w:rsid w:val="006A0156"/>
    <w:rsid w:val="006A1B64"/>
    <w:rsid w:val="006B16B1"/>
    <w:rsid w:val="006B63D6"/>
    <w:rsid w:val="006E31B4"/>
    <w:rsid w:val="006F164E"/>
    <w:rsid w:val="007108F5"/>
    <w:rsid w:val="00713E5B"/>
    <w:rsid w:val="007365DA"/>
    <w:rsid w:val="007402FC"/>
    <w:rsid w:val="007411A1"/>
    <w:rsid w:val="00793072"/>
    <w:rsid w:val="007C45B3"/>
    <w:rsid w:val="007E2786"/>
    <w:rsid w:val="00807D35"/>
    <w:rsid w:val="008218C4"/>
    <w:rsid w:val="0082274B"/>
    <w:rsid w:val="008264F9"/>
    <w:rsid w:val="00827D8B"/>
    <w:rsid w:val="00867A98"/>
    <w:rsid w:val="00870867"/>
    <w:rsid w:val="00885C9B"/>
    <w:rsid w:val="008D5D2A"/>
    <w:rsid w:val="00914B63"/>
    <w:rsid w:val="00926E3D"/>
    <w:rsid w:val="009354F3"/>
    <w:rsid w:val="009447DC"/>
    <w:rsid w:val="00945471"/>
    <w:rsid w:val="00950234"/>
    <w:rsid w:val="00961BA5"/>
    <w:rsid w:val="00962726"/>
    <w:rsid w:val="009743A9"/>
    <w:rsid w:val="00984905"/>
    <w:rsid w:val="009A5287"/>
    <w:rsid w:val="009A7C5F"/>
    <w:rsid w:val="009B2AC5"/>
    <w:rsid w:val="009B3ADC"/>
    <w:rsid w:val="009B7984"/>
    <w:rsid w:val="009F4BED"/>
    <w:rsid w:val="009F7D93"/>
    <w:rsid w:val="00A02E0C"/>
    <w:rsid w:val="00A3403B"/>
    <w:rsid w:val="00A51A12"/>
    <w:rsid w:val="00A53A78"/>
    <w:rsid w:val="00A627D4"/>
    <w:rsid w:val="00A74DA2"/>
    <w:rsid w:val="00A77632"/>
    <w:rsid w:val="00AB399E"/>
    <w:rsid w:val="00AC59D0"/>
    <w:rsid w:val="00AD16B1"/>
    <w:rsid w:val="00AD499C"/>
    <w:rsid w:val="00B04E78"/>
    <w:rsid w:val="00B13E02"/>
    <w:rsid w:val="00B36869"/>
    <w:rsid w:val="00B43B31"/>
    <w:rsid w:val="00B47CFA"/>
    <w:rsid w:val="00B574A3"/>
    <w:rsid w:val="00B57F00"/>
    <w:rsid w:val="00B63245"/>
    <w:rsid w:val="00B73C69"/>
    <w:rsid w:val="00B77B2A"/>
    <w:rsid w:val="00B82C22"/>
    <w:rsid w:val="00B93DBA"/>
    <w:rsid w:val="00B9440A"/>
    <w:rsid w:val="00BB2D2A"/>
    <w:rsid w:val="00BC290E"/>
    <w:rsid w:val="00BC3E04"/>
    <w:rsid w:val="00BD3058"/>
    <w:rsid w:val="00BD58CF"/>
    <w:rsid w:val="00BD6AA7"/>
    <w:rsid w:val="00BF0C92"/>
    <w:rsid w:val="00C022D7"/>
    <w:rsid w:val="00C04CC1"/>
    <w:rsid w:val="00C22276"/>
    <w:rsid w:val="00C4096C"/>
    <w:rsid w:val="00C50C6D"/>
    <w:rsid w:val="00C600D9"/>
    <w:rsid w:val="00C76DA5"/>
    <w:rsid w:val="00C92B22"/>
    <w:rsid w:val="00CC1384"/>
    <w:rsid w:val="00CD3720"/>
    <w:rsid w:val="00CD661B"/>
    <w:rsid w:val="00CF1848"/>
    <w:rsid w:val="00CF5C2F"/>
    <w:rsid w:val="00D04BCF"/>
    <w:rsid w:val="00D11A56"/>
    <w:rsid w:val="00D143D9"/>
    <w:rsid w:val="00D30C95"/>
    <w:rsid w:val="00D51AB5"/>
    <w:rsid w:val="00D51C15"/>
    <w:rsid w:val="00D5511B"/>
    <w:rsid w:val="00D766F1"/>
    <w:rsid w:val="00DA1886"/>
    <w:rsid w:val="00DD2E17"/>
    <w:rsid w:val="00DD600C"/>
    <w:rsid w:val="00DF7D88"/>
    <w:rsid w:val="00E257C8"/>
    <w:rsid w:val="00E40A10"/>
    <w:rsid w:val="00E41512"/>
    <w:rsid w:val="00E4519A"/>
    <w:rsid w:val="00E82FF2"/>
    <w:rsid w:val="00E853D5"/>
    <w:rsid w:val="00E9773B"/>
    <w:rsid w:val="00EA6F42"/>
    <w:rsid w:val="00EC13A3"/>
    <w:rsid w:val="00EC7C85"/>
    <w:rsid w:val="00ED2CBE"/>
    <w:rsid w:val="00F01124"/>
    <w:rsid w:val="00F125EE"/>
    <w:rsid w:val="00F12E98"/>
    <w:rsid w:val="00F22029"/>
    <w:rsid w:val="00F515FB"/>
    <w:rsid w:val="00F5375F"/>
    <w:rsid w:val="00F630EA"/>
    <w:rsid w:val="00F7007E"/>
    <w:rsid w:val="00F73193"/>
    <w:rsid w:val="00F74F95"/>
    <w:rsid w:val="00F80705"/>
    <w:rsid w:val="00FA1481"/>
    <w:rsid w:val="00FD4B55"/>
    <w:rsid w:val="00FF04E3"/>
    <w:rsid w:val="03AC38D7"/>
    <w:rsid w:val="05157BA2"/>
    <w:rsid w:val="05405942"/>
    <w:rsid w:val="08406CE4"/>
    <w:rsid w:val="0D731909"/>
    <w:rsid w:val="0FB75ADD"/>
    <w:rsid w:val="10343BF8"/>
    <w:rsid w:val="12064AFA"/>
    <w:rsid w:val="12F26E2C"/>
    <w:rsid w:val="134C3473"/>
    <w:rsid w:val="151A64CD"/>
    <w:rsid w:val="1A734CF7"/>
    <w:rsid w:val="1BC25F36"/>
    <w:rsid w:val="1BC63B86"/>
    <w:rsid w:val="1DBA2C3C"/>
    <w:rsid w:val="1DDB103F"/>
    <w:rsid w:val="1EA0739E"/>
    <w:rsid w:val="20094517"/>
    <w:rsid w:val="23DF254C"/>
    <w:rsid w:val="2CDE0334"/>
    <w:rsid w:val="32145079"/>
    <w:rsid w:val="32280A05"/>
    <w:rsid w:val="339A66C5"/>
    <w:rsid w:val="36BE6EA2"/>
    <w:rsid w:val="390E5D2A"/>
    <w:rsid w:val="3BE01F24"/>
    <w:rsid w:val="469F45FA"/>
    <w:rsid w:val="48B47DDD"/>
    <w:rsid w:val="49592D5B"/>
    <w:rsid w:val="4C5973BF"/>
    <w:rsid w:val="4D9D0605"/>
    <w:rsid w:val="50013499"/>
    <w:rsid w:val="5A9A53AC"/>
    <w:rsid w:val="5F21609C"/>
    <w:rsid w:val="62061579"/>
    <w:rsid w:val="63E703DA"/>
    <w:rsid w:val="645A6900"/>
    <w:rsid w:val="67036C34"/>
    <w:rsid w:val="68C019C0"/>
    <w:rsid w:val="69BE5A06"/>
    <w:rsid w:val="69DD0FAB"/>
    <w:rsid w:val="6B2D338E"/>
    <w:rsid w:val="6F0A17BC"/>
    <w:rsid w:val="71F268E1"/>
    <w:rsid w:val="72FC40B4"/>
    <w:rsid w:val="75AB6268"/>
    <w:rsid w:val="766D318B"/>
    <w:rsid w:val="77D44DFB"/>
    <w:rsid w:val="78EE6B97"/>
    <w:rsid w:val="79080554"/>
    <w:rsid w:val="7AE21CA9"/>
    <w:rsid w:val="7B2A5E81"/>
    <w:rsid w:val="7C6F4493"/>
    <w:rsid w:val="7DB1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name="heading 1"/>
    <w:lsdException w:qFormat="1" w:unhideWhenUsed="0" w:uiPriority="0" w:name="heading 2"/>
    <w:lsdException w:qFormat="1" w:unhideWhenUsed="0" w:uiPriority="0" w:name="heading 3"/>
    <w:lsdException w:qFormat="1" w:unhideWhenUsed="0" w:uiPriority="0" w:name="heading 4"/>
    <w:lsdException w:qFormat="1" w:unhideWhenUsed="0" w:uiPriority="0" w:name="heading 5"/>
    <w:lsdException w:qFormat="1" w:unhideWhenUsed="0" w:uiPriority="0" w:name="heading 6"/>
    <w:lsdException w:qFormat="1" w:unhideWhenUsed="0" w:uiPriority="0" w:name="heading 7"/>
    <w:lsdException w:qFormat="1" w:unhideWhenUsed="0" w:uiPriority="0" w:name="heading 8"/>
    <w:lsdException w:qFormat="1" w:unhideWhenUsed="0" w:uiPriority="0" w:name="heading 9"/>
    <w:lsdException w:qFormat="1" w:unhideWhenUsed="0" w:uiPriority="0" w:name="index 1"/>
    <w:lsdException w:qFormat="1" w:unhideWhenUsed="0" w:uiPriority="0" w:name="index 2"/>
    <w:lsdException w:qFormat="1" w:unhideWhenUsed="0" w:uiPriority="0" w:name="index 3"/>
    <w:lsdException w:qFormat="1" w:unhideWhenUsed="0" w:uiPriority="0" w:name="index 4"/>
    <w:lsdException w:qFormat="1" w:unhideWhenUsed="0" w:uiPriority="0" w:name="index 5"/>
    <w:lsdException w:qFormat="1" w:unhideWhenUsed="0" w:uiPriority="0" w:name="index 6"/>
    <w:lsdException w:qFormat="1" w:unhideWhenUsed="0" w:uiPriority="0" w:name="index 7"/>
    <w:lsdException w:qFormat="1" w:unhideWhenUsed="0" w:uiPriority="0" w:name="index 8"/>
    <w:lsdException w:qFormat="1" w:unhideWhenUsed="0" w:uiPriority="0" w:name="index 9"/>
    <w:lsdException w:qFormat="1" w:unhideWhenUsed="0" w:uiPriority="0" w:name="toc 1"/>
    <w:lsdException w:qFormat="1" w:unhideWhenUsed="0" w:uiPriority="0" w:name="toc 2"/>
    <w:lsdException w:qFormat="1"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0" w:name="header"/>
    <w:lsdException w:qFormat="1" w:unhideWhenUsed="0" w:uiPriority="0" w:name="footer"/>
    <w:lsdException w:qFormat="1" w:unhideWhenUsed="0" w:uiPriority="0" w:name="index heading"/>
    <w:lsdException w:qFormat="1" w:unhideWhenUsed="0" w:uiPriority="0" w:name="caption"/>
    <w:lsdException w:qFormat="1" w:unhideWhenUsed="0" w:uiPriority="0" w:name="table of figures"/>
    <w:lsdException w:qFormat="1" w:unhideWhenUsed="0" w:uiPriority="0" w:name="envelope address"/>
    <w:lsdException w:qFormat="1" w:unhideWhenUsed="0" w:uiPriority="0" w:name="envelope return"/>
    <w:lsdException w:uiPriority="0" w:name="footnote reference"/>
    <w:lsdException w:qFormat="1" w:uiPriority="0" w:name="annotation reference"/>
    <w:lsdException w:uiPriority="0" w:name="line number"/>
    <w:lsdException w:qFormat="1" w:unhideWhenUsed="0" w:uiPriority="0" w:name="page number"/>
    <w:lsdException w:uiPriority="0" w:name="endnote reference"/>
    <w:lsdException w:qFormat="1" w:unhideWhenUsed="0" w:uiPriority="0" w:name="endnote text"/>
    <w:lsdException w:qFormat="1" w:unhideWhenUsed="0" w:uiPriority="0" w:name="table of authorities"/>
    <w:lsdException w:qFormat="1" w:unhideWhenUsed="0" w:uiPriority="0" w:name="macro"/>
    <w:lsdException w:qFormat="1" w:unhideWhenUsed="0" w:uiPriority="0" w:name="toa heading"/>
    <w:lsdException w:qFormat="1" w:unhideWhenUsed="0" w:uiPriority="0" w:name="List"/>
    <w:lsdException w:qFormat="1" w:unhideWhenUsed="0" w:uiPriority="0" w:name="List Bullet"/>
    <w:lsdException w:qFormat="1" w:unhideWhenUsed="0" w:uiPriority="0" w:name="List Number"/>
    <w:lsdException w:qFormat="1" w:unhideWhenUsed="0" w:uiPriority="0" w:name="List 2"/>
    <w:lsdException w:qFormat="1" w:unhideWhenUsed="0" w:uiPriority="0" w:name="List 3"/>
    <w:lsdException w:qFormat="1" w:unhideWhenUsed="0" w:uiPriority="0" w:name="List 4"/>
    <w:lsdException w:qFormat="1" w:unhideWhenUsed="0" w:uiPriority="0" w:name="List 5"/>
    <w:lsdException w:qFormat="1" w:unhideWhenUsed="0" w:uiPriority="0" w:name="List Bullet 2"/>
    <w:lsdException w:qFormat="1" w:unhideWhenUsed="0" w:uiPriority="0" w:name="List Bullet 3"/>
    <w:lsdException w:qFormat="1" w:unhideWhenUsed="0" w:uiPriority="0" w:name="List Bullet 4"/>
    <w:lsdException w:qFormat="1" w:unhideWhenUsed="0" w:uiPriority="0" w:name="List Bullet 5"/>
    <w:lsdException w:qFormat="1" w:unhideWhenUsed="0" w:uiPriority="0" w:name="List Number 2"/>
    <w:lsdException w:qFormat="1" w:unhideWhenUsed="0" w:uiPriority="0" w:name="List Number 3"/>
    <w:lsdException w:qFormat="1" w:unhideWhenUsed="0" w:uiPriority="0" w:name="List Number 4"/>
    <w:lsdException w:qFormat="1" w:unhideWhenUsed="0" w:uiPriority="0" w:name="List Number 5"/>
    <w:lsdException w:qFormat="1" w:unhideWhenUsed="0" w:uiPriority="0" w:name="Title"/>
    <w:lsdException w:qFormat="1" w:unhideWhenUsed="0" w:uiPriority="0" w:name="Closing"/>
    <w:lsdException w:qFormat="1" w:unhideWhenUsed="0" w:uiPriority="0" w:name="Signature"/>
    <w:lsdException w:qFormat="1" w:uiPriority="1" w:name="Default Paragraph Font"/>
    <w:lsdException w:qFormat="1" w:unhideWhenUsed="0" w:uiPriority="0" w:name="Body Text"/>
    <w:lsdException w:qFormat="1" w:unhideWhenUsed="0" w:uiPriority="0" w:name="Body Text Indent"/>
    <w:lsdException w:qFormat="1" w:unhideWhenUsed="0" w:uiPriority="0" w:name="List Continue"/>
    <w:lsdException w:qFormat="1" w:unhideWhenUsed="0" w:uiPriority="0" w:name="List Continue 2"/>
    <w:lsdException w:qFormat="1" w:unhideWhenUsed="0" w:uiPriority="0" w:name="List Continue 3"/>
    <w:lsdException w:qFormat="1" w:unhideWhenUsed="0" w:uiPriority="0" w:name="List Continue 4"/>
    <w:lsdException w:qFormat="1" w:unhideWhenUsed="0" w:uiPriority="0" w:name="List Continue 5"/>
    <w:lsdException w:qFormat="1" w:unhideWhenUsed="0" w:uiPriority="0" w:name="Message Header"/>
    <w:lsdException w:qFormat="1" w:unhideWhenUsed="0" w:uiPriority="0" w:name="Subtitle"/>
    <w:lsdException w:qFormat="1" w:unhideWhenUsed="0" w:uiPriority="0" w:name="Salutation"/>
    <w:lsdException w:qFormat="1" w:unhideWhenUsed="0" w:uiPriority="0" w:name="Date"/>
    <w:lsdException w:qFormat="1" w:unhideWhenUsed="0" w:uiPriority="0" w:name="Body Text First Indent"/>
    <w:lsdException w:qFormat="1" w:unhideWhenUsed="0" w:uiPriority="0" w:name="Body Text First Indent 2"/>
    <w:lsdException w:qFormat="1" w:unhideWhenUsed="0" w:uiPriority="0" w:name="Note Heading"/>
    <w:lsdException w:qFormat="1" w:unhideWhenUsed="0" w:uiPriority="0" w:name="Body Text 2"/>
    <w:lsdException w:qFormat="1" w:unhideWhenUsed="0" w:uiPriority="0" w:name="Body Text 3"/>
    <w:lsdException w:qFormat="1" w:unhideWhenUsed="0" w:uiPriority="0" w:name="Body Text Indent 2"/>
    <w:lsdException w:qFormat="1" w:unhideWhenUsed="0" w:uiPriority="0" w:name="Body Text Indent 3"/>
    <w:lsdException w:qFormat="1" w:unhideWhenUsed="0" w:uiPriority="0" w:name="Block Text"/>
    <w:lsdException w:qFormat="1" w:unhideWhenUsed="0" w:uiPriority="0" w:name="Hyperlink"/>
    <w:lsdException w:qFormat="1" w:uiPriority="0" w:name="FollowedHyperlink"/>
    <w:lsdException w:qFormat="1" w:unhideWhenUsed="0" w:uiPriority="0" w:name="Strong"/>
    <w:lsdException w:qFormat="1" w:unhideWhenUsed="0" w:uiPriority="0" w:name="Emphasis"/>
    <w:lsdException w:qFormat="1" w:unhideWhenUsed="0" w:uiPriority="0" w:name="Document Map"/>
    <w:lsdException w:qFormat="1" w:unhideWhenUsed="0" w:uiPriority="0" w:name="Plain Text"/>
    <w:lsdException w:qFormat="1" w:unhideWhenUsed="0" w:uiPriority="0" w:name="E-mail Signature"/>
    <w:lsdException w:qFormat="1" w:unhideWhenUsed="0" w:uiPriority="0" w:name="Normal (Web)"/>
    <w:lsdException w:uiPriority="0" w:name="HTML Acronym"/>
    <w:lsdException w:qFormat="1" w:unhideWhenUsed="0"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qFormat="1" w:unhideWhenUsed="0" w:uiPriority="1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name="List Paragraph"/>
    <w:lsdException w:qFormat="1" w:unhideWhenUsed="0" w:uiPriority="29" w:name="Quote"/>
    <w:lsdException w:qFormat="1" w:unhideWhenUsed="0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lang w:val="en-US" w:eastAsia="en-US" w:bidi="ar-SA"/>
    </w:rPr>
  </w:style>
  <w:style w:type="paragraph" w:styleId="3">
    <w:name w:val="heading 1"/>
    <w:basedOn w:val="1"/>
    <w:next w:val="1"/>
    <w:link w:val="94"/>
    <w:semiHidden/>
    <w:qFormat/>
    <w:uiPriority w:val="0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4">
    <w:name w:val="heading 2"/>
    <w:basedOn w:val="1"/>
    <w:next w:val="1"/>
    <w:link w:val="95"/>
    <w:semiHidden/>
    <w:qFormat/>
    <w:uiPriority w:val="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3"/>
    <w:basedOn w:val="1"/>
    <w:next w:val="1"/>
    <w:semiHidden/>
    <w:qFormat/>
    <w:uiPriority w:val="0"/>
    <w:pPr>
      <w:keepNext/>
      <w:spacing w:line="480" w:lineRule="auto"/>
      <w:outlineLvl w:val="2"/>
    </w:pPr>
    <w:rPr>
      <w:rFonts w:ascii="Times" w:hAnsi="Times" w:eastAsia="Times"/>
      <w:b/>
    </w:rPr>
  </w:style>
  <w:style w:type="paragraph" w:styleId="6">
    <w:name w:val="heading 4"/>
    <w:basedOn w:val="1"/>
    <w:next w:val="1"/>
    <w:semiHidden/>
    <w:qFormat/>
    <w:uiPriority w:val="0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7">
    <w:name w:val="heading 5"/>
    <w:basedOn w:val="1"/>
    <w:next w:val="1"/>
    <w:link w:val="96"/>
    <w:semiHidden/>
    <w:qFormat/>
    <w:uiPriority w:val="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6"/>
    <w:basedOn w:val="1"/>
    <w:next w:val="1"/>
    <w:link w:val="97"/>
    <w:semiHidden/>
    <w:qFormat/>
    <w:uiPriority w:val="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9">
    <w:name w:val="heading 7"/>
    <w:basedOn w:val="1"/>
    <w:next w:val="1"/>
    <w:link w:val="98"/>
    <w:semiHidden/>
    <w:qFormat/>
    <w:uiPriority w:val="0"/>
    <w:pPr>
      <w:spacing w:before="240" w:after="60"/>
      <w:outlineLvl w:val="6"/>
    </w:pPr>
    <w:rPr>
      <w:rFonts w:ascii="Calibri" w:hAnsi="Calibri"/>
      <w:szCs w:val="24"/>
    </w:rPr>
  </w:style>
  <w:style w:type="paragraph" w:styleId="10">
    <w:name w:val="heading 8"/>
    <w:basedOn w:val="1"/>
    <w:next w:val="1"/>
    <w:link w:val="99"/>
    <w:semiHidden/>
    <w:qFormat/>
    <w:uiPriority w:val="0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11">
    <w:name w:val="heading 9"/>
    <w:basedOn w:val="1"/>
    <w:next w:val="1"/>
    <w:link w:val="100"/>
    <w:semiHidden/>
    <w:qFormat/>
    <w:uiPriority w:val="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89">
    <w:name w:val="Default Paragraph Font"/>
    <w:semiHidden/>
    <w:unhideWhenUsed/>
    <w:qFormat/>
    <w:uiPriority w:val="1"/>
  </w:style>
  <w:style w:type="table" w:default="1" w:styleId="8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30"/>
    <w:semiHidden/>
    <w:qFormat/>
    <w:uiPriority w:val="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eastAsia="Times New Roman" w:cs="Courier New"/>
      <w:lang w:val="en-US" w:eastAsia="en-US" w:bidi="ar-SA"/>
    </w:rPr>
  </w:style>
  <w:style w:type="paragraph" w:styleId="12">
    <w:name w:val="List 3"/>
    <w:basedOn w:val="1"/>
    <w:semiHidden/>
    <w:qFormat/>
    <w:uiPriority w:val="0"/>
    <w:pPr>
      <w:ind w:left="1080" w:hanging="360"/>
      <w:contextualSpacing/>
    </w:pPr>
  </w:style>
  <w:style w:type="paragraph" w:styleId="13">
    <w:name w:val="toc 7"/>
    <w:basedOn w:val="1"/>
    <w:next w:val="1"/>
    <w:autoRedefine/>
    <w:semiHidden/>
    <w:qFormat/>
    <w:uiPriority w:val="0"/>
    <w:pPr>
      <w:ind w:left="1440"/>
    </w:pPr>
  </w:style>
  <w:style w:type="paragraph" w:styleId="14">
    <w:name w:val="List Number 2"/>
    <w:basedOn w:val="1"/>
    <w:semiHidden/>
    <w:qFormat/>
    <w:uiPriority w:val="0"/>
    <w:pPr>
      <w:numPr>
        <w:ilvl w:val="0"/>
        <w:numId w:val="1"/>
      </w:numPr>
      <w:contextualSpacing/>
    </w:pPr>
  </w:style>
  <w:style w:type="paragraph" w:styleId="15">
    <w:name w:val="table of authorities"/>
    <w:basedOn w:val="1"/>
    <w:next w:val="1"/>
    <w:semiHidden/>
    <w:qFormat/>
    <w:uiPriority w:val="0"/>
    <w:pPr>
      <w:ind w:left="240" w:hanging="240"/>
    </w:pPr>
  </w:style>
  <w:style w:type="paragraph" w:styleId="16">
    <w:name w:val="Note Heading"/>
    <w:basedOn w:val="1"/>
    <w:next w:val="1"/>
    <w:link w:val="133"/>
    <w:semiHidden/>
    <w:qFormat/>
    <w:uiPriority w:val="0"/>
  </w:style>
  <w:style w:type="paragraph" w:styleId="17">
    <w:name w:val="List Bullet 4"/>
    <w:basedOn w:val="1"/>
    <w:semiHidden/>
    <w:qFormat/>
    <w:uiPriority w:val="0"/>
    <w:pPr>
      <w:numPr>
        <w:ilvl w:val="0"/>
        <w:numId w:val="2"/>
      </w:numPr>
      <w:contextualSpacing/>
    </w:pPr>
  </w:style>
  <w:style w:type="paragraph" w:styleId="18">
    <w:name w:val="index 8"/>
    <w:basedOn w:val="1"/>
    <w:next w:val="1"/>
    <w:autoRedefine/>
    <w:semiHidden/>
    <w:qFormat/>
    <w:uiPriority w:val="0"/>
    <w:pPr>
      <w:ind w:left="1920" w:hanging="240"/>
    </w:pPr>
  </w:style>
  <w:style w:type="paragraph" w:styleId="19">
    <w:name w:val="E-mail Signature"/>
    <w:basedOn w:val="1"/>
    <w:link w:val="120"/>
    <w:semiHidden/>
    <w:qFormat/>
    <w:uiPriority w:val="0"/>
  </w:style>
  <w:style w:type="paragraph" w:styleId="20">
    <w:name w:val="List Number"/>
    <w:basedOn w:val="1"/>
    <w:semiHidden/>
    <w:qFormat/>
    <w:uiPriority w:val="0"/>
    <w:pPr>
      <w:numPr>
        <w:ilvl w:val="0"/>
        <w:numId w:val="3"/>
      </w:numPr>
      <w:contextualSpacing/>
    </w:pPr>
  </w:style>
  <w:style w:type="paragraph" w:styleId="21">
    <w:name w:val="Normal Indent"/>
    <w:basedOn w:val="1"/>
    <w:semiHidden/>
    <w:qFormat/>
    <w:uiPriority w:val="0"/>
    <w:pPr>
      <w:ind w:left="720"/>
    </w:pPr>
  </w:style>
  <w:style w:type="paragraph" w:styleId="22">
    <w:name w:val="caption"/>
    <w:basedOn w:val="1"/>
    <w:next w:val="1"/>
    <w:semiHidden/>
    <w:qFormat/>
    <w:uiPriority w:val="0"/>
    <w:rPr>
      <w:b/>
      <w:bCs/>
      <w:sz w:val="20"/>
    </w:rPr>
  </w:style>
  <w:style w:type="paragraph" w:styleId="23">
    <w:name w:val="index 5"/>
    <w:basedOn w:val="1"/>
    <w:next w:val="1"/>
    <w:autoRedefine/>
    <w:semiHidden/>
    <w:qFormat/>
    <w:uiPriority w:val="0"/>
    <w:pPr>
      <w:ind w:left="1200" w:hanging="240"/>
    </w:pPr>
  </w:style>
  <w:style w:type="paragraph" w:styleId="24">
    <w:name w:val="List Bullet"/>
    <w:basedOn w:val="1"/>
    <w:semiHidden/>
    <w:qFormat/>
    <w:uiPriority w:val="0"/>
    <w:pPr>
      <w:numPr>
        <w:ilvl w:val="0"/>
        <w:numId w:val="4"/>
      </w:numPr>
      <w:contextualSpacing/>
    </w:pPr>
  </w:style>
  <w:style w:type="paragraph" w:styleId="25">
    <w:name w:val="envelope address"/>
    <w:basedOn w:val="1"/>
    <w:semiHidden/>
    <w:qFormat/>
    <w:uiPriority w:val="0"/>
    <w:pPr>
      <w:framePr w:w="7920" w:h="1980" w:hRule="exact" w:hSpace="180" w:wrap="auto" w:vAnchor="margin" w:hAnchor="page" w:xAlign="center" w:yAlign="bottom"/>
      <w:ind w:left="2880"/>
    </w:pPr>
    <w:rPr>
      <w:rFonts w:ascii="Cambria" w:hAnsi="Cambria"/>
      <w:szCs w:val="24"/>
    </w:rPr>
  </w:style>
  <w:style w:type="paragraph" w:styleId="26">
    <w:name w:val="Document Map"/>
    <w:basedOn w:val="1"/>
    <w:link w:val="119"/>
    <w:semiHidden/>
    <w:qFormat/>
    <w:uiPriority w:val="0"/>
    <w:rPr>
      <w:rFonts w:ascii="Tahoma" w:hAnsi="Tahoma" w:cs="Tahoma"/>
      <w:sz w:val="16"/>
      <w:szCs w:val="16"/>
    </w:rPr>
  </w:style>
  <w:style w:type="paragraph" w:styleId="27">
    <w:name w:val="toa heading"/>
    <w:basedOn w:val="1"/>
    <w:next w:val="1"/>
    <w:semiHidden/>
    <w:qFormat/>
    <w:uiPriority w:val="0"/>
    <w:pPr>
      <w:spacing w:before="120"/>
    </w:pPr>
    <w:rPr>
      <w:rFonts w:ascii="Cambria" w:hAnsi="Cambria"/>
      <w:b/>
      <w:bCs/>
      <w:szCs w:val="24"/>
    </w:rPr>
  </w:style>
  <w:style w:type="paragraph" w:styleId="28">
    <w:name w:val="annotation text"/>
    <w:basedOn w:val="1"/>
    <w:link w:val="116"/>
    <w:semiHidden/>
    <w:qFormat/>
    <w:uiPriority w:val="0"/>
    <w:rPr>
      <w:sz w:val="20"/>
    </w:rPr>
  </w:style>
  <w:style w:type="paragraph" w:styleId="29">
    <w:name w:val="index 6"/>
    <w:basedOn w:val="1"/>
    <w:next w:val="1"/>
    <w:autoRedefine/>
    <w:semiHidden/>
    <w:qFormat/>
    <w:uiPriority w:val="0"/>
    <w:pPr>
      <w:ind w:left="1440" w:hanging="240"/>
    </w:pPr>
  </w:style>
  <w:style w:type="paragraph" w:styleId="30">
    <w:name w:val="Salutation"/>
    <w:basedOn w:val="1"/>
    <w:next w:val="1"/>
    <w:link w:val="137"/>
    <w:semiHidden/>
    <w:qFormat/>
    <w:uiPriority w:val="0"/>
  </w:style>
  <w:style w:type="paragraph" w:styleId="31">
    <w:name w:val="Body Text 3"/>
    <w:basedOn w:val="1"/>
    <w:link w:val="109"/>
    <w:semiHidden/>
    <w:qFormat/>
    <w:uiPriority w:val="0"/>
    <w:pPr>
      <w:spacing w:after="120"/>
    </w:pPr>
    <w:rPr>
      <w:sz w:val="16"/>
      <w:szCs w:val="16"/>
    </w:rPr>
  </w:style>
  <w:style w:type="paragraph" w:styleId="32">
    <w:name w:val="Closing"/>
    <w:basedOn w:val="1"/>
    <w:link w:val="115"/>
    <w:semiHidden/>
    <w:qFormat/>
    <w:uiPriority w:val="0"/>
    <w:pPr>
      <w:ind w:left="4320"/>
    </w:pPr>
  </w:style>
  <w:style w:type="paragraph" w:styleId="33">
    <w:name w:val="List Bullet 3"/>
    <w:basedOn w:val="1"/>
    <w:semiHidden/>
    <w:qFormat/>
    <w:uiPriority w:val="0"/>
    <w:pPr>
      <w:numPr>
        <w:ilvl w:val="0"/>
        <w:numId w:val="5"/>
      </w:numPr>
      <w:contextualSpacing/>
    </w:pPr>
  </w:style>
  <w:style w:type="paragraph" w:styleId="34">
    <w:name w:val="Body Text"/>
    <w:basedOn w:val="1"/>
    <w:link w:val="107"/>
    <w:semiHidden/>
    <w:qFormat/>
    <w:uiPriority w:val="0"/>
    <w:pPr>
      <w:spacing w:after="120"/>
    </w:pPr>
  </w:style>
  <w:style w:type="paragraph" w:styleId="35">
    <w:name w:val="Body Text Indent"/>
    <w:basedOn w:val="1"/>
    <w:link w:val="111"/>
    <w:semiHidden/>
    <w:qFormat/>
    <w:uiPriority w:val="0"/>
    <w:pPr>
      <w:spacing w:after="120"/>
      <w:ind w:left="360"/>
    </w:pPr>
  </w:style>
  <w:style w:type="paragraph" w:styleId="36">
    <w:name w:val="List Number 3"/>
    <w:basedOn w:val="1"/>
    <w:semiHidden/>
    <w:qFormat/>
    <w:uiPriority w:val="0"/>
    <w:pPr>
      <w:numPr>
        <w:ilvl w:val="0"/>
        <w:numId w:val="6"/>
      </w:numPr>
      <w:contextualSpacing/>
    </w:pPr>
  </w:style>
  <w:style w:type="paragraph" w:styleId="37">
    <w:name w:val="List 2"/>
    <w:basedOn w:val="1"/>
    <w:semiHidden/>
    <w:qFormat/>
    <w:uiPriority w:val="0"/>
    <w:pPr>
      <w:ind w:left="720" w:hanging="360"/>
      <w:contextualSpacing/>
    </w:pPr>
  </w:style>
  <w:style w:type="paragraph" w:styleId="38">
    <w:name w:val="List Continue"/>
    <w:basedOn w:val="1"/>
    <w:semiHidden/>
    <w:qFormat/>
    <w:uiPriority w:val="0"/>
    <w:pPr>
      <w:spacing w:after="120"/>
      <w:ind w:left="360"/>
      <w:contextualSpacing/>
    </w:pPr>
  </w:style>
  <w:style w:type="paragraph" w:styleId="39">
    <w:name w:val="Block Text"/>
    <w:basedOn w:val="1"/>
    <w:semiHidden/>
    <w:qFormat/>
    <w:uiPriority w:val="0"/>
    <w:pPr>
      <w:spacing w:after="120"/>
      <w:ind w:left="1440" w:right="1440"/>
    </w:pPr>
  </w:style>
  <w:style w:type="paragraph" w:styleId="40">
    <w:name w:val="List Bullet 2"/>
    <w:basedOn w:val="1"/>
    <w:semiHidden/>
    <w:qFormat/>
    <w:uiPriority w:val="0"/>
    <w:pPr>
      <w:numPr>
        <w:ilvl w:val="0"/>
        <w:numId w:val="7"/>
      </w:numPr>
      <w:contextualSpacing/>
    </w:pPr>
  </w:style>
  <w:style w:type="paragraph" w:styleId="41">
    <w:name w:val="HTML Address"/>
    <w:basedOn w:val="1"/>
    <w:link w:val="125"/>
    <w:semiHidden/>
    <w:qFormat/>
    <w:uiPriority w:val="0"/>
    <w:rPr>
      <w:i/>
      <w:iCs/>
    </w:rPr>
  </w:style>
  <w:style w:type="paragraph" w:styleId="42">
    <w:name w:val="index 4"/>
    <w:basedOn w:val="1"/>
    <w:next w:val="1"/>
    <w:autoRedefine/>
    <w:semiHidden/>
    <w:qFormat/>
    <w:uiPriority w:val="0"/>
    <w:pPr>
      <w:ind w:left="960" w:hanging="240"/>
    </w:pPr>
  </w:style>
  <w:style w:type="paragraph" w:styleId="43">
    <w:name w:val="toc 5"/>
    <w:basedOn w:val="1"/>
    <w:next w:val="1"/>
    <w:autoRedefine/>
    <w:semiHidden/>
    <w:qFormat/>
    <w:uiPriority w:val="0"/>
    <w:pPr>
      <w:ind w:left="960"/>
    </w:pPr>
  </w:style>
  <w:style w:type="paragraph" w:styleId="44">
    <w:name w:val="toc 3"/>
    <w:basedOn w:val="1"/>
    <w:next w:val="1"/>
    <w:autoRedefine/>
    <w:semiHidden/>
    <w:qFormat/>
    <w:uiPriority w:val="0"/>
    <w:pPr>
      <w:ind w:left="480"/>
    </w:pPr>
  </w:style>
  <w:style w:type="paragraph" w:styleId="45">
    <w:name w:val="Plain Text"/>
    <w:basedOn w:val="1"/>
    <w:link w:val="134"/>
    <w:semiHidden/>
    <w:qFormat/>
    <w:uiPriority w:val="0"/>
    <w:rPr>
      <w:rFonts w:ascii="Courier New" w:hAnsi="Courier New" w:cs="Courier New"/>
      <w:sz w:val="20"/>
    </w:rPr>
  </w:style>
  <w:style w:type="paragraph" w:styleId="46">
    <w:name w:val="List Bullet 5"/>
    <w:basedOn w:val="1"/>
    <w:semiHidden/>
    <w:qFormat/>
    <w:uiPriority w:val="0"/>
    <w:pPr>
      <w:numPr>
        <w:ilvl w:val="0"/>
        <w:numId w:val="8"/>
      </w:numPr>
      <w:contextualSpacing/>
    </w:pPr>
  </w:style>
  <w:style w:type="paragraph" w:styleId="47">
    <w:name w:val="List Number 4"/>
    <w:basedOn w:val="1"/>
    <w:semiHidden/>
    <w:qFormat/>
    <w:uiPriority w:val="0"/>
    <w:pPr>
      <w:numPr>
        <w:ilvl w:val="0"/>
        <w:numId w:val="9"/>
      </w:numPr>
      <w:contextualSpacing/>
    </w:pPr>
  </w:style>
  <w:style w:type="paragraph" w:styleId="48">
    <w:name w:val="toc 8"/>
    <w:basedOn w:val="1"/>
    <w:next w:val="1"/>
    <w:autoRedefine/>
    <w:semiHidden/>
    <w:qFormat/>
    <w:uiPriority w:val="0"/>
    <w:pPr>
      <w:ind w:left="1680"/>
    </w:pPr>
  </w:style>
  <w:style w:type="paragraph" w:styleId="49">
    <w:name w:val="index 3"/>
    <w:basedOn w:val="1"/>
    <w:next w:val="1"/>
    <w:autoRedefine/>
    <w:semiHidden/>
    <w:qFormat/>
    <w:uiPriority w:val="0"/>
    <w:pPr>
      <w:ind w:left="720" w:hanging="240"/>
    </w:pPr>
  </w:style>
  <w:style w:type="paragraph" w:styleId="50">
    <w:name w:val="Date"/>
    <w:basedOn w:val="1"/>
    <w:next w:val="1"/>
    <w:link w:val="118"/>
    <w:semiHidden/>
    <w:qFormat/>
    <w:uiPriority w:val="0"/>
  </w:style>
  <w:style w:type="paragraph" w:styleId="51">
    <w:name w:val="Body Text Indent 2"/>
    <w:basedOn w:val="1"/>
    <w:link w:val="113"/>
    <w:semiHidden/>
    <w:qFormat/>
    <w:uiPriority w:val="0"/>
    <w:pPr>
      <w:spacing w:after="120" w:line="480" w:lineRule="auto"/>
      <w:ind w:left="360"/>
    </w:pPr>
  </w:style>
  <w:style w:type="paragraph" w:styleId="52">
    <w:name w:val="endnote text"/>
    <w:basedOn w:val="1"/>
    <w:link w:val="121"/>
    <w:semiHidden/>
    <w:qFormat/>
    <w:uiPriority w:val="0"/>
    <w:rPr>
      <w:sz w:val="20"/>
    </w:rPr>
  </w:style>
  <w:style w:type="paragraph" w:styleId="53">
    <w:name w:val="List Continue 5"/>
    <w:basedOn w:val="1"/>
    <w:semiHidden/>
    <w:qFormat/>
    <w:uiPriority w:val="0"/>
    <w:pPr>
      <w:spacing w:after="120"/>
      <w:ind w:left="1800"/>
      <w:contextualSpacing/>
    </w:pPr>
  </w:style>
  <w:style w:type="paragraph" w:styleId="54">
    <w:name w:val="Balloon Text"/>
    <w:basedOn w:val="1"/>
    <w:link w:val="105"/>
    <w:semiHidden/>
    <w:qFormat/>
    <w:uiPriority w:val="0"/>
    <w:rPr>
      <w:rFonts w:ascii="Tahoma" w:hAnsi="Tahoma" w:cs="Tahoma"/>
      <w:sz w:val="16"/>
      <w:szCs w:val="16"/>
    </w:rPr>
  </w:style>
  <w:style w:type="paragraph" w:styleId="55">
    <w:name w:val="footer"/>
    <w:basedOn w:val="1"/>
    <w:link w:val="122"/>
    <w:semiHidden/>
    <w:qFormat/>
    <w:uiPriority w:val="0"/>
    <w:pPr>
      <w:tabs>
        <w:tab w:val="center" w:pos="4680"/>
        <w:tab w:val="right" w:pos="9360"/>
      </w:tabs>
    </w:pPr>
  </w:style>
  <w:style w:type="paragraph" w:styleId="56">
    <w:name w:val="envelope return"/>
    <w:basedOn w:val="1"/>
    <w:semiHidden/>
    <w:qFormat/>
    <w:uiPriority w:val="0"/>
    <w:rPr>
      <w:rFonts w:ascii="Cambria" w:hAnsi="Cambria"/>
      <w:sz w:val="20"/>
    </w:rPr>
  </w:style>
  <w:style w:type="paragraph" w:styleId="57">
    <w:name w:val="header"/>
    <w:basedOn w:val="1"/>
    <w:link w:val="124"/>
    <w:semiHidden/>
    <w:qFormat/>
    <w:uiPriority w:val="0"/>
    <w:pPr>
      <w:tabs>
        <w:tab w:val="center" w:pos="4680"/>
        <w:tab w:val="right" w:pos="9360"/>
      </w:tabs>
    </w:pPr>
  </w:style>
  <w:style w:type="paragraph" w:styleId="58">
    <w:name w:val="Signature"/>
    <w:basedOn w:val="1"/>
    <w:link w:val="138"/>
    <w:semiHidden/>
    <w:qFormat/>
    <w:uiPriority w:val="0"/>
    <w:pPr>
      <w:ind w:left="4320"/>
    </w:pPr>
  </w:style>
  <w:style w:type="paragraph" w:styleId="59">
    <w:name w:val="toc 1"/>
    <w:basedOn w:val="1"/>
    <w:next w:val="1"/>
    <w:autoRedefine/>
    <w:semiHidden/>
    <w:qFormat/>
    <w:uiPriority w:val="0"/>
  </w:style>
  <w:style w:type="paragraph" w:styleId="60">
    <w:name w:val="List Continue 4"/>
    <w:basedOn w:val="1"/>
    <w:semiHidden/>
    <w:qFormat/>
    <w:uiPriority w:val="0"/>
    <w:pPr>
      <w:spacing w:after="120"/>
      <w:ind w:left="1440"/>
      <w:contextualSpacing/>
    </w:pPr>
  </w:style>
  <w:style w:type="paragraph" w:styleId="61">
    <w:name w:val="toc 4"/>
    <w:basedOn w:val="1"/>
    <w:next w:val="1"/>
    <w:autoRedefine/>
    <w:semiHidden/>
    <w:qFormat/>
    <w:uiPriority w:val="0"/>
    <w:pPr>
      <w:ind w:left="720"/>
    </w:pPr>
  </w:style>
  <w:style w:type="paragraph" w:styleId="62">
    <w:name w:val="index heading"/>
    <w:basedOn w:val="1"/>
    <w:next w:val="63"/>
    <w:semiHidden/>
    <w:qFormat/>
    <w:uiPriority w:val="0"/>
    <w:rPr>
      <w:rFonts w:ascii="Cambria" w:hAnsi="Cambria"/>
      <w:b/>
      <w:bCs/>
    </w:rPr>
  </w:style>
  <w:style w:type="paragraph" w:styleId="63">
    <w:name w:val="index 1"/>
    <w:basedOn w:val="1"/>
    <w:next w:val="1"/>
    <w:autoRedefine/>
    <w:semiHidden/>
    <w:qFormat/>
    <w:uiPriority w:val="0"/>
    <w:pPr>
      <w:ind w:left="240" w:hanging="240"/>
    </w:pPr>
  </w:style>
  <w:style w:type="paragraph" w:styleId="64">
    <w:name w:val="Subtitle"/>
    <w:basedOn w:val="1"/>
    <w:next w:val="1"/>
    <w:link w:val="139"/>
    <w:semiHidden/>
    <w:qFormat/>
    <w:uiPriority w:val="0"/>
    <w:pPr>
      <w:spacing w:after="60"/>
      <w:jc w:val="center"/>
      <w:outlineLvl w:val="1"/>
    </w:pPr>
    <w:rPr>
      <w:rFonts w:ascii="Cambria" w:hAnsi="Cambria"/>
      <w:szCs w:val="24"/>
    </w:rPr>
  </w:style>
  <w:style w:type="paragraph" w:styleId="65">
    <w:name w:val="List Number 5"/>
    <w:basedOn w:val="1"/>
    <w:semiHidden/>
    <w:qFormat/>
    <w:uiPriority w:val="0"/>
    <w:pPr>
      <w:numPr>
        <w:ilvl w:val="0"/>
        <w:numId w:val="10"/>
      </w:numPr>
      <w:contextualSpacing/>
    </w:pPr>
  </w:style>
  <w:style w:type="paragraph" w:styleId="66">
    <w:name w:val="List"/>
    <w:basedOn w:val="1"/>
    <w:semiHidden/>
    <w:qFormat/>
    <w:uiPriority w:val="0"/>
    <w:pPr>
      <w:ind w:left="360" w:hanging="360"/>
      <w:contextualSpacing/>
    </w:pPr>
  </w:style>
  <w:style w:type="paragraph" w:styleId="67">
    <w:name w:val="footnote text"/>
    <w:basedOn w:val="1"/>
    <w:link w:val="123"/>
    <w:semiHidden/>
    <w:qFormat/>
    <w:uiPriority w:val="0"/>
    <w:rPr>
      <w:sz w:val="20"/>
    </w:rPr>
  </w:style>
  <w:style w:type="paragraph" w:styleId="68">
    <w:name w:val="toc 6"/>
    <w:basedOn w:val="1"/>
    <w:next w:val="1"/>
    <w:autoRedefine/>
    <w:semiHidden/>
    <w:qFormat/>
    <w:uiPriority w:val="0"/>
    <w:pPr>
      <w:ind w:left="1200"/>
    </w:pPr>
  </w:style>
  <w:style w:type="paragraph" w:styleId="69">
    <w:name w:val="List 5"/>
    <w:basedOn w:val="1"/>
    <w:semiHidden/>
    <w:qFormat/>
    <w:uiPriority w:val="0"/>
    <w:pPr>
      <w:ind w:left="1800" w:hanging="360"/>
      <w:contextualSpacing/>
    </w:pPr>
  </w:style>
  <w:style w:type="paragraph" w:styleId="70">
    <w:name w:val="Body Text Indent 3"/>
    <w:basedOn w:val="1"/>
    <w:link w:val="114"/>
    <w:semiHidden/>
    <w:qFormat/>
    <w:uiPriority w:val="0"/>
    <w:pPr>
      <w:spacing w:after="120"/>
      <w:ind w:left="360"/>
    </w:pPr>
    <w:rPr>
      <w:sz w:val="16"/>
      <w:szCs w:val="16"/>
    </w:rPr>
  </w:style>
  <w:style w:type="paragraph" w:styleId="71">
    <w:name w:val="index 7"/>
    <w:basedOn w:val="1"/>
    <w:next w:val="1"/>
    <w:autoRedefine/>
    <w:semiHidden/>
    <w:qFormat/>
    <w:uiPriority w:val="0"/>
    <w:pPr>
      <w:ind w:left="1680" w:hanging="240"/>
    </w:pPr>
  </w:style>
  <w:style w:type="paragraph" w:styleId="72">
    <w:name w:val="index 9"/>
    <w:basedOn w:val="1"/>
    <w:next w:val="1"/>
    <w:autoRedefine/>
    <w:semiHidden/>
    <w:qFormat/>
    <w:uiPriority w:val="0"/>
    <w:pPr>
      <w:ind w:left="2160" w:hanging="240"/>
    </w:pPr>
  </w:style>
  <w:style w:type="paragraph" w:styleId="73">
    <w:name w:val="table of figures"/>
    <w:basedOn w:val="1"/>
    <w:next w:val="1"/>
    <w:semiHidden/>
    <w:qFormat/>
    <w:uiPriority w:val="0"/>
  </w:style>
  <w:style w:type="paragraph" w:styleId="74">
    <w:name w:val="toc 2"/>
    <w:basedOn w:val="1"/>
    <w:next w:val="1"/>
    <w:autoRedefine/>
    <w:semiHidden/>
    <w:qFormat/>
    <w:uiPriority w:val="0"/>
    <w:pPr>
      <w:ind w:left="240"/>
    </w:pPr>
  </w:style>
  <w:style w:type="paragraph" w:styleId="75">
    <w:name w:val="toc 9"/>
    <w:basedOn w:val="1"/>
    <w:next w:val="1"/>
    <w:autoRedefine/>
    <w:semiHidden/>
    <w:qFormat/>
    <w:uiPriority w:val="0"/>
    <w:pPr>
      <w:ind w:left="1920"/>
    </w:pPr>
  </w:style>
  <w:style w:type="paragraph" w:styleId="76">
    <w:name w:val="Body Text 2"/>
    <w:basedOn w:val="1"/>
    <w:link w:val="108"/>
    <w:semiHidden/>
    <w:qFormat/>
    <w:uiPriority w:val="0"/>
    <w:pPr>
      <w:spacing w:after="120" w:line="480" w:lineRule="auto"/>
    </w:pPr>
  </w:style>
  <w:style w:type="paragraph" w:styleId="77">
    <w:name w:val="List 4"/>
    <w:basedOn w:val="1"/>
    <w:semiHidden/>
    <w:qFormat/>
    <w:uiPriority w:val="0"/>
    <w:pPr>
      <w:ind w:left="1440" w:hanging="360"/>
      <w:contextualSpacing/>
    </w:pPr>
  </w:style>
  <w:style w:type="paragraph" w:styleId="78">
    <w:name w:val="List Continue 2"/>
    <w:basedOn w:val="1"/>
    <w:semiHidden/>
    <w:qFormat/>
    <w:uiPriority w:val="0"/>
    <w:pPr>
      <w:spacing w:after="120"/>
      <w:ind w:left="720"/>
      <w:contextualSpacing/>
    </w:pPr>
  </w:style>
  <w:style w:type="paragraph" w:styleId="79">
    <w:name w:val="Message Header"/>
    <w:basedOn w:val="1"/>
    <w:link w:val="131"/>
    <w:semiHidden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Cambria" w:hAnsi="Cambria"/>
      <w:szCs w:val="24"/>
    </w:rPr>
  </w:style>
  <w:style w:type="paragraph" w:styleId="80">
    <w:name w:val="HTML Preformatted"/>
    <w:basedOn w:val="1"/>
    <w:link w:val="126"/>
    <w:semiHidden/>
    <w:qFormat/>
    <w:uiPriority w:val="0"/>
    <w:rPr>
      <w:rFonts w:ascii="Courier New" w:hAnsi="Courier New" w:cs="Courier New"/>
      <w:sz w:val="20"/>
    </w:rPr>
  </w:style>
  <w:style w:type="paragraph" w:styleId="81">
    <w:name w:val="Normal (Web)"/>
    <w:basedOn w:val="1"/>
    <w:semiHidden/>
    <w:qFormat/>
    <w:uiPriority w:val="0"/>
    <w:rPr>
      <w:szCs w:val="24"/>
    </w:rPr>
  </w:style>
  <w:style w:type="paragraph" w:styleId="82">
    <w:name w:val="List Continue 3"/>
    <w:basedOn w:val="1"/>
    <w:semiHidden/>
    <w:qFormat/>
    <w:uiPriority w:val="0"/>
    <w:pPr>
      <w:spacing w:after="120"/>
      <w:ind w:left="1080"/>
      <w:contextualSpacing/>
    </w:pPr>
  </w:style>
  <w:style w:type="paragraph" w:styleId="83">
    <w:name w:val="index 2"/>
    <w:basedOn w:val="1"/>
    <w:next w:val="1"/>
    <w:autoRedefine/>
    <w:semiHidden/>
    <w:qFormat/>
    <w:uiPriority w:val="0"/>
    <w:pPr>
      <w:ind w:left="480" w:hanging="240"/>
    </w:pPr>
  </w:style>
  <w:style w:type="paragraph" w:styleId="84">
    <w:name w:val="Title"/>
    <w:basedOn w:val="1"/>
    <w:next w:val="1"/>
    <w:link w:val="140"/>
    <w:semiHidden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85">
    <w:name w:val="annotation subject"/>
    <w:basedOn w:val="28"/>
    <w:next w:val="28"/>
    <w:link w:val="117"/>
    <w:semiHidden/>
    <w:qFormat/>
    <w:uiPriority w:val="0"/>
    <w:rPr>
      <w:b/>
      <w:bCs/>
    </w:rPr>
  </w:style>
  <w:style w:type="paragraph" w:styleId="86">
    <w:name w:val="Body Text First Indent"/>
    <w:basedOn w:val="34"/>
    <w:link w:val="110"/>
    <w:semiHidden/>
    <w:qFormat/>
    <w:uiPriority w:val="0"/>
    <w:pPr>
      <w:ind w:firstLine="210"/>
    </w:pPr>
  </w:style>
  <w:style w:type="paragraph" w:styleId="87">
    <w:name w:val="Body Text First Indent 2"/>
    <w:basedOn w:val="35"/>
    <w:link w:val="112"/>
    <w:semiHidden/>
    <w:qFormat/>
    <w:uiPriority w:val="0"/>
    <w:pPr>
      <w:ind w:firstLine="210"/>
    </w:pPr>
  </w:style>
  <w:style w:type="character" w:styleId="90">
    <w:name w:val="page number"/>
    <w:basedOn w:val="89"/>
    <w:semiHidden/>
    <w:qFormat/>
    <w:uiPriority w:val="0"/>
  </w:style>
  <w:style w:type="character" w:styleId="91">
    <w:name w:val="FollowedHyperlink"/>
    <w:semiHidden/>
    <w:unhideWhenUsed/>
    <w:qFormat/>
    <w:uiPriority w:val="0"/>
    <w:rPr>
      <w:color w:val="800080"/>
      <w:u w:val="single"/>
    </w:rPr>
  </w:style>
  <w:style w:type="character" w:styleId="92">
    <w:name w:val="Hyperlink"/>
    <w:semiHidden/>
    <w:qFormat/>
    <w:uiPriority w:val="0"/>
    <w:rPr>
      <w:color w:val="0000FF"/>
      <w:u w:val="single"/>
    </w:rPr>
  </w:style>
  <w:style w:type="character" w:styleId="93">
    <w:name w:val="annotation reference"/>
    <w:semiHidden/>
    <w:unhideWhenUsed/>
    <w:qFormat/>
    <w:uiPriority w:val="0"/>
    <w:rPr>
      <w:sz w:val="16"/>
      <w:szCs w:val="16"/>
    </w:rPr>
  </w:style>
  <w:style w:type="character" w:customStyle="1" w:styleId="94">
    <w:name w:val="标题 1 字符"/>
    <w:link w:val="3"/>
    <w:semiHidden/>
    <w:qFormat/>
    <w:uiPriority w:val="0"/>
    <w:rPr>
      <w:b/>
      <w:bCs/>
      <w:kern w:val="32"/>
      <w:sz w:val="24"/>
      <w:szCs w:val="24"/>
    </w:rPr>
  </w:style>
  <w:style w:type="character" w:customStyle="1" w:styleId="95">
    <w:name w:val="标题 2 字符"/>
    <w:link w:val="4"/>
    <w:semiHidden/>
    <w:qFormat/>
    <w:uiPriority w:val="0"/>
    <w:rPr>
      <w:rFonts w:ascii="Cambria" w:hAnsi="Cambria"/>
      <w:b/>
      <w:bCs/>
      <w:i/>
      <w:iCs/>
      <w:sz w:val="28"/>
      <w:szCs w:val="28"/>
    </w:rPr>
  </w:style>
  <w:style w:type="character" w:customStyle="1" w:styleId="96">
    <w:name w:val="标题 5 字符"/>
    <w:link w:val="7"/>
    <w:semiHidden/>
    <w:qFormat/>
    <w:uiPriority w:val="0"/>
    <w:rPr>
      <w:rFonts w:ascii="Calibri" w:hAnsi="Calibri"/>
      <w:b/>
      <w:bCs/>
      <w:i/>
      <w:iCs/>
      <w:sz w:val="26"/>
      <w:szCs w:val="26"/>
    </w:rPr>
  </w:style>
  <w:style w:type="character" w:customStyle="1" w:styleId="97">
    <w:name w:val="标题 6 字符"/>
    <w:link w:val="8"/>
    <w:semiHidden/>
    <w:qFormat/>
    <w:uiPriority w:val="0"/>
    <w:rPr>
      <w:rFonts w:ascii="Calibri" w:hAnsi="Calibri"/>
      <w:b/>
      <w:bCs/>
      <w:sz w:val="22"/>
      <w:szCs w:val="22"/>
    </w:rPr>
  </w:style>
  <w:style w:type="character" w:customStyle="1" w:styleId="98">
    <w:name w:val="标题 7 字符"/>
    <w:link w:val="9"/>
    <w:semiHidden/>
    <w:qFormat/>
    <w:uiPriority w:val="0"/>
    <w:rPr>
      <w:rFonts w:ascii="Calibri" w:hAnsi="Calibri"/>
      <w:sz w:val="24"/>
      <w:szCs w:val="24"/>
    </w:rPr>
  </w:style>
  <w:style w:type="character" w:customStyle="1" w:styleId="99">
    <w:name w:val="标题 8 字符"/>
    <w:link w:val="10"/>
    <w:semiHidden/>
    <w:qFormat/>
    <w:uiPriority w:val="0"/>
    <w:rPr>
      <w:rFonts w:ascii="Calibri" w:hAnsi="Calibri"/>
      <w:i/>
      <w:iCs/>
      <w:sz w:val="24"/>
      <w:szCs w:val="24"/>
    </w:rPr>
  </w:style>
  <w:style w:type="character" w:customStyle="1" w:styleId="100">
    <w:name w:val="标题 9 字符"/>
    <w:link w:val="11"/>
    <w:semiHidden/>
    <w:qFormat/>
    <w:uiPriority w:val="0"/>
    <w:rPr>
      <w:rFonts w:ascii="Cambria" w:hAnsi="Cambria"/>
      <w:sz w:val="22"/>
      <w:szCs w:val="22"/>
    </w:rPr>
  </w:style>
  <w:style w:type="paragraph" w:customStyle="1" w:styleId="101">
    <w:name w:val="SM Heading"/>
    <w:basedOn w:val="3"/>
    <w:qFormat/>
    <w:uiPriority w:val="0"/>
  </w:style>
  <w:style w:type="paragraph" w:customStyle="1" w:styleId="102">
    <w:name w:val="SM Subheading"/>
    <w:basedOn w:val="1"/>
    <w:qFormat/>
    <w:uiPriority w:val="0"/>
    <w:rPr>
      <w:u w:val="words"/>
    </w:rPr>
  </w:style>
  <w:style w:type="paragraph" w:customStyle="1" w:styleId="103">
    <w:name w:val="SM Text"/>
    <w:basedOn w:val="1"/>
    <w:qFormat/>
    <w:uiPriority w:val="0"/>
    <w:pPr>
      <w:ind w:firstLine="480"/>
    </w:pPr>
  </w:style>
  <w:style w:type="paragraph" w:customStyle="1" w:styleId="104">
    <w:name w:val="SM caption"/>
    <w:basedOn w:val="103"/>
    <w:qFormat/>
    <w:uiPriority w:val="0"/>
    <w:pPr>
      <w:ind w:firstLine="0"/>
    </w:pPr>
  </w:style>
  <w:style w:type="character" w:customStyle="1" w:styleId="105">
    <w:name w:val="批注框文本 字符"/>
    <w:link w:val="54"/>
    <w:semiHidden/>
    <w:qFormat/>
    <w:uiPriority w:val="0"/>
    <w:rPr>
      <w:rFonts w:ascii="Tahoma" w:hAnsi="Tahoma" w:cs="Tahoma"/>
      <w:sz w:val="16"/>
      <w:szCs w:val="16"/>
    </w:rPr>
  </w:style>
  <w:style w:type="paragraph" w:customStyle="1" w:styleId="106">
    <w:name w:val="书目1"/>
    <w:basedOn w:val="1"/>
    <w:next w:val="1"/>
    <w:semiHidden/>
    <w:qFormat/>
    <w:uiPriority w:val="37"/>
  </w:style>
  <w:style w:type="character" w:customStyle="1" w:styleId="107">
    <w:name w:val="正文文本 字符"/>
    <w:link w:val="34"/>
    <w:semiHidden/>
    <w:qFormat/>
    <w:uiPriority w:val="0"/>
    <w:rPr>
      <w:sz w:val="24"/>
    </w:rPr>
  </w:style>
  <w:style w:type="character" w:customStyle="1" w:styleId="108">
    <w:name w:val="正文文本 2 字符"/>
    <w:link w:val="76"/>
    <w:semiHidden/>
    <w:qFormat/>
    <w:uiPriority w:val="0"/>
    <w:rPr>
      <w:sz w:val="24"/>
    </w:rPr>
  </w:style>
  <w:style w:type="character" w:customStyle="1" w:styleId="109">
    <w:name w:val="正文文本 3 字符"/>
    <w:link w:val="31"/>
    <w:semiHidden/>
    <w:qFormat/>
    <w:uiPriority w:val="0"/>
    <w:rPr>
      <w:sz w:val="16"/>
      <w:szCs w:val="16"/>
    </w:rPr>
  </w:style>
  <w:style w:type="character" w:customStyle="1" w:styleId="110">
    <w:name w:val="正文文本首行缩进 字符"/>
    <w:link w:val="86"/>
    <w:semiHidden/>
    <w:qFormat/>
    <w:uiPriority w:val="0"/>
    <w:rPr>
      <w:sz w:val="24"/>
    </w:rPr>
  </w:style>
  <w:style w:type="character" w:customStyle="1" w:styleId="111">
    <w:name w:val="正文文本缩进 字符"/>
    <w:link w:val="35"/>
    <w:semiHidden/>
    <w:qFormat/>
    <w:uiPriority w:val="0"/>
    <w:rPr>
      <w:sz w:val="24"/>
    </w:rPr>
  </w:style>
  <w:style w:type="character" w:customStyle="1" w:styleId="112">
    <w:name w:val="正文文本首行缩进 2 字符"/>
    <w:link w:val="87"/>
    <w:semiHidden/>
    <w:qFormat/>
    <w:uiPriority w:val="0"/>
    <w:rPr>
      <w:sz w:val="24"/>
    </w:rPr>
  </w:style>
  <w:style w:type="character" w:customStyle="1" w:styleId="113">
    <w:name w:val="正文文本缩进 2 字符"/>
    <w:link w:val="51"/>
    <w:semiHidden/>
    <w:qFormat/>
    <w:uiPriority w:val="0"/>
    <w:rPr>
      <w:sz w:val="24"/>
    </w:rPr>
  </w:style>
  <w:style w:type="character" w:customStyle="1" w:styleId="114">
    <w:name w:val="正文文本缩进 3 字符"/>
    <w:link w:val="70"/>
    <w:semiHidden/>
    <w:qFormat/>
    <w:uiPriority w:val="0"/>
    <w:rPr>
      <w:sz w:val="16"/>
      <w:szCs w:val="16"/>
    </w:rPr>
  </w:style>
  <w:style w:type="character" w:customStyle="1" w:styleId="115">
    <w:name w:val="结束语 字符"/>
    <w:link w:val="32"/>
    <w:semiHidden/>
    <w:qFormat/>
    <w:uiPriority w:val="0"/>
    <w:rPr>
      <w:sz w:val="24"/>
    </w:rPr>
  </w:style>
  <w:style w:type="character" w:customStyle="1" w:styleId="116">
    <w:name w:val="批注文字 字符"/>
    <w:basedOn w:val="89"/>
    <w:link w:val="28"/>
    <w:semiHidden/>
    <w:qFormat/>
    <w:uiPriority w:val="0"/>
  </w:style>
  <w:style w:type="character" w:customStyle="1" w:styleId="117">
    <w:name w:val="批注主题 字符"/>
    <w:link w:val="85"/>
    <w:semiHidden/>
    <w:qFormat/>
    <w:uiPriority w:val="0"/>
    <w:rPr>
      <w:b/>
      <w:bCs/>
    </w:rPr>
  </w:style>
  <w:style w:type="character" w:customStyle="1" w:styleId="118">
    <w:name w:val="日期 字符"/>
    <w:link w:val="50"/>
    <w:semiHidden/>
    <w:qFormat/>
    <w:uiPriority w:val="0"/>
    <w:rPr>
      <w:sz w:val="24"/>
    </w:rPr>
  </w:style>
  <w:style w:type="character" w:customStyle="1" w:styleId="119">
    <w:name w:val="文档结构图 字符"/>
    <w:link w:val="26"/>
    <w:semiHidden/>
    <w:qFormat/>
    <w:uiPriority w:val="0"/>
    <w:rPr>
      <w:rFonts w:ascii="Tahoma" w:hAnsi="Tahoma" w:cs="Tahoma"/>
      <w:sz w:val="16"/>
      <w:szCs w:val="16"/>
    </w:rPr>
  </w:style>
  <w:style w:type="character" w:customStyle="1" w:styleId="120">
    <w:name w:val="电子邮件签名 字符"/>
    <w:link w:val="19"/>
    <w:semiHidden/>
    <w:qFormat/>
    <w:uiPriority w:val="0"/>
    <w:rPr>
      <w:sz w:val="24"/>
    </w:rPr>
  </w:style>
  <w:style w:type="character" w:customStyle="1" w:styleId="121">
    <w:name w:val="尾注文本 字符"/>
    <w:basedOn w:val="89"/>
    <w:link w:val="52"/>
    <w:semiHidden/>
    <w:qFormat/>
    <w:uiPriority w:val="0"/>
  </w:style>
  <w:style w:type="character" w:customStyle="1" w:styleId="122">
    <w:name w:val="页脚 字符"/>
    <w:link w:val="55"/>
    <w:semiHidden/>
    <w:qFormat/>
    <w:uiPriority w:val="0"/>
    <w:rPr>
      <w:sz w:val="24"/>
    </w:rPr>
  </w:style>
  <w:style w:type="character" w:customStyle="1" w:styleId="123">
    <w:name w:val="脚注文本 字符"/>
    <w:basedOn w:val="89"/>
    <w:link w:val="67"/>
    <w:semiHidden/>
    <w:qFormat/>
    <w:uiPriority w:val="0"/>
  </w:style>
  <w:style w:type="character" w:customStyle="1" w:styleId="124">
    <w:name w:val="页眉 字符"/>
    <w:link w:val="57"/>
    <w:semiHidden/>
    <w:qFormat/>
    <w:uiPriority w:val="0"/>
    <w:rPr>
      <w:sz w:val="24"/>
    </w:rPr>
  </w:style>
  <w:style w:type="character" w:customStyle="1" w:styleId="125">
    <w:name w:val="HTML 地址 字符"/>
    <w:link w:val="41"/>
    <w:semiHidden/>
    <w:qFormat/>
    <w:uiPriority w:val="0"/>
    <w:rPr>
      <w:i/>
      <w:iCs/>
      <w:sz w:val="24"/>
    </w:rPr>
  </w:style>
  <w:style w:type="character" w:customStyle="1" w:styleId="126">
    <w:name w:val="HTML 预设格式 字符"/>
    <w:link w:val="80"/>
    <w:semiHidden/>
    <w:qFormat/>
    <w:uiPriority w:val="0"/>
    <w:rPr>
      <w:rFonts w:ascii="Courier New" w:hAnsi="Courier New" w:cs="Courier New"/>
    </w:rPr>
  </w:style>
  <w:style w:type="paragraph" w:styleId="127">
    <w:name w:val="Intense Quote"/>
    <w:basedOn w:val="1"/>
    <w:next w:val="1"/>
    <w:link w:val="128"/>
    <w:semiHidden/>
    <w:qFormat/>
    <w:uiPriority w:val="30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28">
    <w:name w:val="明显引用 字符"/>
    <w:link w:val="127"/>
    <w:semiHidden/>
    <w:qFormat/>
    <w:uiPriority w:val="30"/>
    <w:rPr>
      <w:b/>
      <w:bCs/>
      <w:i/>
      <w:iCs/>
      <w:color w:val="4F81BD"/>
      <w:sz w:val="24"/>
    </w:rPr>
  </w:style>
  <w:style w:type="paragraph" w:styleId="129">
    <w:name w:val="List Paragraph"/>
    <w:basedOn w:val="1"/>
    <w:semiHidden/>
    <w:qFormat/>
    <w:uiPriority w:val="34"/>
    <w:pPr>
      <w:ind w:left="720"/>
    </w:pPr>
  </w:style>
  <w:style w:type="character" w:customStyle="1" w:styleId="130">
    <w:name w:val="宏文本 字符"/>
    <w:link w:val="2"/>
    <w:semiHidden/>
    <w:qFormat/>
    <w:uiPriority w:val="0"/>
    <w:rPr>
      <w:rFonts w:ascii="Courier New" w:hAnsi="Courier New" w:cs="Courier New"/>
      <w:lang w:val="en-US" w:eastAsia="en-US" w:bidi="ar-SA"/>
    </w:rPr>
  </w:style>
  <w:style w:type="character" w:customStyle="1" w:styleId="131">
    <w:name w:val="信息标题 字符"/>
    <w:link w:val="79"/>
    <w:semiHidden/>
    <w:qFormat/>
    <w:uiPriority w:val="0"/>
    <w:rPr>
      <w:rFonts w:ascii="Cambria" w:hAnsi="Cambria"/>
      <w:sz w:val="24"/>
      <w:szCs w:val="24"/>
      <w:shd w:val="pct20" w:color="auto" w:fill="auto"/>
    </w:rPr>
  </w:style>
  <w:style w:type="paragraph" w:styleId="132">
    <w:name w:val="No Spacing"/>
    <w:semiHidden/>
    <w:qFormat/>
    <w:uiPriority w:val="1"/>
    <w:rPr>
      <w:rFonts w:ascii="Times New Roman" w:hAnsi="Times New Roman" w:eastAsia="Times New Roman" w:cs="Times New Roman"/>
      <w:sz w:val="24"/>
      <w:lang w:val="en-US" w:eastAsia="en-US" w:bidi="ar-SA"/>
    </w:rPr>
  </w:style>
  <w:style w:type="character" w:customStyle="1" w:styleId="133">
    <w:name w:val="注释标题 字符"/>
    <w:link w:val="16"/>
    <w:semiHidden/>
    <w:qFormat/>
    <w:uiPriority w:val="0"/>
    <w:rPr>
      <w:sz w:val="24"/>
    </w:rPr>
  </w:style>
  <w:style w:type="character" w:customStyle="1" w:styleId="134">
    <w:name w:val="纯文本 字符"/>
    <w:link w:val="45"/>
    <w:semiHidden/>
    <w:qFormat/>
    <w:uiPriority w:val="0"/>
    <w:rPr>
      <w:rFonts w:ascii="Courier New" w:hAnsi="Courier New" w:cs="Courier New"/>
    </w:rPr>
  </w:style>
  <w:style w:type="paragraph" w:styleId="135">
    <w:name w:val="Quote"/>
    <w:basedOn w:val="1"/>
    <w:next w:val="1"/>
    <w:link w:val="136"/>
    <w:semiHidden/>
    <w:qFormat/>
    <w:uiPriority w:val="29"/>
    <w:rPr>
      <w:i/>
      <w:iCs/>
      <w:color w:val="000000"/>
    </w:rPr>
  </w:style>
  <w:style w:type="character" w:customStyle="1" w:styleId="136">
    <w:name w:val="引用 字符"/>
    <w:link w:val="135"/>
    <w:semiHidden/>
    <w:qFormat/>
    <w:uiPriority w:val="29"/>
    <w:rPr>
      <w:i/>
      <w:iCs/>
      <w:color w:val="000000"/>
      <w:sz w:val="24"/>
    </w:rPr>
  </w:style>
  <w:style w:type="character" w:customStyle="1" w:styleId="137">
    <w:name w:val="称呼 字符"/>
    <w:link w:val="30"/>
    <w:semiHidden/>
    <w:qFormat/>
    <w:uiPriority w:val="0"/>
    <w:rPr>
      <w:sz w:val="24"/>
    </w:rPr>
  </w:style>
  <w:style w:type="character" w:customStyle="1" w:styleId="138">
    <w:name w:val="签名 字符"/>
    <w:link w:val="58"/>
    <w:semiHidden/>
    <w:qFormat/>
    <w:uiPriority w:val="0"/>
    <w:rPr>
      <w:sz w:val="24"/>
    </w:rPr>
  </w:style>
  <w:style w:type="character" w:customStyle="1" w:styleId="139">
    <w:name w:val="副标题 字符"/>
    <w:link w:val="64"/>
    <w:semiHidden/>
    <w:qFormat/>
    <w:uiPriority w:val="0"/>
    <w:rPr>
      <w:rFonts w:ascii="Cambria" w:hAnsi="Cambria"/>
      <w:sz w:val="24"/>
      <w:szCs w:val="24"/>
    </w:rPr>
  </w:style>
  <w:style w:type="character" w:customStyle="1" w:styleId="140">
    <w:name w:val="标题 字符"/>
    <w:link w:val="84"/>
    <w:semiHidden/>
    <w:qFormat/>
    <w:uiPriority w:val="0"/>
    <w:rPr>
      <w:rFonts w:ascii="Cambria" w:hAnsi="Cambria"/>
      <w:b/>
      <w:bCs/>
      <w:kern w:val="28"/>
      <w:sz w:val="32"/>
      <w:szCs w:val="32"/>
    </w:rPr>
  </w:style>
  <w:style w:type="paragraph" w:customStyle="1" w:styleId="141">
    <w:name w:val="TOC 标题1"/>
    <w:basedOn w:val="3"/>
    <w:next w:val="1"/>
    <w:semiHidden/>
    <w:unhideWhenUsed/>
    <w:qFormat/>
    <w:uiPriority w:val="39"/>
    <w:pPr>
      <w:outlineLvl w:val="9"/>
    </w:pPr>
    <w:rPr>
      <w:rFonts w:ascii="Cambria" w:hAnsi="Cambria"/>
      <w:sz w:val="32"/>
      <w:szCs w:val="32"/>
    </w:rPr>
  </w:style>
  <w:style w:type="character" w:customStyle="1" w:styleId="142">
    <w:name w:val="未处理的提及1"/>
    <w:basedOn w:val="89"/>
    <w:semiHidden/>
    <w:unhideWhenUsed/>
    <w:qFormat/>
    <w:uiPriority w:val="99"/>
    <w:rPr>
      <w:color w:val="808080"/>
      <w:shd w:val="clear" w:color="auto" w:fill="E6E6E6"/>
    </w:rPr>
  </w:style>
  <w:style w:type="paragraph" w:customStyle="1" w:styleId="143">
    <w:name w:val="PubInfo"/>
    <w:basedOn w:val="1"/>
    <w:qFormat/>
    <w:uiPriority w:val="0"/>
    <w:pPr>
      <w:suppressAutoHyphens/>
      <w:jc w:val="center"/>
    </w:pPr>
    <w:rPr>
      <w:sz w:val="20"/>
      <w:lang w:eastAsia="ar-SA"/>
    </w:rPr>
  </w:style>
  <w:style w:type="paragraph" w:customStyle="1" w:styleId="144">
    <w:name w:val="DoiInfo"/>
    <w:basedOn w:val="1"/>
    <w:qFormat/>
    <w:uiPriority w:val="0"/>
    <w:pPr>
      <w:suppressAutoHyphens/>
      <w:jc w:val="center"/>
    </w:pPr>
    <w:rPr>
      <w:sz w:val="20"/>
      <w:lang w:eastAsia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3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9.tiff"/><Relationship Id="rId13" Type="http://schemas.openxmlformats.org/officeDocument/2006/relationships/image" Target="media/image8.tiff"/><Relationship Id="rId12" Type="http://schemas.openxmlformats.org/officeDocument/2006/relationships/image" Target="media/image7.tiff"/><Relationship Id="rId11" Type="http://schemas.openxmlformats.org/officeDocument/2006/relationships/image" Target="media/image6.tiff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F523CB-42AC-406D-90D9-CA3AE16CA9D3}">
  <ds:schemaRefs/>
</ds:datastoreItem>
</file>

<file path=customXml/itemProps2.xml><?xml version="1.0" encoding="utf-8"?>
<ds:datastoreItem xmlns:ds="http://schemas.openxmlformats.org/officeDocument/2006/customXml" ds:itemID="{606A6A5F-BF35-401C-A3A1-63045C831006}">
  <ds:schemaRefs/>
</ds:datastoreItem>
</file>

<file path=customXml/itemProps3.xml><?xml version="1.0" encoding="utf-8"?>
<ds:datastoreItem xmlns:ds="http://schemas.openxmlformats.org/officeDocument/2006/customXml" ds:itemID="{6876C972-A183-49AB-BF18-FB119101A4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AAAS</Company>
  <Pages>11</Pages>
  <Words>1092</Words>
  <Characters>5708</Characters>
  <Lines>176</Lines>
  <Paragraphs>17</Paragraphs>
  <TotalTime>143</TotalTime>
  <ScaleCrop>false</ScaleCrop>
  <LinksUpToDate>false</LinksUpToDate>
  <CharactersWithSpaces>6788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2022-10-12T19:16:00Z</dcterms:created>
  <dc:creator>Brooks Hanson</dc:creator>
  <cp:lastModifiedBy>刘畅</cp:lastModifiedBy>
  <cp:lastPrinted>2018-01-11T19:53:00Z</cp:lastPrinted>
  <dcterms:modified xsi:type="dcterms:W3CDTF">2026-02-25T07:16:53Z</dcterms:modified>
  <dc:title>Supporting Online Material for</dc:title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  <property fmtid="{D5CDD505-2E9C-101B-9397-08002B2CF9AE}" pid="3" name="KSOTemplateDocerSaveRecord">
    <vt:lpwstr>eyJoZGlkIjoiMjRiMjBhM2M3Zjg1MDRjODhmZGRjYTExZThhMmY5M2IiLCJ1c2VySWQiOiIxNjg3NDE4NjIzIn0=</vt:lpwstr>
  </property>
  <property fmtid="{D5CDD505-2E9C-101B-9397-08002B2CF9AE}" pid="4" name="KSOProductBuildVer">
    <vt:lpwstr>2052-12.1.0.24657</vt:lpwstr>
  </property>
  <property fmtid="{D5CDD505-2E9C-101B-9397-08002B2CF9AE}" pid="5" name="ICV">
    <vt:lpwstr>3F09F7B42C5F46948657F90B9C033EDD_13</vt:lpwstr>
  </property>
</Properties>
</file>