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47FF" w14:textId="77777777" w:rsidR="00D00D10" w:rsidRPr="00C72615" w:rsidRDefault="00D00D10" w:rsidP="00D00D10">
      <w:pPr>
        <w:rPr>
          <w:rFonts w:ascii="Arial" w:hAnsi="Arial" w:cs="Arial"/>
        </w:rPr>
      </w:pPr>
      <w:r w:rsidRPr="005935A7">
        <w:rPr>
          <w:rFonts w:ascii="Arial" w:hAnsi="Arial" w:cs="Arial"/>
          <w:b/>
          <w:bCs/>
          <w:szCs w:val="24"/>
        </w:rPr>
        <w:t xml:space="preserve">Supplementary Table 1 </w:t>
      </w:r>
      <w:r w:rsidRPr="005935A7">
        <w:rPr>
          <w:rFonts w:ascii="Arial" w:hAnsi="Arial" w:cs="Arial"/>
          <w:szCs w:val="24"/>
        </w:rPr>
        <w:t>Pooled Demographic Characteristics</w:t>
      </w:r>
    </w:p>
    <w:tbl>
      <w:tblPr>
        <w:tblpPr w:leftFromText="180" w:rightFromText="180" w:vertAnchor="page" w:horzAnchor="margin" w:tblpY="1943"/>
        <w:tblW w:w="6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4"/>
        <w:gridCol w:w="1713"/>
        <w:gridCol w:w="1856"/>
      </w:tblGrid>
      <w:tr w:rsidR="00D00D10" w:rsidRPr="00207D56" w14:paraId="4610514B" w14:textId="77777777" w:rsidTr="00D00D10">
        <w:trPr>
          <w:trHeight w:val="2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A255506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BD21A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 of </w:t>
            </w:r>
            <w:proofErr w:type="spellStart"/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studies</w:t>
            </w:r>
            <w:r w:rsidRPr="00FF30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2F7D9EE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N of participants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97058ED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Mean (95% CI)</w:t>
            </w:r>
          </w:p>
        </w:tc>
      </w:tr>
      <w:tr w:rsidR="00D00D10" w:rsidRPr="00207D56" w14:paraId="783A0558" w14:textId="77777777" w:rsidTr="00D00D10">
        <w:trPr>
          <w:trHeight w:val="2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7B0B71E0" w14:textId="77777777" w:rsidR="00D00D10" w:rsidRPr="00FF3096" w:rsidRDefault="00D00D10" w:rsidP="00D00D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11C9118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FF6FCCB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14CBEA2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26.8 (25.0 – 28.6)</w:t>
            </w:r>
          </w:p>
        </w:tc>
      </w:tr>
      <w:tr w:rsidR="00D00D10" w:rsidRPr="00207D56" w14:paraId="425C04EE" w14:textId="77777777" w:rsidTr="00D00D10">
        <w:trPr>
          <w:trHeight w:val="21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64EBFF86" w14:textId="77777777" w:rsidR="00D00D10" w:rsidRPr="00FF3096" w:rsidRDefault="00D00D10" w:rsidP="00D00D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% </w:t>
            </w:r>
            <w:proofErr w:type="gramStart"/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female</w:t>
            </w:r>
            <w:proofErr w:type="gramEnd"/>
          </w:p>
        </w:tc>
        <w:tc>
          <w:tcPr>
            <w:tcW w:w="12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B6951D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71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38366C9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387</w:t>
            </w: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30ADA0D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160 (41%)</w:t>
            </w:r>
          </w:p>
        </w:tc>
      </w:tr>
      <w:tr w:rsidR="00D00D10" w:rsidRPr="00207D56" w14:paraId="7B4C975C" w14:textId="77777777" w:rsidTr="00D00D10">
        <w:trPr>
          <w:trHeight w:val="21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5F3600FD" w14:textId="77777777" w:rsidR="00D00D10" w:rsidRPr="00FF3096" w:rsidRDefault="00D00D10" w:rsidP="00D00D10">
            <w:pPr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Race</w:t>
            </w:r>
          </w:p>
        </w:tc>
        <w:tc>
          <w:tcPr>
            <w:tcW w:w="1284" w:type="dxa"/>
            <w:tcBorders>
              <w:top w:val="single" w:sz="2" w:space="0" w:color="auto"/>
            </w:tcBorders>
            <w:vAlign w:val="center"/>
          </w:tcPr>
          <w:p w14:paraId="35D0E4A5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713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9E055A6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185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E4294A1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0D10" w:rsidRPr="00207D56" w14:paraId="072C5192" w14:textId="77777777" w:rsidTr="00D00D10">
        <w:trPr>
          <w:trHeight w:val="21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4457B170" w14:textId="77777777" w:rsidR="00D00D10" w:rsidRPr="00FF3096" w:rsidRDefault="00D00D10" w:rsidP="00D00D10">
            <w:pPr>
              <w:spacing w:after="0"/>
              <w:ind w:left="199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F3096">
              <w:rPr>
                <w:rFonts w:ascii="Calibri" w:hAnsi="Calibri" w:cs="Calibri"/>
                <w:sz w:val="18"/>
                <w:szCs w:val="18"/>
              </w:rPr>
              <w:t>White</w:t>
            </w:r>
            <w:r w:rsidRPr="00FF3096">
              <w:rPr>
                <w:rFonts w:ascii="Calibri" w:hAnsi="Calibri" w:cs="Calibri"/>
                <w:sz w:val="18"/>
                <w:szCs w:val="18"/>
                <w:vertAlign w:val="superscript"/>
              </w:rPr>
              <w:t>II</w:t>
            </w:r>
            <w:proofErr w:type="spellEnd"/>
          </w:p>
        </w:tc>
        <w:tc>
          <w:tcPr>
            <w:tcW w:w="1284" w:type="dxa"/>
            <w:vAlign w:val="center"/>
          </w:tcPr>
          <w:p w14:paraId="733EE9D4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F9D698B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4E6D954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140 (80%)</w:t>
            </w:r>
          </w:p>
        </w:tc>
      </w:tr>
      <w:tr w:rsidR="00D00D10" w:rsidRPr="00207D56" w14:paraId="5C3D9800" w14:textId="77777777" w:rsidTr="00D00D10">
        <w:trPr>
          <w:trHeight w:val="21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4A4210A6" w14:textId="77777777" w:rsidR="00D00D10" w:rsidRPr="00FF3096" w:rsidRDefault="00D00D10" w:rsidP="00D00D10">
            <w:pPr>
              <w:spacing w:after="0"/>
              <w:ind w:left="199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proofErr w:type="spellStart"/>
            <w:r w:rsidRPr="00FF3096">
              <w:rPr>
                <w:rFonts w:ascii="Calibri" w:hAnsi="Calibri" w:cs="Calibri"/>
                <w:sz w:val="18"/>
                <w:szCs w:val="18"/>
              </w:rPr>
              <w:t>Black</w:t>
            </w:r>
            <w:r w:rsidRPr="00FF3096">
              <w:rPr>
                <w:rFonts w:ascii="Calibri" w:hAnsi="Calibri" w:cs="Calibri"/>
                <w:sz w:val="18"/>
                <w:szCs w:val="18"/>
                <w:vertAlign w:val="superscript"/>
              </w:rPr>
              <w:t>III</w:t>
            </w:r>
            <w:proofErr w:type="spellEnd"/>
          </w:p>
        </w:tc>
        <w:tc>
          <w:tcPr>
            <w:tcW w:w="1284" w:type="dxa"/>
            <w:vAlign w:val="center"/>
          </w:tcPr>
          <w:p w14:paraId="63859C80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7D1BF6E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4A9AC23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12 (7%)</w:t>
            </w:r>
          </w:p>
        </w:tc>
      </w:tr>
      <w:tr w:rsidR="00D00D10" w:rsidRPr="00207D56" w14:paraId="045ACA3E" w14:textId="77777777" w:rsidTr="00D00D10">
        <w:trPr>
          <w:trHeight w:val="21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41FD174F" w14:textId="77777777" w:rsidR="00D00D10" w:rsidRPr="00FF3096" w:rsidRDefault="00D00D10" w:rsidP="00D00D10">
            <w:pPr>
              <w:spacing w:after="0"/>
              <w:ind w:left="199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Asian</w:t>
            </w:r>
          </w:p>
        </w:tc>
        <w:tc>
          <w:tcPr>
            <w:tcW w:w="1284" w:type="dxa"/>
            <w:vAlign w:val="center"/>
          </w:tcPr>
          <w:p w14:paraId="25740D57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0307BB3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F066B9B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4 (2%)</w:t>
            </w:r>
          </w:p>
        </w:tc>
      </w:tr>
      <w:tr w:rsidR="00D00D10" w:rsidRPr="00207D56" w14:paraId="2FD84445" w14:textId="77777777" w:rsidTr="00D00D10">
        <w:trPr>
          <w:trHeight w:val="21"/>
        </w:trPr>
        <w:tc>
          <w:tcPr>
            <w:tcW w:w="184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2A0D5117" w14:textId="77777777" w:rsidR="00D00D10" w:rsidRPr="00FF3096" w:rsidRDefault="00D00D10" w:rsidP="00D00D10">
            <w:pPr>
              <w:spacing w:after="0"/>
              <w:ind w:left="199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proofErr w:type="spellStart"/>
            <w:r w:rsidRPr="00FF3096">
              <w:rPr>
                <w:rFonts w:ascii="Calibri" w:hAnsi="Calibri" w:cs="Calibri"/>
                <w:sz w:val="18"/>
                <w:szCs w:val="18"/>
              </w:rPr>
              <w:t>Other</w:t>
            </w:r>
            <w:r w:rsidRPr="00FF3096">
              <w:rPr>
                <w:rFonts w:ascii="Calibri" w:hAnsi="Calibri" w:cs="Calibri"/>
                <w:sz w:val="18"/>
                <w:szCs w:val="18"/>
                <w:vertAlign w:val="superscript"/>
              </w:rPr>
              <w:t>IV</w:t>
            </w:r>
            <w:proofErr w:type="spellEnd"/>
          </w:p>
        </w:tc>
        <w:tc>
          <w:tcPr>
            <w:tcW w:w="1284" w:type="dxa"/>
            <w:tcBorders>
              <w:bottom w:val="single" w:sz="2" w:space="0" w:color="auto"/>
            </w:tcBorders>
            <w:vAlign w:val="center"/>
          </w:tcPr>
          <w:p w14:paraId="5BECAB68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  <w:tcBorders>
              <w:bottom w:val="single" w:sz="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1789CA2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B1DC340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20 (11%)</w:t>
            </w:r>
          </w:p>
        </w:tc>
      </w:tr>
      <w:tr w:rsidR="00D00D10" w:rsidRPr="00207D56" w14:paraId="67CA4211" w14:textId="77777777" w:rsidTr="00D00D10">
        <w:trPr>
          <w:trHeight w:val="21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16BFD2A0" w14:textId="77777777" w:rsidR="00D00D10" w:rsidRPr="00FF3096" w:rsidRDefault="00D00D10" w:rsidP="00D00D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b/>
                <w:bCs/>
                <w:sz w:val="18"/>
                <w:szCs w:val="18"/>
              </w:rPr>
              <w:t>Years of Education</w:t>
            </w:r>
          </w:p>
        </w:tc>
        <w:tc>
          <w:tcPr>
            <w:tcW w:w="12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000982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1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479A1B6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225</w:t>
            </w:r>
          </w:p>
        </w:tc>
        <w:tc>
          <w:tcPr>
            <w:tcW w:w="185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93D82A9" w14:textId="77777777" w:rsidR="00D00D10" w:rsidRPr="00FF3096" w:rsidRDefault="00D00D10" w:rsidP="00D00D10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096">
              <w:rPr>
                <w:rFonts w:ascii="Calibri" w:hAnsi="Calibri" w:cs="Calibri"/>
                <w:sz w:val="18"/>
                <w:szCs w:val="18"/>
              </w:rPr>
              <w:t>16.0 (15.2 – 16.8)</w:t>
            </w:r>
          </w:p>
        </w:tc>
      </w:tr>
    </w:tbl>
    <w:p w14:paraId="5C9A6F54" w14:textId="77777777" w:rsidR="00D00D10" w:rsidRDefault="00D00D10" w:rsidP="00D00D10">
      <w:pPr>
        <w:rPr>
          <w:rFonts w:ascii="Arial" w:hAnsi="Arial" w:cs="Arial"/>
        </w:rPr>
      </w:pPr>
    </w:p>
    <w:p w14:paraId="5B019B0D" w14:textId="23FDDA8C" w:rsidR="00E82844" w:rsidRDefault="00D00D10"/>
    <w:p w14:paraId="5CB5F397" w14:textId="4B4ED3AD" w:rsidR="00D00D10" w:rsidRDefault="00D00D10"/>
    <w:p w14:paraId="2A1B7C4D" w14:textId="7B7C5163" w:rsidR="00D00D10" w:rsidRDefault="00D00D10"/>
    <w:p w14:paraId="6B4B44BD" w14:textId="4198F794" w:rsidR="00D00D10" w:rsidRDefault="00D00D10"/>
    <w:p w14:paraId="245EB86B" w14:textId="60D59791" w:rsidR="00D00D10" w:rsidRDefault="00D00D10"/>
    <w:p w14:paraId="7D248670" w14:textId="156B220F" w:rsidR="00D00D10" w:rsidRPr="00D00D10" w:rsidRDefault="00D00D10">
      <w:pPr>
        <w:rPr>
          <w:rFonts w:ascii="Arial" w:hAnsi="Arial" w:cs="Arial"/>
          <w:i/>
          <w:iCs/>
        </w:rPr>
      </w:pPr>
      <w:r w:rsidRPr="00287F51">
        <w:rPr>
          <w:rFonts w:ascii="Arial" w:hAnsi="Arial" w:cs="Arial"/>
          <w:i/>
          <w:iCs/>
        </w:rPr>
        <w:t xml:space="preserve">A random-effect model was used to pool participants’ </w:t>
      </w:r>
      <w:r>
        <w:rPr>
          <w:rFonts w:ascii="Arial" w:hAnsi="Arial" w:cs="Arial"/>
          <w:i/>
          <w:iCs/>
        </w:rPr>
        <w:t xml:space="preserve">mean </w:t>
      </w:r>
      <w:r w:rsidRPr="00287F51">
        <w:rPr>
          <w:rFonts w:ascii="Arial" w:hAnsi="Arial" w:cs="Arial"/>
          <w:i/>
          <w:iCs/>
        </w:rPr>
        <w:t>ages and years of education. For cohorts that were used in multiple publications (</w:t>
      </w:r>
      <w:proofErr w:type="gramStart"/>
      <w:r w:rsidRPr="00287F51">
        <w:rPr>
          <w:rFonts w:ascii="Arial" w:hAnsi="Arial" w:cs="Arial"/>
          <w:i/>
          <w:iCs/>
        </w:rPr>
        <w:t>e.g.</w:t>
      </w:r>
      <w:proofErr w:type="gramEnd"/>
      <w:r w:rsidRPr="00287F51">
        <w:rPr>
          <w:rFonts w:ascii="Arial" w:hAnsi="Arial" w:cs="Arial"/>
          <w:i/>
          <w:iCs/>
        </w:rPr>
        <w:t xml:space="preserve"> as the training cohort in one study and the validation cohort in another study </w:t>
      </w:r>
      <w:r w:rsidRPr="00287F51">
        <w:rPr>
          <w:rFonts w:ascii="Arial" w:eastAsia="Times New Roman" w:hAnsi="Arial" w:cs="Arial"/>
        </w:rPr>
        <w:t>[3,4]</w:t>
      </w:r>
      <w:r w:rsidRPr="00287F51">
        <w:rPr>
          <w:rFonts w:ascii="Arial" w:hAnsi="Arial" w:cs="Arial"/>
          <w:i/>
          <w:iCs/>
        </w:rPr>
        <w:t xml:space="preserve">), those participants were only counted once. </w:t>
      </w:r>
      <w:proofErr w:type="spellStart"/>
      <w:r w:rsidRPr="00287F51">
        <w:rPr>
          <w:rFonts w:ascii="Arial" w:hAnsi="Arial" w:cs="Arial"/>
          <w:i/>
          <w:iCs/>
          <w:vertAlign w:val="superscript"/>
        </w:rPr>
        <w:t>I</w:t>
      </w:r>
      <w:r w:rsidRPr="00287F51">
        <w:rPr>
          <w:rFonts w:ascii="Arial" w:hAnsi="Arial" w:cs="Arial"/>
          <w:i/>
          <w:iCs/>
        </w:rPr>
        <w:t>Number</w:t>
      </w:r>
      <w:proofErr w:type="spellEnd"/>
      <w:r w:rsidRPr="00287F51">
        <w:rPr>
          <w:rFonts w:ascii="Arial" w:hAnsi="Arial" w:cs="Arial"/>
          <w:i/>
          <w:iCs/>
        </w:rPr>
        <w:t xml:space="preserve"> of studies with data fit for pooled analysis;</w:t>
      </w:r>
      <w:r w:rsidRPr="00287F51">
        <w:rPr>
          <w:rFonts w:ascii="Arial" w:hAnsi="Arial" w:cs="Arial"/>
        </w:rPr>
        <w:t xml:space="preserve"> </w:t>
      </w:r>
      <w:proofErr w:type="spellStart"/>
      <w:r w:rsidRPr="00287F51">
        <w:rPr>
          <w:rFonts w:ascii="Arial" w:hAnsi="Arial" w:cs="Arial"/>
          <w:vertAlign w:val="superscript"/>
        </w:rPr>
        <w:t>II</w:t>
      </w:r>
      <w:r w:rsidRPr="00287F51">
        <w:rPr>
          <w:rFonts w:ascii="Arial" w:hAnsi="Arial" w:cs="Arial"/>
          <w:i/>
          <w:iCs/>
        </w:rPr>
        <w:t>or</w:t>
      </w:r>
      <w:proofErr w:type="spellEnd"/>
      <w:r w:rsidRPr="00287F51">
        <w:rPr>
          <w:rFonts w:ascii="Arial" w:hAnsi="Arial" w:cs="Arial"/>
          <w:i/>
          <w:iCs/>
        </w:rPr>
        <w:t xml:space="preserve"> “Caucasian”; </w:t>
      </w:r>
      <w:proofErr w:type="spellStart"/>
      <w:r w:rsidRPr="00287F51">
        <w:rPr>
          <w:rFonts w:ascii="Arial" w:hAnsi="Arial" w:cs="Arial"/>
          <w:vertAlign w:val="superscript"/>
        </w:rPr>
        <w:t>III</w:t>
      </w:r>
      <w:r w:rsidRPr="00287F51">
        <w:rPr>
          <w:rFonts w:ascii="Arial" w:hAnsi="Arial" w:cs="Arial"/>
          <w:i/>
          <w:iCs/>
        </w:rPr>
        <w:t>or</w:t>
      </w:r>
      <w:proofErr w:type="spellEnd"/>
      <w:r w:rsidRPr="00287F51">
        <w:rPr>
          <w:rFonts w:ascii="Arial" w:hAnsi="Arial" w:cs="Arial"/>
          <w:i/>
          <w:iCs/>
        </w:rPr>
        <w:t xml:space="preserve"> “African American”; </w:t>
      </w:r>
      <w:proofErr w:type="spellStart"/>
      <w:r w:rsidRPr="00287F51">
        <w:rPr>
          <w:rFonts w:ascii="Arial" w:hAnsi="Arial" w:cs="Arial"/>
          <w:vertAlign w:val="superscript"/>
        </w:rPr>
        <w:t>IV</w:t>
      </w:r>
      <w:r w:rsidRPr="00287F51">
        <w:rPr>
          <w:rFonts w:ascii="Arial" w:hAnsi="Arial" w:cs="Arial"/>
          <w:i/>
          <w:iCs/>
        </w:rPr>
        <w:t>other</w:t>
      </w:r>
      <w:proofErr w:type="spellEnd"/>
      <w:r w:rsidRPr="00287F51">
        <w:rPr>
          <w:rFonts w:ascii="Arial" w:hAnsi="Arial" w:cs="Arial"/>
          <w:i/>
          <w:iCs/>
        </w:rPr>
        <w:t xml:space="preserve"> and/or mixed race.</w:t>
      </w:r>
    </w:p>
    <w:sectPr w:rsidR="00D00D10" w:rsidRPr="00D00D10" w:rsidSect="002B5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10"/>
    <w:rsid w:val="000079B8"/>
    <w:rsid w:val="002B5C25"/>
    <w:rsid w:val="00413D4E"/>
    <w:rsid w:val="0058293E"/>
    <w:rsid w:val="007103F0"/>
    <w:rsid w:val="008C1D68"/>
    <w:rsid w:val="00D0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BA1E6"/>
  <w14:defaultImageDpi w14:val="32767"/>
  <w15:chartTrackingRefBased/>
  <w15:docId w15:val="{77E3C7E1-7514-1B49-82C2-D9C7F6CC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0D10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Zaher (COMTL)</dc:creator>
  <cp:keywords/>
  <dc:description/>
  <cp:lastModifiedBy>Farida Zaher (COMTL)</cp:lastModifiedBy>
  <cp:revision>1</cp:revision>
  <dcterms:created xsi:type="dcterms:W3CDTF">2024-06-25T13:31:00Z</dcterms:created>
  <dcterms:modified xsi:type="dcterms:W3CDTF">2024-06-25T13:32:00Z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2024-06-25T13:31:17Z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d8fda6e9-7dbc-452c-b408-14f3d36517de</vt:lpwstr>
  </property>
  <property fmtid="{D5CDD505-2E9C-101B-9397-08002B2CF9AE}" pid="8" name="MSIP_Label_6a7d8d5d-78e2-4a62-9fcd-016eb5e4c57c_ContentBits">
    <vt:lpwstr>0</vt:lpwstr>
  </property>
</Properties>
</file>