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7BBA" w14:textId="77777777" w:rsidR="00CC6FA6" w:rsidRPr="005110BF" w:rsidRDefault="00CC6FA6" w:rsidP="00CC6FA6">
      <w:pPr>
        <w:spacing w:line="480" w:lineRule="auto"/>
        <w:rPr>
          <w:rFonts w:ascii="Times New Roman" w:hAnsi="Times New Roman" w:cs="Times New Roman"/>
          <w:b/>
          <w:bCs/>
          <w:sz w:val="28"/>
          <w:szCs w:val="28"/>
          <w:lang w:val="en-US"/>
        </w:rPr>
      </w:pPr>
      <w:r w:rsidRPr="005110BF">
        <w:rPr>
          <w:rFonts w:ascii="Times New Roman" w:hAnsi="Times New Roman" w:cs="Times New Roman"/>
          <w:b/>
          <w:bCs/>
          <w:sz w:val="28"/>
          <w:szCs w:val="28"/>
          <w:lang w:val="en-US"/>
        </w:rPr>
        <w:t>Supplemental Material</w:t>
      </w:r>
    </w:p>
    <w:p w14:paraId="0BC57959" w14:textId="77777777" w:rsidR="00CC6FA6" w:rsidRDefault="00CC6FA6" w:rsidP="00CC6FA6">
      <w:pPr>
        <w:spacing w:line="480" w:lineRule="auto"/>
        <w:rPr>
          <w:rFonts w:ascii="Times New Roman" w:hAnsi="Times New Roman" w:cs="Times New Roman"/>
          <w:b/>
          <w:bCs/>
          <w:sz w:val="26"/>
          <w:szCs w:val="26"/>
          <w:lang w:val="en-US"/>
        </w:rPr>
      </w:pPr>
    </w:p>
    <w:p w14:paraId="31CCF897" w14:textId="77777777" w:rsidR="00CC6FA6" w:rsidRPr="005110BF" w:rsidRDefault="00CC6FA6" w:rsidP="00CC6FA6">
      <w:pPr>
        <w:spacing w:line="480" w:lineRule="auto"/>
        <w:rPr>
          <w:rFonts w:ascii="Times New Roman" w:hAnsi="Times New Roman" w:cs="Times New Roman"/>
          <w:b/>
          <w:bCs/>
          <w:sz w:val="26"/>
          <w:szCs w:val="26"/>
          <w:lang w:val="en-US"/>
        </w:rPr>
      </w:pPr>
      <w:r w:rsidRPr="005110BF">
        <w:rPr>
          <w:rFonts w:ascii="Times New Roman" w:hAnsi="Times New Roman" w:cs="Times New Roman"/>
          <w:b/>
          <w:bCs/>
          <w:sz w:val="26"/>
          <w:szCs w:val="26"/>
          <w:lang w:val="en-US"/>
        </w:rPr>
        <w:t>Estimations of Cmax and AUC</w:t>
      </w:r>
    </w:p>
    <w:p w14:paraId="1F69879B" w14:textId="77777777" w:rsidR="00CC6FA6" w:rsidRPr="005110BF" w:rsidRDefault="00CC6FA6" w:rsidP="00CC6FA6">
      <w:pPr>
        <w:spacing w:line="480" w:lineRule="auto"/>
        <w:rPr>
          <w:rFonts w:ascii="Times New Roman" w:hAnsi="Times New Roman" w:cs="Times New Roman"/>
          <w:i/>
          <w:iCs/>
          <w:sz w:val="26"/>
          <w:szCs w:val="26"/>
          <w:lang w:val="en-US"/>
        </w:rPr>
      </w:pPr>
      <w:r w:rsidRPr="005110BF">
        <w:rPr>
          <w:rFonts w:ascii="Times New Roman" w:hAnsi="Times New Roman" w:cs="Times New Roman"/>
          <w:i/>
          <w:iCs/>
          <w:sz w:val="26"/>
          <w:szCs w:val="26"/>
          <w:lang w:val="en-US"/>
        </w:rPr>
        <w:t>Humans</w:t>
      </w:r>
    </w:p>
    <w:p w14:paraId="2E841B7A" w14:textId="77777777" w:rsidR="00CC6FA6" w:rsidRPr="005B5453" w:rsidRDefault="00CC6FA6" w:rsidP="00CC6FA6">
      <w:pPr>
        <w:spacing w:line="480" w:lineRule="auto"/>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Given the study designs from the included studies with missing maximum plasma concentration (Cmax), intra-/extrapolations were based on studies that used a </w:t>
      </w:r>
      <w:r>
        <w:rPr>
          <w:rFonts w:ascii="Times New Roman" w:hAnsi="Times New Roman" w:cs="Times New Roman"/>
          <w:sz w:val="24"/>
          <w:szCs w:val="24"/>
        </w:rPr>
        <w:t>formulation to improve cannabidiol (CBD)’s bioavailability and tested subjects who were in a fed state. These studies are indicated by the grey data points in</w:t>
      </w:r>
      <w:r>
        <w:rPr>
          <w:rFonts w:ascii="Times New Roman" w:hAnsi="Times New Roman" w:cs="Times New Roman"/>
          <w:sz w:val="24"/>
          <w:szCs w:val="24"/>
          <w:lang w:val="en-US"/>
        </w:rPr>
        <w:t xml:space="preserve"> Supplemental Figure 1a, in which measured peak</w:t>
      </w:r>
      <w:r w:rsidRPr="00327FF0">
        <w:rPr>
          <w:rFonts w:ascii="Times New Roman" w:hAnsi="Times New Roman" w:cs="Times New Roman"/>
          <w:sz w:val="24"/>
          <w:szCs w:val="24"/>
          <w:lang w:val="en-US"/>
        </w:rPr>
        <w:t xml:space="preserve"> plasma concentrations</w:t>
      </w:r>
      <w:r>
        <w:rPr>
          <w:rFonts w:ascii="Times New Roman" w:hAnsi="Times New Roman" w:cs="Times New Roman"/>
          <w:sz w:val="24"/>
          <w:szCs w:val="24"/>
          <w:lang w:val="en-US"/>
        </w:rPr>
        <w:t xml:space="preserve"> (a) and area under the curve (b) are plotted against doses for oral CBD administration in human subjects. </w:t>
      </w:r>
    </w:p>
    <w:p w14:paraId="1D1EECD1" w14:textId="77777777" w:rsidR="00CC6FA6" w:rsidRDefault="00CC6FA6" w:rsidP="00CC6FA6">
      <w:pPr>
        <w:spacing w:line="480" w:lineRule="auto"/>
        <w:rPr>
          <w:rFonts w:ascii="Times New Roman" w:hAnsi="Times New Roman" w:cs="Times New Roman"/>
          <w:sz w:val="24"/>
          <w:szCs w:val="24"/>
        </w:rPr>
      </w:pPr>
      <w:r>
        <w:rPr>
          <w:rFonts w:ascii="Times New Roman" w:hAnsi="Times New Roman" w:cs="Times New Roman"/>
          <w:sz w:val="24"/>
          <w:szCs w:val="24"/>
          <w:lang w:val="en-US"/>
        </w:rPr>
        <w:t xml:space="preserve">For studies with missing area under the curve (AUC), intra-/extrapolations were based either on studies that used a </w:t>
      </w:r>
      <w:r>
        <w:rPr>
          <w:rFonts w:ascii="Times New Roman" w:hAnsi="Times New Roman" w:cs="Times New Roman"/>
          <w:sz w:val="24"/>
          <w:szCs w:val="24"/>
        </w:rPr>
        <w:t xml:space="preserve">formulation to improve CBD’s bioavailability and tested subjects who were in a fed state, or on studies with fasted individuals / studies that did not report a dissolving vehicle. This depended on the study designs of the studies with missing pharmacokinetic (PK) data.  </w:t>
      </w:r>
    </w:p>
    <w:p w14:paraId="466FCB11" w14:textId="77777777" w:rsidR="00CC6FA6" w:rsidRPr="00327FF0" w:rsidRDefault="00CC6FA6" w:rsidP="00CC6FA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Saturation of drug absorption appeared to occur</w:t>
      </w:r>
      <w:r w:rsidRPr="00013AF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doses between 3000 and 6000 mg. Further, articles that focused on anxiety outcomes did not test CBD at such high </w:t>
      </w:r>
      <w:r>
        <w:rPr>
          <w:rFonts w:ascii="Times New Roman" w:hAnsi="Times New Roman" w:cs="Times New Roman"/>
          <w:sz w:val="24"/>
          <w:szCs w:val="24"/>
          <w:lang w:val="en-US"/>
        </w:rPr>
        <w:lastRenderedPageBreak/>
        <w:t>dosages. Hence, we based our estimations of missing Cmax and AUC on PK data with CBD doses up to 1500 mg.</w:t>
      </w:r>
    </w:p>
    <w:p w14:paraId="49CE2D68" w14:textId="77777777" w:rsidR="00CC6FA6" w:rsidRDefault="00CC6FA6" w:rsidP="00CC6FA6">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a)</w:t>
      </w:r>
    </w:p>
    <w:p w14:paraId="05B0CDA5" w14:textId="77777777" w:rsidR="00CC6FA6" w:rsidRPr="00F07369" w:rsidRDefault="00CC6FA6" w:rsidP="00CC6FA6">
      <w:pPr>
        <w:spacing w:line="480" w:lineRule="auto"/>
        <w:rPr>
          <w:rFonts w:ascii="Times New Roman" w:hAnsi="Times New Roman" w:cs="Times New Roman"/>
          <w:i/>
          <w:iCs/>
          <w:sz w:val="24"/>
          <w:szCs w:val="24"/>
          <w:lang w:val="en-US"/>
        </w:rPr>
      </w:pPr>
      <w:r w:rsidRPr="00C359C9">
        <w:rPr>
          <w:noProof/>
        </w:rPr>
        <w:t xml:space="preserve"> </w:t>
      </w:r>
      <w:r>
        <w:rPr>
          <w:noProof/>
        </w:rPr>
        <w:drawing>
          <wp:inline distT="0" distB="0" distL="0" distR="0" wp14:anchorId="397BA4F2" wp14:editId="5773B4E6">
            <wp:extent cx="4943475" cy="3155950"/>
            <wp:effectExtent l="0" t="0" r="0" b="6350"/>
            <wp:docPr id="4" name="Chart 4">
              <a:extLst xmlns:a="http://schemas.openxmlformats.org/drawingml/2006/main">
                <a:ext uri="{FF2B5EF4-FFF2-40B4-BE49-F238E27FC236}">
                  <a16:creationId xmlns:a16="http://schemas.microsoft.com/office/drawing/2014/main" id="{97821A89-64C5-4059-BC06-A342FF186B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ACDE4C4" w14:textId="77777777" w:rsidR="00CC6FA6" w:rsidRPr="00430E68" w:rsidRDefault="00CC6FA6" w:rsidP="00CC6FA6">
      <w:pPr>
        <w:spacing w:line="480" w:lineRule="auto"/>
        <w:rPr>
          <w:noProof/>
        </w:rPr>
      </w:pPr>
      <w:r w:rsidRPr="00D426D6">
        <w:rPr>
          <w:noProof/>
          <w:lang w:val="en-US"/>
        </w:rPr>
        <w:t xml:space="preserve"> </w:t>
      </w:r>
    </w:p>
    <w:p w14:paraId="77CE2B63" w14:textId="77777777" w:rsidR="00CC6FA6" w:rsidRDefault="00CC6FA6" w:rsidP="00CC6FA6">
      <w:pPr>
        <w:spacing w:line="480" w:lineRule="auto"/>
        <w:rPr>
          <w:rFonts w:ascii="Times New Roman" w:hAnsi="Times New Roman" w:cs="Times New Roman"/>
          <w:i/>
          <w:iCs/>
          <w:noProof/>
          <w:sz w:val="24"/>
          <w:szCs w:val="24"/>
          <w:lang w:val="en-US"/>
        </w:rPr>
      </w:pPr>
      <w:r w:rsidRPr="00D426D6">
        <w:rPr>
          <w:rFonts w:ascii="Times New Roman" w:hAnsi="Times New Roman" w:cs="Times New Roman"/>
          <w:i/>
          <w:iCs/>
          <w:noProof/>
          <w:sz w:val="24"/>
          <w:szCs w:val="24"/>
          <w:lang w:val="en-US"/>
        </w:rPr>
        <w:t>b)</w:t>
      </w:r>
      <w:r>
        <w:rPr>
          <w:rFonts w:ascii="Times New Roman" w:hAnsi="Times New Roman" w:cs="Times New Roman"/>
          <w:i/>
          <w:iCs/>
          <w:noProof/>
          <w:sz w:val="24"/>
          <w:szCs w:val="24"/>
          <w:lang w:val="en-US"/>
        </w:rPr>
        <w:t xml:space="preserve"> </w:t>
      </w:r>
    </w:p>
    <w:p w14:paraId="3B635C4B" w14:textId="77777777" w:rsidR="00CC6FA6" w:rsidRPr="00D426D6" w:rsidRDefault="00CC6FA6" w:rsidP="00CC6FA6">
      <w:pPr>
        <w:spacing w:line="480" w:lineRule="auto"/>
        <w:rPr>
          <w:rFonts w:ascii="Times New Roman" w:hAnsi="Times New Roman" w:cs="Times New Roman"/>
          <w:i/>
          <w:iCs/>
          <w:noProof/>
          <w:sz w:val="24"/>
          <w:szCs w:val="24"/>
          <w:lang w:val="en-US"/>
        </w:rPr>
      </w:pPr>
      <w:r>
        <w:rPr>
          <w:noProof/>
        </w:rPr>
        <w:drawing>
          <wp:inline distT="0" distB="0" distL="0" distR="0" wp14:anchorId="0CEFC55B" wp14:editId="6572F9D1">
            <wp:extent cx="5577016" cy="3115653"/>
            <wp:effectExtent l="0" t="0" r="5080" b="8890"/>
            <wp:docPr id="7" name="Chart 7">
              <a:extLst xmlns:a="http://schemas.openxmlformats.org/drawingml/2006/main">
                <a:ext uri="{FF2B5EF4-FFF2-40B4-BE49-F238E27FC236}">
                  <a16:creationId xmlns:a16="http://schemas.microsoft.com/office/drawing/2014/main" id="{8CDEFD7D-2283-495E-9BE9-E9CC181E1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DD86F4D" w14:textId="77777777" w:rsidR="00CC6FA6" w:rsidRPr="005110BF" w:rsidRDefault="00CC6FA6" w:rsidP="00CC6FA6">
      <w:pPr>
        <w:spacing w:line="480" w:lineRule="auto"/>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Supplemental F</w:t>
      </w:r>
      <w:r w:rsidRPr="00430E68">
        <w:rPr>
          <w:rFonts w:ascii="Times New Roman" w:hAnsi="Times New Roman" w:cs="Times New Roman"/>
          <w:b/>
          <w:bCs/>
          <w:noProof/>
          <w:sz w:val="24"/>
          <w:szCs w:val="24"/>
          <w:lang w:val="en-US"/>
        </w:rPr>
        <w:t xml:space="preserve">igure </w:t>
      </w:r>
      <w:r>
        <w:rPr>
          <w:rFonts w:ascii="Times New Roman" w:hAnsi="Times New Roman" w:cs="Times New Roman"/>
          <w:b/>
          <w:bCs/>
          <w:noProof/>
          <w:sz w:val="24"/>
          <w:szCs w:val="24"/>
          <w:lang w:val="en-US"/>
        </w:rPr>
        <w:t xml:space="preserve">1. </w:t>
      </w:r>
      <w:r w:rsidRPr="00430E68">
        <w:rPr>
          <w:rFonts w:ascii="Times New Roman" w:hAnsi="Times New Roman" w:cs="Times New Roman"/>
          <w:noProof/>
          <w:sz w:val="24"/>
          <w:szCs w:val="24"/>
          <w:lang w:val="en-US"/>
        </w:rPr>
        <w:t xml:space="preserve">Maximum plasma concentrations </w:t>
      </w:r>
      <w:r w:rsidRPr="000F0806">
        <w:rPr>
          <w:rFonts w:ascii="Times New Roman" w:hAnsi="Times New Roman" w:cs="Times New Roman"/>
          <w:noProof/>
          <w:sz w:val="24"/>
          <w:szCs w:val="24"/>
          <w:lang w:val="en-US"/>
        </w:rPr>
        <w:t>(</w:t>
      </w:r>
      <w:r w:rsidRPr="00430E68">
        <w:rPr>
          <w:rFonts w:ascii="Times New Roman" w:hAnsi="Times New Roman" w:cs="Times New Roman"/>
          <w:noProof/>
          <w:sz w:val="24"/>
          <w:szCs w:val="24"/>
          <w:lang w:val="en-US"/>
        </w:rPr>
        <w:t xml:space="preserve">a) and area under the curve </w:t>
      </w:r>
      <w:r w:rsidRPr="000F0806">
        <w:rPr>
          <w:rFonts w:ascii="Times New Roman" w:hAnsi="Times New Roman" w:cs="Times New Roman"/>
          <w:noProof/>
          <w:sz w:val="24"/>
          <w:szCs w:val="24"/>
          <w:lang w:val="en-US"/>
        </w:rPr>
        <w:t>(</w:t>
      </w:r>
      <w:r w:rsidRPr="00430E68">
        <w:rPr>
          <w:rFonts w:ascii="Times New Roman" w:hAnsi="Times New Roman" w:cs="Times New Roman"/>
          <w:noProof/>
          <w:sz w:val="24"/>
          <w:szCs w:val="24"/>
          <w:lang w:val="en-US"/>
        </w:rPr>
        <w:t>b) plotted against orally administered single CBD dose in humans.</w:t>
      </w:r>
      <w:r>
        <w:rPr>
          <w:rFonts w:ascii="Times New Roman" w:hAnsi="Times New Roman" w:cs="Times New Roman"/>
          <w:noProof/>
          <w:sz w:val="24"/>
          <w:szCs w:val="24"/>
          <w:lang w:val="en-US"/>
        </w:rPr>
        <w:t xml:space="preserve"> </w:t>
      </w:r>
      <w:r>
        <w:rPr>
          <w:rFonts w:ascii="Times New Roman" w:hAnsi="Times New Roman" w:cs="Times New Roman"/>
          <w:sz w:val="24"/>
          <w:szCs w:val="24"/>
          <w:lang w:val="en-US"/>
        </w:rPr>
        <w:t>Two</w:t>
      </w:r>
      <w:r w:rsidRPr="00430E68">
        <w:rPr>
          <w:rFonts w:ascii="Times New Roman" w:hAnsi="Times New Roman" w:cs="Times New Roman"/>
          <w:sz w:val="24"/>
          <w:szCs w:val="24"/>
          <w:lang w:val="en-US"/>
        </w:rPr>
        <w:t xml:space="preserve"> data</w:t>
      </w:r>
      <w:r>
        <w:rPr>
          <w:rFonts w:ascii="Times New Roman" w:hAnsi="Times New Roman" w:cs="Times New Roman"/>
          <w:sz w:val="24"/>
          <w:szCs w:val="24"/>
          <w:lang w:val="en-US"/>
        </w:rPr>
        <w:t xml:space="preserve"> </w:t>
      </w:r>
      <w:r w:rsidRPr="00430E68">
        <w:rPr>
          <w:rFonts w:ascii="Times New Roman" w:hAnsi="Times New Roman" w:cs="Times New Roman"/>
          <w:sz w:val="24"/>
          <w:szCs w:val="24"/>
          <w:lang w:val="en-US"/>
        </w:rPr>
        <w:t>point</w:t>
      </w:r>
      <w:r>
        <w:rPr>
          <w:rFonts w:ascii="Times New Roman" w:hAnsi="Times New Roman" w:cs="Times New Roman"/>
          <w:sz w:val="24"/>
          <w:szCs w:val="24"/>
          <w:lang w:val="en-US"/>
        </w:rPr>
        <w:t>s</w:t>
      </w:r>
      <w:r w:rsidRPr="00430E68">
        <w:rPr>
          <w:rFonts w:ascii="Times New Roman" w:hAnsi="Times New Roman" w:cs="Times New Roman"/>
          <w:sz w:val="24"/>
          <w:szCs w:val="24"/>
          <w:lang w:val="en-US"/>
        </w:rPr>
        <w:t xml:space="preserve"> in the ‘f</w:t>
      </w:r>
      <w:r>
        <w:rPr>
          <w:rFonts w:ascii="Times New Roman" w:hAnsi="Times New Roman" w:cs="Times New Roman"/>
          <w:sz w:val="24"/>
          <w:szCs w:val="24"/>
          <w:lang w:val="en-US"/>
        </w:rPr>
        <w:t>asted</w:t>
      </w:r>
      <w:r w:rsidRPr="00430E68">
        <w:rPr>
          <w:rFonts w:ascii="Times New Roman" w:hAnsi="Times New Roman" w:cs="Times New Roman"/>
          <w:sz w:val="24"/>
          <w:szCs w:val="24"/>
          <w:lang w:val="en-US"/>
        </w:rPr>
        <w:t xml:space="preserve"> </w:t>
      </w:r>
      <w:r>
        <w:rPr>
          <w:rFonts w:ascii="Times New Roman" w:hAnsi="Times New Roman" w:cs="Times New Roman"/>
          <w:sz w:val="24"/>
          <w:szCs w:val="24"/>
          <w:lang w:val="en-US"/>
        </w:rPr>
        <w:t>or</w:t>
      </w:r>
      <w:r w:rsidRPr="00430E68">
        <w:rPr>
          <w:rFonts w:ascii="Times New Roman" w:hAnsi="Times New Roman" w:cs="Times New Roman"/>
          <w:sz w:val="24"/>
          <w:szCs w:val="24"/>
          <w:lang w:val="en-US"/>
        </w:rPr>
        <w:t xml:space="preserve"> naked’ condition </w:t>
      </w:r>
      <w:r>
        <w:rPr>
          <w:rFonts w:ascii="Times New Roman" w:hAnsi="Times New Roman" w:cs="Times New Roman"/>
          <w:sz w:val="24"/>
          <w:szCs w:val="24"/>
          <w:lang w:val="en-US"/>
        </w:rPr>
        <w:t>are</w:t>
      </w:r>
      <w:r w:rsidRPr="00430E68">
        <w:rPr>
          <w:rFonts w:ascii="Times New Roman" w:hAnsi="Times New Roman" w:cs="Times New Roman"/>
          <w:sz w:val="24"/>
          <w:szCs w:val="24"/>
          <w:lang w:val="en-US"/>
        </w:rPr>
        <w:t xml:space="preserve"> an approximation of true Cmax</w:t>
      </w:r>
      <w:r>
        <w:rPr>
          <w:rFonts w:ascii="Times New Roman" w:hAnsi="Times New Roman" w:cs="Times New Roman"/>
          <w:sz w:val="24"/>
          <w:szCs w:val="24"/>
          <w:lang w:val="en-US"/>
        </w:rPr>
        <w:t xml:space="preserve">; in these studies too little measurements were taken to identify the peak concentration (Fusar-Poli et al., 2009, 2010; Verrico et al., 2020). </w:t>
      </w:r>
    </w:p>
    <w:p w14:paraId="2332D6CF" w14:textId="77777777" w:rsidR="00CC6FA6" w:rsidRDefault="00CC6FA6" w:rsidP="00CC6FA6">
      <w:pPr>
        <w:spacing w:line="480" w:lineRule="auto"/>
        <w:rPr>
          <w:rFonts w:ascii="Times New Roman" w:hAnsi="Times New Roman" w:cs="Times New Roman"/>
          <w:sz w:val="24"/>
          <w:szCs w:val="24"/>
          <w:lang w:val="en-US"/>
        </w:rPr>
      </w:pPr>
    </w:p>
    <w:p w14:paraId="70678429" w14:textId="77777777" w:rsidR="00CC6FA6" w:rsidRPr="005110BF" w:rsidRDefault="00CC6FA6" w:rsidP="00CC6FA6">
      <w:pPr>
        <w:spacing w:line="480" w:lineRule="auto"/>
        <w:rPr>
          <w:rFonts w:ascii="Times New Roman" w:hAnsi="Times New Roman" w:cs="Times New Roman"/>
          <w:i/>
          <w:iCs/>
          <w:sz w:val="26"/>
          <w:szCs w:val="26"/>
          <w:lang w:val="en-US"/>
        </w:rPr>
      </w:pPr>
      <w:r w:rsidRPr="005110BF">
        <w:rPr>
          <w:rFonts w:ascii="Times New Roman" w:hAnsi="Times New Roman" w:cs="Times New Roman"/>
          <w:i/>
          <w:iCs/>
          <w:sz w:val="26"/>
          <w:szCs w:val="26"/>
          <w:lang w:val="en-US"/>
        </w:rPr>
        <w:t>Mice and rats</w:t>
      </w:r>
    </w:p>
    <w:p w14:paraId="4E46053E" w14:textId="77777777" w:rsidR="00CC6FA6" w:rsidRDefault="00CC6FA6" w:rsidP="00CC6FA6">
      <w:pPr>
        <w:spacing w:line="480" w:lineRule="auto"/>
        <w:rPr>
          <w:rFonts w:ascii="Times New Roman" w:hAnsi="Times New Roman" w:cs="Times New Roman"/>
          <w:sz w:val="24"/>
          <w:szCs w:val="24"/>
          <w:lang w:val="en-US"/>
        </w:rPr>
      </w:pPr>
      <w:r w:rsidRPr="00572857">
        <w:rPr>
          <w:rFonts w:ascii="Times New Roman" w:hAnsi="Times New Roman" w:cs="Times New Roman"/>
          <w:sz w:val="24"/>
          <w:szCs w:val="24"/>
          <w:lang w:val="en-US"/>
        </w:rPr>
        <w:t>With an eye on compatibility with studies with missing plasma concentrations,</w:t>
      </w:r>
      <w:r w:rsidRPr="00FB4AC8">
        <w:rPr>
          <w:rFonts w:ascii="Times New Roman" w:hAnsi="Times New Roman" w:cs="Times New Roman"/>
          <w:sz w:val="24"/>
          <w:szCs w:val="24"/>
          <w:lang w:val="en-US"/>
        </w:rPr>
        <w:t xml:space="preserve"> which were restricted to male animals, we only used data</w:t>
      </w:r>
      <w:r>
        <w:rPr>
          <w:rFonts w:ascii="Times New Roman" w:hAnsi="Times New Roman" w:cs="Times New Roman"/>
          <w:sz w:val="24"/>
          <w:szCs w:val="24"/>
          <w:lang w:val="en-US"/>
        </w:rPr>
        <w:t xml:space="preserve"> obtained from male animals</w:t>
      </w:r>
      <w:r w:rsidRPr="006D68F9">
        <w:rPr>
          <w:rFonts w:ascii="Times New Roman" w:hAnsi="Times New Roman" w:cs="Times New Roman"/>
          <w:sz w:val="24"/>
          <w:szCs w:val="24"/>
          <w:lang w:val="en-US"/>
        </w:rPr>
        <w:t xml:space="preserve"> for our predictions</w:t>
      </w:r>
      <w:r w:rsidRPr="00E60AFD">
        <w:rPr>
          <w:rFonts w:ascii="Times New Roman" w:hAnsi="Times New Roman" w:cs="Times New Roman"/>
          <w:sz w:val="24"/>
          <w:szCs w:val="24"/>
          <w:lang w:val="en-US"/>
        </w:rPr>
        <w:t xml:space="preserve"> in mice</w:t>
      </w:r>
      <w:r>
        <w:rPr>
          <w:rFonts w:ascii="Times New Roman" w:hAnsi="Times New Roman" w:cs="Times New Roman"/>
          <w:sz w:val="24"/>
          <w:szCs w:val="24"/>
          <w:lang w:val="en-US"/>
        </w:rPr>
        <w:t xml:space="preserve"> (Deiana et al., 2012; Zieba et al., 2019)</w:t>
      </w:r>
      <w:r w:rsidRPr="00E60AFD">
        <w:rPr>
          <w:rFonts w:ascii="Times New Roman" w:hAnsi="Times New Roman" w:cs="Times New Roman"/>
          <w:sz w:val="24"/>
          <w:szCs w:val="24"/>
          <w:vertAlign w:val="superscript"/>
          <w:lang w:val="en-US"/>
        </w:rPr>
        <w:t xml:space="preserve"> </w:t>
      </w:r>
      <w:r w:rsidRPr="00E60AFD">
        <w:rPr>
          <w:rFonts w:ascii="Times New Roman" w:hAnsi="Times New Roman" w:cs="Times New Roman"/>
          <w:sz w:val="24"/>
          <w:szCs w:val="24"/>
          <w:lang w:val="en-US"/>
        </w:rPr>
        <w:t>(Figure 3a) and in rats</w:t>
      </w:r>
      <w:r>
        <w:rPr>
          <w:rFonts w:ascii="Times New Roman" w:hAnsi="Times New Roman" w:cs="Times New Roman"/>
          <w:sz w:val="24"/>
          <w:szCs w:val="24"/>
          <w:lang w:val="en-US"/>
        </w:rPr>
        <w:t xml:space="preserve"> (Deiana et al., 2012; Javadi-Paydar et al., 2019)</w:t>
      </w:r>
      <w:r w:rsidRPr="00E60AFD">
        <w:rPr>
          <w:rFonts w:ascii="Times New Roman" w:hAnsi="Times New Roman" w:cs="Times New Roman"/>
          <w:sz w:val="24"/>
          <w:szCs w:val="24"/>
          <w:vertAlign w:val="superscript"/>
          <w:lang w:val="en-US"/>
        </w:rPr>
        <w:t xml:space="preserve"> </w:t>
      </w:r>
      <w:r w:rsidRPr="00E60AFD">
        <w:rPr>
          <w:rFonts w:ascii="Times New Roman" w:hAnsi="Times New Roman" w:cs="Times New Roman"/>
          <w:sz w:val="24"/>
          <w:szCs w:val="24"/>
          <w:lang w:val="en-US"/>
        </w:rPr>
        <w:t>(Figure 3b).</w:t>
      </w:r>
      <w:r>
        <w:rPr>
          <w:rFonts w:ascii="Times New Roman" w:hAnsi="Times New Roman" w:cs="Times New Roman"/>
          <w:sz w:val="24"/>
          <w:szCs w:val="24"/>
          <w:lang w:val="en-US"/>
        </w:rPr>
        <w:t xml:space="preserve"> Of note, </w:t>
      </w:r>
      <w:r w:rsidRPr="00677D85">
        <w:rPr>
          <w:rFonts w:ascii="Times New Roman" w:hAnsi="Times New Roman" w:cs="Times New Roman"/>
          <w:sz w:val="24"/>
          <w:szCs w:val="24"/>
          <w:lang w:val="en-US"/>
        </w:rPr>
        <w:t xml:space="preserve">Javadi-Paydar </w:t>
      </w:r>
      <w:r>
        <w:rPr>
          <w:rFonts w:ascii="Times New Roman" w:hAnsi="Times New Roman" w:cs="Times New Roman"/>
          <w:sz w:val="24"/>
          <w:szCs w:val="24"/>
          <w:lang w:val="en-US"/>
        </w:rPr>
        <w:t>et al. (2019)</w:t>
      </w:r>
      <w:r w:rsidRPr="00677D85">
        <w:rPr>
          <w:rFonts w:ascii="Times New Roman" w:hAnsi="Times New Roman" w:cs="Times New Roman"/>
          <w:sz w:val="24"/>
          <w:szCs w:val="24"/>
          <w:lang w:val="en-US"/>
        </w:rPr>
        <w:t xml:space="preserve"> showed that in rats, bioavailability of CBD after i.p. administration was higher in females than in males. </w:t>
      </w:r>
      <w:r w:rsidRPr="00E60AFD">
        <w:rPr>
          <w:rFonts w:ascii="Times New Roman" w:hAnsi="Times New Roman" w:cs="Times New Roman"/>
          <w:sz w:val="24"/>
          <w:szCs w:val="24"/>
          <w:lang w:val="en-US"/>
        </w:rPr>
        <w:t>Estimations of Cmax after doses of 0.01-5 mg/kg i.p. in mice and 1-10 mg/kg in rats were negative. We used (fractions of) the lowest measured Cmax</w:t>
      </w:r>
      <w:r>
        <w:rPr>
          <w:rFonts w:ascii="Times New Roman" w:hAnsi="Times New Roman" w:cs="Times New Roman"/>
          <w:sz w:val="24"/>
          <w:szCs w:val="24"/>
          <w:lang w:val="en-US"/>
        </w:rPr>
        <w:t xml:space="preserve"> (Javadi-Paydar et al., 2019; Zieba et al., 2019) </w:t>
      </w:r>
      <w:r w:rsidRPr="00E60AFD">
        <w:rPr>
          <w:rFonts w:ascii="Times New Roman" w:hAnsi="Times New Roman" w:cs="Times New Roman"/>
          <w:sz w:val="24"/>
          <w:szCs w:val="24"/>
          <w:lang w:val="en-US"/>
        </w:rPr>
        <w:t xml:space="preserve">instead of intra-or extrapolation based on multiple data points to estimate these missing values. </w:t>
      </w:r>
      <w:r>
        <w:rPr>
          <w:rFonts w:ascii="Times New Roman" w:hAnsi="Times New Roman" w:cs="Times New Roman"/>
          <w:sz w:val="24"/>
          <w:szCs w:val="24"/>
          <w:lang w:val="en-US"/>
        </w:rPr>
        <w:t xml:space="preserve">In Zieba et al. (2019) plasma levels were measured in the same mice who were subjected to behavioural tests, so in this case we used these PK data from the same article. </w:t>
      </w:r>
    </w:p>
    <w:p w14:paraId="6F43E82C" w14:textId="77777777" w:rsidR="00CC6FA6" w:rsidRPr="00E60AFD" w:rsidRDefault="00CC6FA6" w:rsidP="00CC6FA6">
      <w:pPr>
        <w:spacing w:line="480" w:lineRule="auto"/>
        <w:rPr>
          <w:rFonts w:ascii="Times New Roman" w:hAnsi="Times New Roman" w:cs="Times New Roman"/>
          <w:sz w:val="24"/>
          <w:szCs w:val="24"/>
          <w:lang w:val="en-US"/>
        </w:rPr>
      </w:pPr>
    </w:p>
    <w:p w14:paraId="1B2ED939" w14:textId="77777777" w:rsidR="00CC6FA6" w:rsidRPr="00E60AFD" w:rsidRDefault="00CC6FA6" w:rsidP="00CC6FA6">
      <w:pPr>
        <w:spacing w:line="480" w:lineRule="auto"/>
        <w:rPr>
          <w:rFonts w:ascii="Times New Roman" w:hAnsi="Times New Roman" w:cs="Times New Roman"/>
          <w:i/>
          <w:iCs/>
          <w:sz w:val="24"/>
          <w:szCs w:val="24"/>
          <w:lang w:val="en-US"/>
        </w:rPr>
      </w:pPr>
      <w:r w:rsidRPr="00E60AFD">
        <w:rPr>
          <w:rFonts w:ascii="Times New Roman" w:hAnsi="Times New Roman" w:cs="Times New Roman"/>
          <w:i/>
          <w:iCs/>
          <w:sz w:val="24"/>
          <w:szCs w:val="24"/>
          <w:lang w:val="en-US"/>
        </w:rPr>
        <w:t>a)</w:t>
      </w:r>
    </w:p>
    <w:p w14:paraId="6F500F49" w14:textId="77777777" w:rsidR="00CC6FA6" w:rsidRPr="00E60AFD" w:rsidRDefault="00CC6FA6" w:rsidP="00CC6FA6">
      <w:pPr>
        <w:spacing w:line="480" w:lineRule="auto"/>
        <w:rPr>
          <w:rFonts w:ascii="Times New Roman" w:hAnsi="Times New Roman" w:cs="Times New Roman"/>
          <w:i/>
          <w:iCs/>
          <w:sz w:val="24"/>
          <w:szCs w:val="24"/>
          <w:lang w:val="en-US"/>
        </w:rPr>
      </w:pPr>
      <w:r w:rsidRPr="00E60AFD">
        <w:rPr>
          <w:rFonts w:ascii="Times New Roman" w:hAnsi="Times New Roman" w:cs="Times New Roman"/>
          <w:i/>
          <w:iCs/>
          <w:sz w:val="24"/>
          <w:szCs w:val="24"/>
          <w:lang w:val="en-US"/>
        </w:rPr>
        <w:t>b)</w:t>
      </w:r>
      <w:r w:rsidRPr="00E60AFD">
        <w:rPr>
          <w:noProof/>
        </w:rPr>
        <w:t xml:space="preserve"> </w:t>
      </w:r>
      <w:r w:rsidRPr="00E60AFD">
        <w:rPr>
          <w:noProof/>
        </w:rPr>
        <w:drawing>
          <wp:inline distT="0" distB="0" distL="0" distR="0" wp14:anchorId="06E6A4E4" wp14:editId="595069C3">
            <wp:extent cx="4428066" cy="3039533"/>
            <wp:effectExtent l="0" t="0" r="0" b="8890"/>
            <wp:docPr id="5" name="Chart 5">
              <a:extLst xmlns:a="http://schemas.openxmlformats.org/drawingml/2006/main">
                <a:ext uri="{FF2B5EF4-FFF2-40B4-BE49-F238E27FC236}">
                  <a16:creationId xmlns:a16="http://schemas.microsoft.com/office/drawing/2014/main" id="{4374D553-A2CB-4CF9-A6EB-02F663864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D674A78" w14:textId="77777777" w:rsidR="00CC6FA6" w:rsidRPr="00E60AFD" w:rsidRDefault="00CC6FA6" w:rsidP="00CC6FA6">
      <w:pPr>
        <w:spacing w:line="480" w:lineRule="auto"/>
        <w:rPr>
          <w:rFonts w:ascii="Times New Roman" w:hAnsi="Times New Roman" w:cs="Times New Roman"/>
          <w:i/>
          <w:iCs/>
          <w:sz w:val="24"/>
          <w:szCs w:val="24"/>
          <w:lang w:val="en-US"/>
        </w:rPr>
      </w:pPr>
      <w:r w:rsidRPr="00E60AFD">
        <w:rPr>
          <w:noProof/>
        </w:rPr>
        <w:t xml:space="preserve"> </w:t>
      </w:r>
      <w:r w:rsidRPr="00E60AFD">
        <w:rPr>
          <w:noProof/>
        </w:rPr>
        <w:drawing>
          <wp:inline distT="0" distB="0" distL="0" distR="0" wp14:anchorId="7CF63ABF" wp14:editId="0D38BA95">
            <wp:extent cx="4667864" cy="2794820"/>
            <wp:effectExtent l="0" t="0" r="0" b="5715"/>
            <wp:docPr id="6" name="Chart 6">
              <a:extLst xmlns:a="http://schemas.openxmlformats.org/drawingml/2006/main">
                <a:ext uri="{FF2B5EF4-FFF2-40B4-BE49-F238E27FC236}">
                  <a16:creationId xmlns:a16="http://schemas.microsoft.com/office/drawing/2014/main" id="{83871C17-B461-4514-82B7-5C34EF50D0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A0CD9D" w14:textId="77777777" w:rsidR="00CC6FA6" w:rsidRPr="005110BF" w:rsidRDefault="00CC6FA6" w:rsidP="00CC6FA6">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Supplemental F</w:t>
      </w:r>
      <w:r w:rsidRPr="00E60AFD">
        <w:rPr>
          <w:rFonts w:ascii="Times New Roman" w:hAnsi="Times New Roman" w:cs="Times New Roman"/>
          <w:b/>
          <w:bCs/>
          <w:sz w:val="24"/>
          <w:szCs w:val="24"/>
          <w:lang w:val="en-US"/>
        </w:rPr>
        <w:t xml:space="preserve">igure </w:t>
      </w:r>
      <w:r>
        <w:rPr>
          <w:rFonts w:ascii="Times New Roman" w:hAnsi="Times New Roman" w:cs="Times New Roman"/>
          <w:b/>
          <w:bCs/>
          <w:sz w:val="24"/>
          <w:szCs w:val="24"/>
          <w:lang w:val="en-US"/>
        </w:rPr>
        <w:t xml:space="preserve">2. </w:t>
      </w:r>
      <w:r w:rsidRPr="00430E68">
        <w:rPr>
          <w:rFonts w:ascii="Times New Roman" w:hAnsi="Times New Roman" w:cs="Times New Roman"/>
          <w:sz w:val="24"/>
          <w:szCs w:val="24"/>
          <w:lang w:val="en-US"/>
        </w:rPr>
        <w:t xml:space="preserve">Approximated maximum plasma concentrations plotted against single CBD doses administered intraperitoneally in male mice </w:t>
      </w:r>
      <w:r w:rsidRPr="000F0806">
        <w:rPr>
          <w:rFonts w:ascii="Times New Roman" w:hAnsi="Times New Roman" w:cs="Times New Roman"/>
          <w:sz w:val="24"/>
          <w:szCs w:val="24"/>
          <w:lang w:val="en-US"/>
        </w:rPr>
        <w:t>(</w:t>
      </w:r>
      <w:r w:rsidRPr="00430E68">
        <w:rPr>
          <w:rFonts w:ascii="Times New Roman" w:hAnsi="Times New Roman" w:cs="Times New Roman"/>
          <w:sz w:val="24"/>
          <w:szCs w:val="24"/>
          <w:lang w:val="en-US"/>
        </w:rPr>
        <w:t xml:space="preserve">a) and rats </w:t>
      </w:r>
      <w:r w:rsidRPr="000F0806">
        <w:rPr>
          <w:rFonts w:ascii="Times New Roman" w:hAnsi="Times New Roman" w:cs="Times New Roman"/>
          <w:sz w:val="24"/>
          <w:szCs w:val="24"/>
          <w:lang w:val="en-US"/>
        </w:rPr>
        <w:t>(</w:t>
      </w:r>
      <w:r w:rsidRPr="00430E68">
        <w:rPr>
          <w:rFonts w:ascii="Times New Roman" w:hAnsi="Times New Roman" w:cs="Times New Roman"/>
          <w:sz w:val="24"/>
          <w:szCs w:val="24"/>
          <w:lang w:val="en-US"/>
        </w:rPr>
        <w:t>b).</w:t>
      </w:r>
      <w:r w:rsidRPr="00420B5D">
        <w:rPr>
          <w:rFonts w:ascii="Times New Roman" w:hAnsi="Times New Roman" w:cs="Times New Roman"/>
          <w:sz w:val="24"/>
          <w:szCs w:val="24"/>
          <w:lang w:val="en-US"/>
        </w:rPr>
        <w:t>Measured plasma concentrations with 15 and 30 mg/kg doses</w:t>
      </w:r>
      <w:r>
        <w:rPr>
          <w:rFonts w:ascii="Times New Roman" w:hAnsi="Times New Roman" w:cs="Times New Roman"/>
          <w:sz w:val="24"/>
          <w:szCs w:val="24"/>
          <w:lang w:val="en-US"/>
        </w:rPr>
        <w:t xml:space="preserve"> (Javadi-Paydar et al., 2019; Zieba et al., 2019)</w:t>
      </w:r>
      <w:r w:rsidRPr="00420B5D">
        <w:rPr>
          <w:rFonts w:ascii="Times New Roman" w:hAnsi="Times New Roman" w:cs="Times New Roman"/>
          <w:sz w:val="24"/>
          <w:szCs w:val="24"/>
          <w:lang w:val="en-US"/>
        </w:rPr>
        <w:t xml:space="preserve"> are approximations of true Cmax</w:t>
      </w:r>
      <w:r>
        <w:rPr>
          <w:rFonts w:ascii="Times New Roman" w:hAnsi="Times New Roman" w:cs="Times New Roman"/>
          <w:sz w:val="24"/>
          <w:szCs w:val="24"/>
          <w:lang w:val="en-US"/>
        </w:rPr>
        <w:t>, too little measurements were taken to identify the peak concentration</w:t>
      </w:r>
      <w:r w:rsidRPr="00420B5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69FCC8CA" w14:textId="77777777" w:rsidR="00CC6FA6" w:rsidRPr="006218C8" w:rsidRDefault="00CC6FA6" w:rsidP="00CC6FA6">
      <w:pPr>
        <w:spacing w:line="480" w:lineRule="auto"/>
        <w:rPr>
          <w:rFonts w:ascii="Times New Roman" w:hAnsi="Times New Roman" w:cs="Times New Roman"/>
          <w:sz w:val="24"/>
          <w:szCs w:val="24"/>
          <w:lang w:val="en-US"/>
        </w:rPr>
      </w:pPr>
      <w:r w:rsidRPr="00677D85">
        <w:rPr>
          <w:rFonts w:ascii="Times New Roman" w:hAnsi="Times New Roman" w:cs="Times New Roman"/>
          <w:sz w:val="24"/>
          <w:szCs w:val="24"/>
          <w:lang w:val="en-US"/>
        </w:rPr>
        <w:t xml:space="preserve">Two rodent </w:t>
      </w:r>
      <w:r w:rsidRPr="00E60AFD">
        <w:rPr>
          <w:rFonts w:ascii="Times New Roman" w:hAnsi="Times New Roman" w:cs="Times New Roman"/>
          <w:sz w:val="24"/>
          <w:szCs w:val="24"/>
          <w:lang w:val="en-US"/>
        </w:rPr>
        <w:t>articles had pharmacodynamic–pharmacokinetic objectives</w:t>
      </w:r>
      <w:r>
        <w:rPr>
          <w:rFonts w:ascii="Times New Roman" w:hAnsi="Times New Roman" w:cs="Times New Roman"/>
          <w:sz w:val="24"/>
          <w:szCs w:val="24"/>
          <w:lang w:val="en-US"/>
        </w:rPr>
        <w:t>:</w:t>
      </w:r>
      <w:r w:rsidRPr="00E60AFD">
        <w:rPr>
          <w:rFonts w:ascii="Times New Roman" w:hAnsi="Times New Roman" w:cs="Times New Roman"/>
          <w:sz w:val="24"/>
          <w:szCs w:val="24"/>
          <w:lang w:val="en-US"/>
        </w:rPr>
        <w:t xml:space="preserve"> </w:t>
      </w:r>
      <w:r>
        <w:rPr>
          <w:rFonts w:ascii="Times New Roman" w:hAnsi="Times New Roman" w:cs="Times New Roman"/>
          <w:sz w:val="24"/>
          <w:szCs w:val="24"/>
          <w:lang w:val="en-US"/>
        </w:rPr>
        <w:t>One article with p</w:t>
      </w:r>
      <w:r w:rsidRPr="00E60AFD">
        <w:rPr>
          <w:rFonts w:ascii="Times New Roman" w:hAnsi="Times New Roman" w:cs="Times New Roman"/>
          <w:sz w:val="24"/>
          <w:szCs w:val="24"/>
          <w:lang w:val="en-US"/>
        </w:rPr>
        <w:t xml:space="preserve">.o. </w:t>
      </w:r>
      <w:r>
        <w:rPr>
          <w:rFonts w:ascii="Times New Roman" w:hAnsi="Times New Roman" w:cs="Times New Roman"/>
          <w:sz w:val="24"/>
          <w:szCs w:val="24"/>
          <w:lang w:val="en-US"/>
        </w:rPr>
        <w:t xml:space="preserve">administration </w:t>
      </w:r>
      <w:r w:rsidRPr="00E60AFD">
        <w:rPr>
          <w:rFonts w:ascii="Times New Roman" w:hAnsi="Times New Roman" w:cs="Times New Roman"/>
          <w:sz w:val="24"/>
          <w:szCs w:val="24"/>
          <w:lang w:val="en-US"/>
        </w:rPr>
        <w:t>in mice</w:t>
      </w:r>
      <w:r>
        <w:rPr>
          <w:rFonts w:ascii="Times New Roman" w:hAnsi="Times New Roman" w:cs="Times New Roman"/>
          <w:sz w:val="24"/>
          <w:szCs w:val="24"/>
          <w:lang w:val="en-US"/>
        </w:rPr>
        <w:t xml:space="preserve"> (Deiana et al., 2012)</w:t>
      </w:r>
      <w:r w:rsidRPr="00CE7D0F">
        <w:rPr>
          <w:rFonts w:ascii="Times New Roman" w:hAnsi="Times New Roman" w:cs="Times New Roman"/>
          <w:sz w:val="24"/>
          <w:szCs w:val="24"/>
          <w:lang w:val="en-US"/>
        </w:rPr>
        <w:t>;</w:t>
      </w:r>
      <w:r>
        <w:rPr>
          <w:rFonts w:ascii="Times New Roman" w:hAnsi="Times New Roman" w:cs="Times New Roman"/>
          <w:sz w:val="24"/>
          <w:szCs w:val="24"/>
          <w:lang w:val="en-US"/>
        </w:rPr>
        <w:t xml:space="preserve"> and</w:t>
      </w:r>
      <w:r w:rsidRPr="00CE7D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one with </w:t>
      </w:r>
      <w:r w:rsidRPr="00CE7D0F">
        <w:rPr>
          <w:rFonts w:ascii="Times New Roman" w:hAnsi="Times New Roman" w:cs="Times New Roman"/>
          <w:sz w:val="24"/>
          <w:szCs w:val="24"/>
          <w:lang w:val="en-US"/>
        </w:rPr>
        <w:t>p.o.</w:t>
      </w:r>
      <w:r>
        <w:rPr>
          <w:rFonts w:ascii="Times New Roman" w:hAnsi="Times New Roman" w:cs="Times New Roman"/>
          <w:sz w:val="24"/>
          <w:szCs w:val="24"/>
          <w:lang w:val="en-US"/>
        </w:rPr>
        <w:t xml:space="preserve"> and</w:t>
      </w:r>
      <w:r w:rsidRPr="00CE7D0F">
        <w:rPr>
          <w:rFonts w:ascii="Times New Roman" w:hAnsi="Times New Roman" w:cs="Times New Roman"/>
          <w:sz w:val="24"/>
          <w:szCs w:val="24"/>
          <w:lang w:val="en-US"/>
        </w:rPr>
        <w:t xml:space="preserve"> subcutaneous</w:t>
      </w:r>
      <w:r>
        <w:rPr>
          <w:rFonts w:ascii="Times New Roman" w:hAnsi="Times New Roman" w:cs="Times New Roman"/>
          <w:sz w:val="24"/>
          <w:szCs w:val="24"/>
          <w:lang w:val="en-US"/>
        </w:rPr>
        <w:t xml:space="preserve"> </w:t>
      </w:r>
      <w:r w:rsidRPr="007905B0">
        <w:rPr>
          <w:rFonts w:ascii="Times New Roman" w:hAnsi="Times New Roman" w:cs="Times New Roman"/>
          <w:sz w:val="24"/>
          <w:szCs w:val="24"/>
          <w:lang w:val="en-US"/>
        </w:rPr>
        <w:t>administration in rats</w:t>
      </w:r>
      <w:r>
        <w:rPr>
          <w:rFonts w:ascii="Times New Roman" w:hAnsi="Times New Roman" w:cs="Times New Roman"/>
          <w:sz w:val="24"/>
          <w:szCs w:val="24"/>
          <w:lang w:val="en-US"/>
        </w:rPr>
        <w:t xml:space="preserve"> (</w:t>
      </w:r>
      <w:r w:rsidRPr="008F6D1D">
        <w:rPr>
          <w:rFonts w:ascii="Times New Roman" w:hAnsi="Times New Roman" w:cs="Times New Roman"/>
          <w:sz w:val="24"/>
          <w:szCs w:val="24"/>
        </w:rPr>
        <w:t>Hložek</w:t>
      </w:r>
      <w:r>
        <w:rPr>
          <w:rFonts w:ascii="Times New Roman" w:hAnsi="Times New Roman" w:cs="Times New Roman"/>
          <w:sz w:val="24"/>
          <w:szCs w:val="24"/>
        </w:rPr>
        <w:t xml:space="preserve"> et al., 2017</w:t>
      </w:r>
      <w:r w:rsidRPr="007905B0">
        <w:rPr>
          <w:rFonts w:ascii="Times New Roman" w:hAnsi="Times New Roman" w:cs="Times New Roman"/>
          <w:sz w:val="24"/>
          <w:szCs w:val="24"/>
          <w:lang w:val="en-US"/>
        </w:rPr>
        <w:t xml:space="preserve">). </w:t>
      </w:r>
      <w:r>
        <w:rPr>
          <w:rFonts w:ascii="Times New Roman" w:hAnsi="Times New Roman" w:cs="Times New Roman"/>
          <w:sz w:val="24"/>
          <w:szCs w:val="24"/>
          <w:lang w:val="en-US"/>
        </w:rPr>
        <w:t>In the rat study, animals from the behavioural tests were reused for plasma level measurements more than 1 h after drug administration (</w:t>
      </w:r>
      <w:r w:rsidRPr="008F6D1D">
        <w:rPr>
          <w:rFonts w:ascii="Times New Roman" w:hAnsi="Times New Roman" w:cs="Times New Roman"/>
          <w:sz w:val="24"/>
          <w:szCs w:val="24"/>
        </w:rPr>
        <w:t>Hložek</w:t>
      </w:r>
      <w:r>
        <w:rPr>
          <w:rFonts w:ascii="Times New Roman" w:hAnsi="Times New Roman" w:cs="Times New Roman"/>
          <w:sz w:val="24"/>
          <w:szCs w:val="24"/>
        </w:rPr>
        <w:t xml:space="preserve"> et al., 2017</w:t>
      </w:r>
      <w:r>
        <w:rPr>
          <w:rFonts w:ascii="Times New Roman" w:hAnsi="Times New Roman" w:cs="Times New Roman"/>
          <w:sz w:val="24"/>
          <w:szCs w:val="24"/>
          <w:lang w:val="en-US"/>
        </w:rPr>
        <w:t>).</w:t>
      </w:r>
      <w:r w:rsidRPr="00E60AFD">
        <w:rPr>
          <w:rFonts w:ascii="Times New Roman" w:hAnsi="Times New Roman" w:cs="Times New Roman"/>
          <w:sz w:val="24"/>
          <w:szCs w:val="24"/>
          <w:lang w:val="en-US"/>
        </w:rPr>
        <w:t xml:space="preserve">We used linear intra- or extrapolation for other studies with p.o. administration in </w:t>
      </w:r>
      <w:r>
        <w:rPr>
          <w:rFonts w:ascii="Times New Roman" w:hAnsi="Times New Roman" w:cs="Times New Roman"/>
          <w:sz w:val="24"/>
          <w:szCs w:val="24"/>
          <w:lang w:val="en-US"/>
        </w:rPr>
        <w:t xml:space="preserve">mice and </w:t>
      </w:r>
      <w:r w:rsidRPr="00E60AFD">
        <w:rPr>
          <w:rFonts w:ascii="Times New Roman" w:hAnsi="Times New Roman" w:cs="Times New Roman"/>
          <w:sz w:val="24"/>
          <w:szCs w:val="24"/>
          <w:lang w:val="en-US"/>
        </w:rPr>
        <w:t xml:space="preserve">rats (see </w:t>
      </w:r>
      <w:r>
        <w:rPr>
          <w:rFonts w:ascii="Times New Roman" w:hAnsi="Times New Roman" w:cs="Times New Roman"/>
          <w:sz w:val="24"/>
          <w:szCs w:val="24"/>
          <w:lang w:val="en-US"/>
        </w:rPr>
        <w:t xml:space="preserve">Supplemental </w:t>
      </w:r>
      <w:r w:rsidRPr="00E60AFD">
        <w:rPr>
          <w:rFonts w:ascii="Times New Roman" w:hAnsi="Times New Roman" w:cs="Times New Roman"/>
          <w:sz w:val="24"/>
          <w:szCs w:val="24"/>
          <w:lang w:val="en-US"/>
        </w:rPr>
        <w:t xml:space="preserve">Figure </w:t>
      </w:r>
      <w:r>
        <w:rPr>
          <w:rFonts w:ascii="Times New Roman" w:hAnsi="Times New Roman" w:cs="Times New Roman"/>
          <w:sz w:val="24"/>
          <w:szCs w:val="24"/>
          <w:lang w:val="en-US"/>
        </w:rPr>
        <w:t>3a and 4b</w:t>
      </w:r>
      <w:r w:rsidRPr="00E60AFD">
        <w:rPr>
          <w:rFonts w:ascii="Times New Roman" w:hAnsi="Times New Roman" w:cs="Times New Roman"/>
          <w:sz w:val="24"/>
          <w:szCs w:val="24"/>
          <w:lang w:val="en-US"/>
        </w:rPr>
        <w:t xml:space="preserve">). </w:t>
      </w:r>
      <w:r>
        <w:rPr>
          <w:rFonts w:ascii="Times New Roman" w:hAnsi="Times New Roman" w:cs="Times New Roman"/>
          <w:sz w:val="24"/>
          <w:szCs w:val="24"/>
          <w:lang w:val="en-US"/>
        </w:rPr>
        <w:t>As in mice, t</w:t>
      </w:r>
      <w:r w:rsidRPr="00E60AFD">
        <w:rPr>
          <w:rFonts w:ascii="Times New Roman" w:hAnsi="Times New Roman" w:cs="Times New Roman"/>
          <w:sz w:val="24"/>
          <w:szCs w:val="24"/>
          <w:lang w:val="en-US"/>
        </w:rPr>
        <w:t xml:space="preserve">he dose vs. approximated maximum plasma concentration relationship </w:t>
      </w:r>
      <w:r>
        <w:rPr>
          <w:rFonts w:ascii="Times New Roman" w:hAnsi="Times New Roman" w:cs="Times New Roman"/>
          <w:sz w:val="24"/>
          <w:szCs w:val="24"/>
          <w:lang w:val="en-US"/>
        </w:rPr>
        <w:t xml:space="preserve">in rats </w:t>
      </w:r>
      <w:r w:rsidRPr="00E60AFD">
        <w:rPr>
          <w:rFonts w:ascii="Times New Roman" w:hAnsi="Times New Roman" w:cs="Times New Roman"/>
          <w:sz w:val="24"/>
          <w:szCs w:val="24"/>
          <w:lang w:val="en-US"/>
        </w:rPr>
        <w:t>was best described with a linear function</w:t>
      </w:r>
      <w:r>
        <w:rPr>
          <w:rFonts w:ascii="Times New Roman" w:hAnsi="Times New Roman" w:cs="Times New Roman"/>
          <w:sz w:val="24"/>
          <w:szCs w:val="24"/>
          <w:lang w:val="en-US"/>
        </w:rPr>
        <w:t xml:space="preserve"> (R</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.64)</w:t>
      </w:r>
      <w:r w:rsidRPr="005B222F">
        <w:rPr>
          <w:rFonts w:ascii="Times New Roman" w:hAnsi="Times New Roman" w:cs="Times New Roman"/>
          <w:sz w:val="24"/>
          <w:szCs w:val="24"/>
          <w:lang w:val="en-US"/>
        </w:rPr>
        <w:t xml:space="preserve">; an exponential function did not increase explained variance </w:t>
      </w:r>
      <w:r w:rsidRPr="00AC1748">
        <w:rPr>
          <w:rFonts w:ascii="Times New Roman" w:hAnsi="Times New Roman" w:cs="Times New Roman"/>
          <w:sz w:val="24"/>
          <w:szCs w:val="24"/>
          <w:lang w:val="en-US"/>
        </w:rPr>
        <w:t>(R</w:t>
      </w:r>
      <w:r w:rsidRPr="00AC1748">
        <w:rPr>
          <w:rFonts w:ascii="Times New Roman" w:hAnsi="Times New Roman" w:cs="Times New Roman"/>
          <w:sz w:val="24"/>
          <w:szCs w:val="24"/>
          <w:vertAlign w:val="superscript"/>
          <w:lang w:val="en-US"/>
        </w:rPr>
        <w:t xml:space="preserve">2 </w:t>
      </w:r>
      <w:r w:rsidRPr="00AC1748">
        <w:rPr>
          <w:rFonts w:ascii="Times New Roman" w:hAnsi="Times New Roman" w:cs="Times New Roman"/>
          <w:sz w:val="24"/>
          <w:szCs w:val="24"/>
          <w:lang w:val="en-US"/>
        </w:rPr>
        <w:t>=</w:t>
      </w:r>
      <w:r>
        <w:rPr>
          <w:rFonts w:ascii="Times New Roman" w:hAnsi="Times New Roman" w:cs="Times New Roman"/>
          <w:sz w:val="24"/>
          <w:szCs w:val="24"/>
          <w:lang w:val="en-US"/>
        </w:rPr>
        <w:t xml:space="preserve"> .49</w:t>
      </w:r>
      <w:r w:rsidRPr="00AC1748">
        <w:rPr>
          <w:rFonts w:ascii="Times New Roman" w:hAnsi="Times New Roman" w:cs="Times New Roman"/>
          <w:sz w:val="24"/>
          <w:szCs w:val="24"/>
          <w:lang w:val="en-US"/>
        </w:rPr>
        <w:t xml:space="preserve">). </w:t>
      </w:r>
    </w:p>
    <w:p w14:paraId="21AFD589" w14:textId="77777777" w:rsidR="00CC6FA6" w:rsidRDefault="00CC6FA6" w:rsidP="00CC6FA6">
      <w:pPr>
        <w:spacing w:line="480" w:lineRule="auto"/>
        <w:rPr>
          <w:rFonts w:ascii="Times New Roman" w:hAnsi="Times New Roman" w:cs="Times New Roman"/>
          <w:i/>
          <w:iCs/>
          <w:sz w:val="24"/>
          <w:szCs w:val="24"/>
          <w:lang w:val="en-US"/>
        </w:rPr>
      </w:pPr>
      <w:r w:rsidRPr="00E60AFD">
        <w:rPr>
          <w:rFonts w:ascii="Times New Roman" w:hAnsi="Times New Roman" w:cs="Times New Roman"/>
          <w:i/>
          <w:iCs/>
          <w:sz w:val="24"/>
          <w:szCs w:val="24"/>
          <w:lang w:val="en-US"/>
        </w:rPr>
        <w:t>a</w:t>
      </w:r>
      <w:r>
        <w:rPr>
          <w:rFonts w:ascii="Times New Roman" w:hAnsi="Times New Roman" w:cs="Times New Roman"/>
          <w:i/>
          <w:iCs/>
          <w:sz w:val="24"/>
          <w:szCs w:val="24"/>
          <w:lang w:val="en-US"/>
        </w:rPr>
        <w:t>)</w:t>
      </w:r>
    </w:p>
    <w:p w14:paraId="719FAEAD" w14:textId="77777777" w:rsidR="00CC6FA6" w:rsidRDefault="00CC6FA6" w:rsidP="00CC6FA6">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Pr>
          <w:noProof/>
        </w:rPr>
        <w:drawing>
          <wp:inline distT="0" distB="0" distL="0" distR="0" wp14:anchorId="545AB015" wp14:editId="3621FA2F">
            <wp:extent cx="4556539" cy="2741912"/>
            <wp:effectExtent l="0" t="0" r="0" b="1905"/>
            <wp:docPr id="11" name="Chart 11">
              <a:extLst xmlns:a="http://schemas.openxmlformats.org/drawingml/2006/main">
                <a:ext uri="{FF2B5EF4-FFF2-40B4-BE49-F238E27FC236}">
                  <a16:creationId xmlns:a16="http://schemas.microsoft.com/office/drawing/2014/main" id="{A6E99D76-AB03-4080-B910-C80E99EB86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FD0EBF" w14:textId="77777777" w:rsidR="00CC6FA6" w:rsidRDefault="00CC6FA6" w:rsidP="00CC6FA6">
      <w:pPr>
        <w:spacing w:line="480" w:lineRule="auto"/>
        <w:rPr>
          <w:rFonts w:ascii="Times New Roman" w:hAnsi="Times New Roman" w:cs="Times New Roman"/>
          <w:i/>
          <w:iCs/>
          <w:sz w:val="24"/>
          <w:szCs w:val="24"/>
          <w:lang w:val="en-US"/>
        </w:rPr>
      </w:pPr>
    </w:p>
    <w:p w14:paraId="282B7E72" w14:textId="77777777" w:rsidR="00CC6FA6" w:rsidRPr="00A501F2" w:rsidRDefault="00CC6FA6" w:rsidP="00CC6FA6">
      <w:pPr>
        <w:spacing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b)</w:t>
      </w:r>
    </w:p>
    <w:p w14:paraId="279E92B7" w14:textId="77777777" w:rsidR="00CC6FA6" w:rsidRDefault="00CC6FA6" w:rsidP="00CC6FA6">
      <w:pPr>
        <w:spacing w:line="480" w:lineRule="auto"/>
        <w:rPr>
          <w:noProof/>
        </w:rPr>
      </w:pPr>
      <w:r w:rsidRPr="00AC1748">
        <w:rPr>
          <w:noProof/>
        </w:rPr>
        <w:t xml:space="preserve"> </w:t>
      </w:r>
      <w:r>
        <w:rPr>
          <w:noProof/>
        </w:rPr>
        <w:drawing>
          <wp:inline distT="0" distB="0" distL="0" distR="0" wp14:anchorId="5087ADC5" wp14:editId="00225076">
            <wp:extent cx="4572000" cy="2743200"/>
            <wp:effectExtent l="0" t="0" r="0" b="0"/>
            <wp:docPr id="55" name="Chart 55">
              <a:extLst xmlns:a="http://schemas.openxmlformats.org/drawingml/2006/main">
                <a:ext uri="{FF2B5EF4-FFF2-40B4-BE49-F238E27FC236}">
                  <a16:creationId xmlns:a16="http://schemas.microsoft.com/office/drawing/2014/main" id="{268A6A8A-F2CB-4595-B6EF-BE3940D8D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6F2BE8" w14:textId="77777777" w:rsidR="00CC6FA6" w:rsidRPr="005110BF" w:rsidRDefault="00CC6FA6" w:rsidP="00CC6FA6">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Supplemental </w:t>
      </w:r>
      <w:r w:rsidRPr="005B222F">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 xml:space="preserve">3. </w:t>
      </w:r>
      <w:r w:rsidRPr="00430E68">
        <w:rPr>
          <w:rFonts w:ascii="Times New Roman" w:hAnsi="Times New Roman" w:cs="Times New Roman"/>
          <w:sz w:val="24"/>
          <w:szCs w:val="24"/>
          <w:lang w:val="en-US"/>
        </w:rPr>
        <w:t xml:space="preserve">Maximum plasma concentrations plotted against single oral CBD dose in mice </w:t>
      </w:r>
      <w:r>
        <w:rPr>
          <w:rFonts w:ascii="Times New Roman" w:hAnsi="Times New Roman" w:cs="Times New Roman"/>
          <w:sz w:val="24"/>
          <w:szCs w:val="24"/>
          <w:lang w:val="en-US"/>
        </w:rPr>
        <w:t>(</w:t>
      </w:r>
      <w:r w:rsidRPr="00430E68">
        <w:rPr>
          <w:rFonts w:ascii="Times New Roman" w:hAnsi="Times New Roman" w:cs="Times New Roman"/>
          <w:b/>
          <w:bCs/>
          <w:sz w:val="24"/>
          <w:szCs w:val="24"/>
          <w:lang w:val="en-US"/>
        </w:rPr>
        <w:t>a)</w:t>
      </w:r>
      <w:r w:rsidRPr="00430E68">
        <w:rPr>
          <w:rFonts w:ascii="Times New Roman" w:hAnsi="Times New Roman" w:cs="Times New Roman"/>
          <w:sz w:val="24"/>
          <w:szCs w:val="24"/>
          <w:lang w:val="en-US"/>
        </w:rPr>
        <w:t xml:space="preserve"> and rats </w:t>
      </w:r>
      <w:r>
        <w:rPr>
          <w:rFonts w:ascii="Times New Roman" w:hAnsi="Times New Roman" w:cs="Times New Roman"/>
          <w:sz w:val="24"/>
          <w:szCs w:val="24"/>
          <w:lang w:val="en-US"/>
        </w:rPr>
        <w:t>(</w:t>
      </w:r>
      <w:r w:rsidRPr="00430E68">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w:t>
      </w:r>
    </w:p>
    <w:p w14:paraId="08F42A51" w14:textId="77777777" w:rsidR="00CC6FA6" w:rsidRDefault="00CC6FA6" w:rsidP="00CC6FA6">
      <w:pPr>
        <w:spacing w:line="480" w:lineRule="auto"/>
        <w:rPr>
          <w:rFonts w:ascii="Times New Roman" w:hAnsi="Times New Roman" w:cs="Times New Roman"/>
          <w:sz w:val="24"/>
          <w:szCs w:val="24"/>
          <w:lang w:val="en-US"/>
        </w:rPr>
      </w:pPr>
    </w:p>
    <w:p w14:paraId="1A082066" w14:textId="77777777" w:rsidR="00CC6FA6" w:rsidRPr="00430E68" w:rsidRDefault="00CC6FA6" w:rsidP="00CC6FA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Estimations of AUC after i.p. and oral administration in mice, and after i.p. administration in rats were based on PK data of Deiana et al. (2012), by taking fractions of their reported AUC values. Data on total systemic exposure from more than one article was available for oral administration in rats. We used linear interpolation to estimate missing AUC for this administration route and species. </w:t>
      </w:r>
      <w:r w:rsidRPr="00E60AFD">
        <w:rPr>
          <w:rFonts w:ascii="Times New Roman" w:hAnsi="Times New Roman" w:cs="Times New Roman"/>
          <w:sz w:val="24"/>
          <w:szCs w:val="24"/>
          <w:lang w:val="en-US"/>
        </w:rPr>
        <w:t>E</w:t>
      </w:r>
      <w:r>
        <w:rPr>
          <w:rFonts w:ascii="Times New Roman" w:hAnsi="Times New Roman" w:cs="Times New Roman"/>
          <w:sz w:val="24"/>
          <w:szCs w:val="24"/>
          <w:lang w:val="en-US"/>
        </w:rPr>
        <w:t>xtrapolation of AUC for a 10</w:t>
      </w:r>
      <w:r w:rsidRPr="00E60AFD">
        <w:rPr>
          <w:rFonts w:ascii="Times New Roman" w:hAnsi="Times New Roman" w:cs="Times New Roman"/>
          <w:sz w:val="24"/>
          <w:szCs w:val="24"/>
          <w:lang w:val="en-US"/>
        </w:rPr>
        <w:t xml:space="preserve"> mg/kg </w:t>
      </w:r>
      <w:r>
        <w:rPr>
          <w:rFonts w:ascii="Times New Roman" w:hAnsi="Times New Roman" w:cs="Times New Roman"/>
          <w:sz w:val="24"/>
          <w:szCs w:val="24"/>
          <w:lang w:val="en-US"/>
        </w:rPr>
        <w:t>oral dose in rats (</w:t>
      </w:r>
      <w:r w:rsidRPr="008F6D1D">
        <w:rPr>
          <w:rFonts w:ascii="Times New Roman" w:hAnsi="Times New Roman" w:cs="Times New Roman"/>
          <w:sz w:val="24"/>
          <w:szCs w:val="24"/>
        </w:rPr>
        <w:t>Hložek</w:t>
      </w:r>
      <w:r>
        <w:rPr>
          <w:rFonts w:ascii="Times New Roman" w:hAnsi="Times New Roman" w:cs="Times New Roman"/>
          <w:sz w:val="24"/>
          <w:szCs w:val="24"/>
        </w:rPr>
        <w:t xml:space="preserve"> et al., 2017) </w:t>
      </w:r>
      <w:r>
        <w:rPr>
          <w:rFonts w:ascii="Times New Roman" w:hAnsi="Times New Roman" w:cs="Times New Roman"/>
          <w:sz w:val="24"/>
          <w:szCs w:val="24"/>
          <w:lang w:val="en-US"/>
        </w:rPr>
        <w:t>yielded a negative value</w:t>
      </w:r>
      <w:r w:rsidRPr="00E60AFD">
        <w:rPr>
          <w:rFonts w:ascii="Times New Roman" w:hAnsi="Times New Roman" w:cs="Times New Roman"/>
          <w:sz w:val="24"/>
          <w:szCs w:val="24"/>
          <w:lang w:val="en-US"/>
        </w:rPr>
        <w:t>. We</w:t>
      </w:r>
      <w:r>
        <w:rPr>
          <w:rFonts w:ascii="Times New Roman" w:hAnsi="Times New Roman" w:cs="Times New Roman"/>
          <w:sz w:val="24"/>
          <w:szCs w:val="24"/>
          <w:lang w:val="en-US"/>
        </w:rPr>
        <w:t xml:space="preserve"> therefore</w:t>
      </w:r>
      <w:r w:rsidRPr="00E60AFD">
        <w:rPr>
          <w:rFonts w:ascii="Times New Roman" w:hAnsi="Times New Roman" w:cs="Times New Roman"/>
          <w:sz w:val="24"/>
          <w:szCs w:val="24"/>
          <w:lang w:val="en-US"/>
        </w:rPr>
        <w:t xml:space="preserve"> used </w:t>
      </w:r>
      <w:r>
        <w:rPr>
          <w:rFonts w:ascii="Times New Roman" w:hAnsi="Times New Roman" w:cs="Times New Roman"/>
          <w:sz w:val="24"/>
          <w:szCs w:val="24"/>
          <w:lang w:val="en-US"/>
        </w:rPr>
        <w:t xml:space="preserve">a </w:t>
      </w:r>
      <w:r w:rsidRPr="00E60AFD">
        <w:rPr>
          <w:rFonts w:ascii="Times New Roman" w:hAnsi="Times New Roman" w:cs="Times New Roman"/>
          <w:sz w:val="24"/>
          <w:szCs w:val="24"/>
          <w:lang w:val="en-US"/>
        </w:rPr>
        <w:t xml:space="preserve">fraction of the </w:t>
      </w:r>
      <w:r>
        <w:rPr>
          <w:rFonts w:ascii="Times New Roman" w:hAnsi="Times New Roman" w:cs="Times New Roman"/>
          <w:sz w:val="24"/>
          <w:szCs w:val="24"/>
          <w:lang w:val="en-US"/>
        </w:rPr>
        <w:t xml:space="preserve">averaged </w:t>
      </w:r>
      <w:r w:rsidRPr="00E60AFD">
        <w:rPr>
          <w:rFonts w:ascii="Times New Roman" w:hAnsi="Times New Roman" w:cs="Times New Roman"/>
          <w:sz w:val="24"/>
          <w:szCs w:val="24"/>
          <w:lang w:val="en-US"/>
        </w:rPr>
        <w:t xml:space="preserve">lowest measured </w:t>
      </w:r>
      <w:r>
        <w:rPr>
          <w:rFonts w:ascii="Times New Roman" w:hAnsi="Times New Roman" w:cs="Times New Roman"/>
          <w:sz w:val="24"/>
          <w:szCs w:val="24"/>
          <w:lang w:val="en-US"/>
        </w:rPr>
        <w:t xml:space="preserve">AUCs (Feng et al., 2021; Zgair et al., 2016) </w:t>
      </w:r>
      <w:r w:rsidRPr="00E60AFD">
        <w:rPr>
          <w:rFonts w:ascii="Times New Roman" w:hAnsi="Times New Roman" w:cs="Times New Roman"/>
          <w:sz w:val="24"/>
          <w:szCs w:val="24"/>
          <w:lang w:val="en-US"/>
        </w:rPr>
        <w:t>instead of</w:t>
      </w:r>
      <w:r>
        <w:rPr>
          <w:rFonts w:ascii="Times New Roman" w:hAnsi="Times New Roman" w:cs="Times New Roman"/>
          <w:sz w:val="24"/>
          <w:szCs w:val="24"/>
          <w:lang w:val="en-US"/>
        </w:rPr>
        <w:t xml:space="preserve"> linear</w:t>
      </w:r>
      <w:r w:rsidRPr="00E60AFD">
        <w:rPr>
          <w:rFonts w:ascii="Times New Roman" w:hAnsi="Times New Roman" w:cs="Times New Roman"/>
          <w:sz w:val="24"/>
          <w:szCs w:val="24"/>
          <w:lang w:val="en-US"/>
        </w:rPr>
        <w:t xml:space="preserve"> int</w:t>
      </w:r>
      <w:r>
        <w:rPr>
          <w:rFonts w:ascii="Times New Roman" w:hAnsi="Times New Roman" w:cs="Times New Roman"/>
          <w:sz w:val="24"/>
          <w:szCs w:val="24"/>
          <w:lang w:val="en-US"/>
        </w:rPr>
        <w:t xml:space="preserve">erpolation to </w:t>
      </w:r>
      <w:r w:rsidRPr="00E60AFD">
        <w:rPr>
          <w:rFonts w:ascii="Times New Roman" w:hAnsi="Times New Roman" w:cs="Times New Roman"/>
          <w:sz w:val="24"/>
          <w:szCs w:val="24"/>
          <w:lang w:val="en-US"/>
        </w:rPr>
        <w:t xml:space="preserve">estimate </w:t>
      </w:r>
      <w:r>
        <w:rPr>
          <w:rFonts w:ascii="Times New Roman" w:hAnsi="Times New Roman" w:cs="Times New Roman"/>
          <w:sz w:val="24"/>
          <w:szCs w:val="24"/>
          <w:lang w:val="en-US"/>
        </w:rPr>
        <w:t xml:space="preserve">this </w:t>
      </w:r>
      <w:r w:rsidRPr="00E60AFD">
        <w:rPr>
          <w:rFonts w:ascii="Times New Roman" w:hAnsi="Times New Roman" w:cs="Times New Roman"/>
          <w:sz w:val="24"/>
          <w:szCs w:val="24"/>
          <w:lang w:val="en-US"/>
        </w:rPr>
        <w:t>missing value</w:t>
      </w:r>
      <w:r>
        <w:rPr>
          <w:rFonts w:ascii="Times New Roman" w:hAnsi="Times New Roman" w:cs="Times New Roman"/>
          <w:sz w:val="24"/>
          <w:szCs w:val="24"/>
          <w:lang w:val="en-US"/>
        </w:rPr>
        <w:t xml:space="preserve">. </w:t>
      </w:r>
    </w:p>
    <w:p w14:paraId="44CF9AA8" w14:textId="77777777" w:rsidR="00CC6FA6" w:rsidRDefault="00CC6FA6" w:rsidP="00CC6FA6">
      <w:pPr>
        <w:spacing w:line="480" w:lineRule="auto"/>
        <w:rPr>
          <w:lang w:val="en-US"/>
        </w:rPr>
      </w:pPr>
      <w:r>
        <w:rPr>
          <w:noProof/>
        </w:rPr>
        <w:drawing>
          <wp:inline distT="0" distB="0" distL="0" distR="0" wp14:anchorId="3F7575F1" wp14:editId="183A6570">
            <wp:extent cx="4556540" cy="2741820"/>
            <wp:effectExtent l="0" t="0" r="0" b="1905"/>
            <wp:docPr id="13" name="Chart 13">
              <a:extLst xmlns:a="http://schemas.openxmlformats.org/drawingml/2006/main">
                <a:ext uri="{FF2B5EF4-FFF2-40B4-BE49-F238E27FC236}">
                  <a16:creationId xmlns:a16="http://schemas.microsoft.com/office/drawing/2014/main" id="{7653A827-00F2-4BD5-91CA-AD8C1628D3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6D024F" w14:textId="77777777" w:rsidR="00CC6FA6" w:rsidRPr="005110BF" w:rsidRDefault="00CC6FA6" w:rsidP="00CC6FA6">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Supplemental </w:t>
      </w:r>
      <w:r w:rsidRPr="005B222F">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 xml:space="preserve">4. </w:t>
      </w:r>
      <w:r>
        <w:rPr>
          <w:rFonts w:ascii="Times New Roman" w:hAnsi="Times New Roman" w:cs="Times New Roman"/>
          <w:noProof/>
          <w:sz w:val="24"/>
          <w:szCs w:val="24"/>
          <w:lang w:val="en-US"/>
        </w:rPr>
        <w:t>A</w:t>
      </w:r>
      <w:r w:rsidRPr="00430E68">
        <w:rPr>
          <w:rFonts w:ascii="Times New Roman" w:hAnsi="Times New Roman" w:cs="Times New Roman"/>
          <w:noProof/>
          <w:sz w:val="24"/>
          <w:szCs w:val="24"/>
          <w:lang w:val="en-US"/>
        </w:rPr>
        <w:t xml:space="preserve">rea under the curve plotted against orally administered single CBD dose in </w:t>
      </w:r>
      <w:r>
        <w:rPr>
          <w:rFonts w:ascii="Times New Roman" w:hAnsi="Times New Roman" w:cs="Times New Roman"/>
          <w:noProof/>
          <w:sz w:val="24"/>
          <w:szCs w:val="24"/>
          <w:lang w:val="en-US"/>
        </w:rPr>
        <w:t xml:space="preserve">rats. </w:t>
      </w:r>
    </w:p>
    <w:p w14:paraId="4FFE8463" w14:textId="77777777" w:rsidR="00CC6FA6" w:rsidRDefault="00CC6FA6" w:rsidP="00CC6FA6">
      <w:pPr>
        <w:spacing w:line="480" w:lineRule="auto"/>
        <w:rPr>
          <w:lang w:val="en-US"/>
        </w:rPr>
      </w:pPr>
    </w:p>
    <w:p w14:paraId="7229B52F" w14:textId="77777777" w:rsidR="00CC6FA6" w:rsidRPr="00C1320C" w:rsidRDefault="00CC6FA6" w:rsidP="00CC6FA6">
      <w:pPr>
        <w:spacing w:line="480" w:lineRule="auto"/>
        <w:rPr>
          <w:rFonts w:ascii="Times New Roman" w:hAnsi="Times New Roman" w:cs="Times New Roman"/>
          <w:b/>
          <w:bCs/>
          <w:sz w:val="26"/>
          <w:szCs w:val="26"/>
        </w:rPr>
      </w:pPr>
      <w:r w:rsidRPr="00C1320C">
        <w:rPr>
          <w:rFonts w:ascii="Times New Roman" w:hAnsi="Times New Roman" w:cs="Times New Roman"/>
          <w:b/>
          <w:bCs/>
          <w:sz w:val="26"/>
          <w:szCs w:val="26"/>
          <w:lang w:val="en-US"/>
        </w:rPr>
        <w:t xml:space="preserve">Amendments to </w:t>
      </w:r>
      <w:r>
        <w:rPr>
          <w:rFonts w:ascii="Times New Roman" w:hAnsi="Times New Roman" w:cs="Times New Roman"/>
          <w:b/>
          <w:bCs/>
          <w:sz w:val="26"/>
          <w:szCs w:val="26"/>
        </w:rPr>
        <w:t>the</w:t>
      </w:r>
      <w:r w:rsidRPr="00C1320C">
        <w:rPr>
          <w:rFonts w:ascii="Times New Roman" w:hAnsi="Times New Roman" w:cs="Times New Roman"/>
          <w:b/>
          <w:bCs/>
          <w:sz w:val="26"/>
          <w:szCs w:val="26"/>
        </w:rPr>
        <w:t xml:space="preserve"> information provided in the protocol </w:t>
      </w:r>
    </w:p>
    <w:p w14:paraId="4518C981" w14:textId="77777777" w:rsidR="00CC6FA6" w:rsidRDefault="00CC6FA6" w:rsidP="00CC6FA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AUC was added as a second primary outcome next to Cmax. </w:t>
      </w:r>
    </w:p>
    <w:p w14:paraId="62F73666" w14:textId="77777777" w:rsidR="00CC6FA6" w:rsidRDefault="00CC6FA6" w:rsidP="00CC6FA6">
      <w:pPr>
        <w:spacing w:line="480" w:lineRule="auto"/>
        <w:rPr>
          <w:rFonts w:ascii="Times New Roman" w:hAnsi="Times New Roman" w:cs="Times New Roman"/>
          <w:sz w:val="24"/>
          <w:szCs w:val="24"/>
        </w:rPr>
      </w:pPr>
      <w:r>
        <w:rPr>
          <w:rFonts w:ascii="Times New Roman" w:hAnsi="Times New Roman" w:cs="Times New Roman"/>
          <w:sz w:val="24"/>
          <w:szCs w:val="24"/>
          <w:lang w:val="en-US"/>
        </w:rPr>
        <w:t xml:space="preserve">Assessment of risk of bias for harm-related outcome was </w:t>
      </w:r>
      <w:r w:rsidRPr="00B81DD6">
        <w:rPr>
          <w:rFonts w:ascii="Times New Roman" w:hAnsi="Times New Roman" w:cs="Times New Roman"/>
          <w:sz w:val="24"/>
          <w:szCs w:val="24"/>
        </w:rPr>
        <w:t>based on the CONSORT extension on reporting of HARMS</w:t>
      </w:r>
      <w:r>
        <w:rPr>
          <w:rFonts w:ascii="Times New Roman" w:hAnsi="Times New Roman" w:cs="Times New Roman"/>
          <w:sz w:val="24"/>
          <w:szCs w:val="24"/>
        </w:rPr>
        <w:t xml:space="preserve"> (Ioannidis et al., 2004) rather than </w:t>
      </w:r>
      <w:r w:rsidRPr="00E60AFD">
        <w:rPr>
          <w:rFonts w:ascii="Times New Roman" w:hAnsi="Times New Roman" w:cs="Times New Roman"/>
          <w:sz w:val="24"/>
          <w:szCs w:val="24"/>
        </w:rPr>
        <w:t xml:space="preserve">SYRCLE’s RoB </w:t>
      </w:r>
      <w:r>
        <w:rPr>
          <w:rFonts w:ascii="Times New Roman" w:hAnsi="Times New Roman" w:cs="Times New Roman"/>
          <w:sz w:val="24"/>
          <w:szCs w:val="24"/>
        </w:rPr>
        <w:t>(Hooijmans et al., 2014) or</w:t>
      </w:r>
      <w:r w:rsidRPr="00E60AFD">
        <w:rPr>
          <w:rFonts w:ascii="Times New Roman" w:hAnsi="Times New Roman" w:cs="Times New Roman"/>
          <w:sz w:val="24"/>
          <w:szCs w:val="24"/>
        </w:rPr>
        <w:t xml:space="preserve"> Cochrane RoB 2.0</w:t>
      </w:r>
      <w:r>
        <w:rPr>
          <w:rFonts w:ascii="Times New Roman" w:hAnsi="Times New Roman" w:cs="Times New Roman"/>
          <w:sz w:val="24"/>
          <w:szCs w:val="24"/>
          <w:vertAlign w:val="superscript"/>
        </w:rPr>
        <w:t xml:space="preserve"> </w:t>
      </w:r>
      <w:r>
        <w:rPr>
          <w:rFonts w:ascii="Times New Roman" w:hAnsi="Times New Roman" w:cs="Times New Roman"/>
          <w:sz w:val="24"/>
          <w:szCs w:val="24"/>
        </w:rPr>
        <w:t>(Sterne et al., 2019), because these tools are primarily aimed at efficacy outcomes.</w:t>
      </w:r>
    </w:p>
    <w:p w14:paraId="40EECD68" w14:textId="77777777" w:rsidR="00CC6FA6" w:rsidRPr="00C90AB2" w:rsidRDefault="00CC6FA6" w:rsidP="00CC6FA6">
      <w:pPr>
        <w:spacing w:line="480" w:lineRule="auto"/>
        <w:rPr>
          <w:lang w:val="en-US"/>
        </w:rPr>
      </w:pPr>
    </w:p>
    <w:p w14:paraId="244AED45" w14:textId="77777777" w:rsidR="00CC6FA6" w:rsidRPr="00CF0B15" w:rsidRDefault="00CC6FA6" w:rsidP="00CC6FA6">
      <w:pPr>
        <w:spacing w:line="480" w:lineRule="auto"/>
        <w:rPr>
          <w:rFonts w:ascii="Times New Roman" w:hAnsi="Times New Roman" w:cs="Times New Roman"/>
          <w:b/>
          <w:bCs/>
          <w:lang w:val="es-ES"/>
        </w:rPr>
      </w:pPr>
      <w:r w:rsidRPr="00CF0B15">
        <w:rPr>
          <w:rFonts w:ascii="Times New Roman" w:hAnsi="Times New Roman" w:cs="Times New Roman"/>
          <w:b/>
          <w:bCs/>
          <w:lang w:val="es-ES"/>
        </w:rPr>
        <w:t>References</w:t>
      </w:r>
    </w:p>
    <w:p w14:paraId="697D256A" w14:textId="77777777" w:rsidR="00CC6FA6" w:rsidRPr="00C90AB2" w:rsidRDefault="00CC6FA6" w:rsidP="00CC6FA6">
      <w:pPr>
        <w:spacing w:line="480" w:lineRule="auto"/>
        <w:rPr>
          <w:rFonts w:ascii="Times New Roman" w:eastAsiaTheme="minorEastAsia" w:hAnsi="Times New Roman" w:cs="Times New Roman"/>
          <w:lang w:eastAsia="nl-NL"/>
        </w:rPr>
      </w:pPr>
      <w:r w:rsidRPr="00C90AB2">
        <w:rPr>
          <w:rFonts w:ascii="Times New Roman" w:eastAsiaTheme="minorEastAsia" w:hAnsi="Times New Roman" w:cs="Times New Roman"/>
          <w:lang w:val="es-ES" w:eastAsia="nl-NL"/>
        </w:rPr>
        <w:t xml:space="preserve">Deiana S, Watanabe A, Yamasaki Y, et al. </w:t>
      </w:r>
      <w:r w:rsidRPr="00C90AB2">
        <w:rPr>
          <w:rFonts w:ascii="Times New Roman" w:eastAsiaTheme="minorEastAsia" w:hAnsi="Times New Roman" w:cs="Times New Roman"/>
          <w:lang w:eastAsia="nl-NL"/>
        </w:rPr>
        <w:t>(2012) Plasma and brain pharmacokinetic</w:t>
      </w:r>
      <w:r>
        <w:rPr>
          <w:rFonts w:ascii="Times New Roman" w:eastAsiaTheme="minorEastAsia" w:hAnsi="Times New Roman" w:cs="Times New Roman"/>
          <w:lang w:eastAsia="nl-NL"/>
        </w:rPr>
        <w:t xml:space="preserve"> </w:t>
      </w:r>
      <w:r w:rsidRPr="00C90AB2">
        <w:rPr>
          <w:rFonts w:ascii="Times New Roman" w:eastAsiaTheme="minorEastAsia" w:hAnsi="Times New Roman" w:cs="Times New Roman"/>
          <w:lang w:eastAsia="nl-NL"/>
        </w:rPr>
        <w:t>profile</w:t>
      </w:r>
      <w:r>
        <w:rPr>
          <w:rFonts w:ascii="Times New Roman" w:eastAsiaTheme="minorEastAsia" w:hAnsi="Times New Roman" w:cs="Times New Roman"/>
          <w:lang w:eastAsia="nl-NL"/>
        </w:rPr>
        <w:tab/>
      </w:r>
      <w:r w:rsidRPr="00C90AB2">
        <w:rPr>
          <w:rFonts w:ascii="Times New Roman" w:eastAsiaTheme="minorEastAsia" w:hAnsi="Times New Roman" w:cs="Times New Roman"/>
          <w:lang w:eastAsia="nl-NL"/>
        </w:rPr>
        <w:t>of cannabidiol (CBD), cannabidivarine (CBDV), Δ9-tetrahydrocannabivarin</w:t>
      </w:r>
      <w:r w:rsidRPr="00C90AB2">
        <w:rPr>
          <w:rFonts w:ascii="Times New Roman" w:eastAsiaTheme="minorEastAsia" w:hAnsi="Times New Roman" w:cs="Times New Roman"/>
          <w:lang w:eastAsia="nl-NL"/>
        </w:rPr>
        <w:tab/>
        <w:t>(THCV) and cannabigerol (CBG) in rats and mice following oral and intraperitoneal</w:t>
      </w:r>
      <w:r w:rsidRPr="00C90AB2">
        <w:rPr>
          <w:rFonts w:ascii="Times New Roman" w:eastAsiaTheme="minorEastAsia" w:hAnsi="Times New Roman" w:cs="Times New Roman"/>
          <w:lang w:eastAsia="nl-NL"/>
        </w:rPr>
        <w:tab/>
        <w:t>administration and CBD action on obsessive-compulsive behaviour.</w:t>
      </w:r>
      <w:r w:rsidRPr="00C90AB2">
        <w:rPr>
          <w:rFonts w:ascii="Times New Roman" w:eastAsiaTheme="minorEastAsia" w:hAnsi="Times New Roman" w:cs="Times New Roman"/>
          <w:lang w:eastAsia="nl-NL"/>
        </w:rPr>
        <w:tab/>
      </w:r>
      <w:r w:rsidRPr="00C90AB2">
        <w:rPr>
          <w:rFonts w:ascii="Times New Roman" w:eastAsiaTheme="minorEastAsia" w:hAnsi="Times New Roman" w:cs="Times New Roman"/>
          <w:i/>
          <w:iCs/>
          <w:lang w:eastAsia="nl-NL"/>
        </w:rPr>
        <w:t>Psychopharmacology</w:t>
      </w:r>
      <w:r w:rsidRPr="00C90AB2">
        <w:rPr>
          <w:rFonts w:ascii="Times New Roman" w:eastAsiaTheme="minorEastAsia" w:hAnsi="Times New Roman" w:cs="Times New Roman"/>
          <w:lang w:eastAsia="nl-NL"/>
        </w:rPr>
        <w:t xml:space="preserve"> 219(3): 859-873.</w:t>
      </w:r>
    </w:p>
    <w:p w14:paraId="011139F0" w14:textId="77777777" w:rsidR="00CC6FA6" w:rsidRPr="00C90AB2" w:rsidRDefault="00CC6FA6" w:rsidP="00CC6FA6">
      <w:pPr>
        <w:spacing w:line="480" w:lineRule="auto"/>
        <w:rPr>
          <w:rFonts w:ascii="Times New Roman" w:eastAsiaTheme="minorEastAsia" w:hAnsi="Times New Roman" w:cs="Times New Roman"/>
          <w:lang w:eastAsia="nl-NL"/>
        </w:rPr>
      </w:pPr>
      <w:r w:rsidRPr="00CF0B15">
        <w:rPr>
          <w:rFonts w:ascii="Times New Roman" w:eastAsiaTheme="minorEastAsia" w:hAnsi="Times New Roman" w:cs="Times New Roman"/>
          <w:lang w:val="en-US" w:eastAsia="nl-NL"/>
        </w:rPr>
        <w:t xml:space="preserve">Feng W, Qin C, Chu Y, et al. </w:t>
      </w:r>
      <w:r w:rsidRPr="00C90AB2">
        <w:rPr>
          <w:rFonts w:ascii="Times New Roman" w:eastAsiaTheme="minorEastAsia" w:hAnsi="Times New Roman" w:cs="Times New Roman"/>
          <w:lang w:eastAsia="nl-NL"/>
        </w:rPr>
        <w:t>(2021) Natural sesame oil is superior to pre-digested lipid</w:t>
      </w:r>
      <w:r w:rsidRPr="00C90AB2">
        <w:rPr>
          <w:rFonts w:ascii="Times New Roman" w:eastAsiaTheme="minorEastAsia" w:hAnsi="Times New Roman" w:cs="Times New Roman"/>
          <w:lang w:eastAsia="nl-NL"/>
        </w:rPr>
        <w:tab/>
        <w:t>formulations and purified triglycerides in promoting the intestinal lymphatic transport</w:t>
      </w:r>
      <w:r w:rsidRPr="00C90AB2">
        <w:rPr>
          <w:rFonts w:ascii="Times New Roman" w:eastAsiaTheme="minorEastAsia" w:hAnsi="Times New Roman" w:cs="Times New Roman"/>
          <w:lang w:eastAsia="nl-NL"/>
        </w:rPr>
        <w:tab/>
        <w:t xml:space="preserve">and systemic bioavailability of cannabidiol. </w:t>
      </w:r>
      <w:r w:rsidRPr="00C90AB2">
        <w:rPr>
          <w:rFonts w:ascii="Times New Roman" w:eastAsiaTheme="minorEastAsia" w:hAnsi="Times New Roman" w:cs="Times New Roman"/>
          <w:i/>
          <w:iCs/>
          <w:lang w:eastAsia="nl-NL"/>
        </w:rPr>
        <w:t>European Journal of Pharmaceutics and</w:t>
      </w:r>
      <w:r w:rsidRPr="00C90AB2">
        <w:rPr>
          <w:rFonts w:ascii="Times New Roman" w:eastAsiaTheme="minorEastAsia" w:hAnsi="Times New Roman" w:cs="Times New Roman"/>
          <w:i/>
          <w:iCs/>
          <w:lang w:eastAsia="nl-NL"/>
        </w:rPr>
        <w:tab/>
        <w:t>Biopharmaceutics 162: 43-49.</w:t>
      </w:r>
    </w:p>
    <w:p w14:paraId="0CE86B48" w14:textId="77777777" w:rsidR="00CC6FA6" w:rsidRPr="00C90AB2" w:rsidRDefault="00CC6FA6" w:rsidP="00CC6FA6">
      <w:pPr>
        <w:spacing w:line="480" w:lineRule="auto"/>
        <w:rPr>
          <w:rFonts w:ascii="Times New Roman" w:eastAsiaTheme="minorEastAsia" w:hAnsi="Times New Roman" w:cs="Times New Roman"/>
          <w:lang w:eastAsia="nl-NL"/>
        </w:rPr>
      </w:pPr>
      <w:r w:rsidRPr="00C90AB2">
        <w:rPr>
          <w:rFonts w:ascii="Times New Roman" w:eastAsiaTheme="minorEastAsia" w:hAnsi="Times New Roman" w:cs="Times New Roman"/>
          <w:lang w:eastAsia="nl-NL"/>
        </w:rPr>
        <w:t>Fusar-Poli P, Allen P, Bhattacharyya S, et al. (2010) Modulation of effective connectivity</w:t>
      </w:r>
      <w:r w:rsidRPr="00C90AB2">
        <w:rPr>
          <w:rFonts w:ascii="Times New Roman" w:eastAsiaTheme="minorEastAsia" w:hAnsi="Times New Roman" w:cs="Times New Roman"/>
          <w:lang w:eastAsia="nl-NL"/>
        </w:rPr>
        <w:tab/>
        <w:t>during emotional processing by Δ9-tetrahydrocannabinol and cannabidiol.</w:t>
      </w:r>
      <w:r w:rsidRPr="00C90AB2">
        <w:rPr>
          <w:rFonts w:ascii="Times New Roman" w:eastAsiaTheme="minorEastAsia" w:hAnsi="Times New Roman" w:cs="Times New Roman"/>
          <w:lang w:eastAsia="nl-NL"/>
        </w:rPr>
        <w:tab/>
      </w:r>
      <w:r w:rsidRPr="00C90AB2">
        <w:rPr>
          <w:rFonts w:ascii="Times New Roman" w:eastAsiaTheme="minorEastAsia" w:hAnsi="Times New Roman" w:cs="Times New Roman"/>
          <w:i/>
          <w:iCs/>
          <w:lang w:eastAsia="nl-NL"/>
        </w:rPr>
        <w:t>International Journal of Neuropsychopharmacology</w:t>
      </w:r>
      <w:r w:rsidRPr="00C90AB2">
        <w:rPr>
          <w:rFonts w:ascii="Times New Roman" w:eastAsiaTheme="minorEastAsia" w:hAnsi="Times New Roman" w:cs="Times New Roman"/>
          <w:lang w:eastAsia="nl-NL"/>
        </w:rPr>
        <w:t xml:space="preserve"> 13(4): 421-432.</w:t>
      </w:r>
    </w:p>
    <w:p w14:paraId="4B685A63" w14:textId="77777777" w:rsidR="00CC6FA6" w:rsidRPr="00C90AB2" w:rsidRDefault="00CC6FA6" w:rsidP="00CC6FA6">
      <w:pPr>
        <w:spacing w:line="480" w:lineRule="auto"/>
        <w:rPr>
          <w:rFonts w:ascii="Times New Roman" w:eastAsiaTheme="minorEastAsia" w:hAnsi="Times New Roman" w:cs="Times New Roman"/>
          <w:lang w:eastAsia="nl-NL"/>
        </w:rPr>
      </w:pPr>
      <w:r w:rsidRPr="00CF0B15">
        <w:rPr>
          <w:rFonts w:ascii="Times New Roman" w:eastAsiaTheme="minorEastAsia" w:hAnsi="Times New Roman" w:cs="Times New Roman"/>
          <w:lang w:val="en-US" w:eastAsia="nl-NL"/>
        </w:rPr>
        <w:t xml:space="preserve">Fusar-Poli P, Crippa J, Bhattacharyya S, et al. </w:t>
      </w:r>
      <w:r w:rsidRPr="00C90AB2">
        <w:rPr>
          <w:rFonts w:ascii="Times New Roman" w:eastAsiaTheme="minorEastAsia" w:hAnsi="Times New Roman" w:cs="Times New Roman"/>
          <w:lang w:eastAsia="nl-NL"/>
        </w:rPr>
        <w:t>(2009) Distinct effects of A9</w:t>
      </w:r>
      <w:r w:rsidRPr="00C90AB2">
        <w:rPr>
          <w:rFonts w:ascii="Times New Roman" w:eastAsiaTheme="minorEastAsia" w:hAnsi="Times New Roman" w:cs="Times New Roman"/>
          <w:lang w:eastAsia="nl-NL"/>
        </w:rPr>
        <w:tab/>
        <w:t>Tetrahydrocannabinol and cannabidiol on neural activation during emotional</w:t>
      </w:r>
      <w:r w:rsidRPr="00C90AB2">
        <w:rPr>
          <w:rFonts w:ascii="Times New Roman" w:eastAsiaTheme="minorEastAsia" w:hAnsi="Times New Roman" w:cs="Times New Roman"/>
          <w:lang w:eastAsia="nl-NL"/>
        </w:rPr>
        <w:tab/>
        <w:t xml:space="preserve">processing. </w:t>
      </w:r>
      <w:r w:rsidRPr="00C90AB2">
        <w:rPr>
          <w:rFonts w:ascii="Times New Roman" w:eastAsiaTheme="minorEastAsia" w:hAnsi="Times New Roman" w:cs="Times New Roman"/>
          <w:i/>
          <w:iCs/>
          <w:lang w:eastAsia="nl-NL"/>
        </w:rPr>
        <w:t>Archives of General Psychiatry</w:t>
      </w:r>
      <w:r w:rsidRPr="00C90AB2">
        <w:rPr>
          <w:rFonts w:ascii="Times New Roman" w:eastAsiaTheme="minorEastAsia" w:hAnsi="Times New Roman" w:cs="Times New Roman"/>
          <w:lang w:eastAsia="nl-NL"/>
        </w:rPr>
        <w:t xml:space="preserve"> 66(1): 95-105.</w:t>
      </w:r>
    </w:p>
    <w:p w14:paraId="7D6053E7" w14:textId="77777777" w:rsidR="00CC6FA6" w:rsidRPr="00CF0B15" w:rsidRDefault="00CC6FA6" w:rsidP="00CC6FA6">
      <w:pPr>
        <w:spacing w:line="480" w:lineRule="auto"/>
        <w:rPr>
          <w:rFonts w:ascii="Times New Roman" w:hAnsi="Times New Roman" w:cs="Times New Roman"/>
          <w:lang w:val="en-US"/>
        </w:rPr>
      </w:pPr>
      <w:r w:rsidRPr="00C90AB2">
        <w:rPr>
          <w:rFonts w:ascii="Times New Roman" w:hAnsi="Times New Roman" w:cs="Times New Roman"/>
          <w:lang w:val="en-US"/>
        </w:rPr>
        <w:t xml:space="preserve">Hložek T, Uttl L, Kadeřábek L, et al. </w:t>
      </w:r>
      <w:r w:rsidRPr="00C90AB2">
        <w:rPr>
          <w:rFonts w:ascii="Times New Roman" w:hAnsi="Times New Roman" w:cs="Times New Roman"/>
        </w:rPr>
        <w:t>(2017) Pharmacokinetic and behavioural profile of</w:t>
      </w:r>
      <w:r w:rsidRPr="00C90AB2">
        <w:rPr>
          <w:rFonts w:ascii="Times New Roman" w:hAnsi="Times New Roman" w:cs="Times New Roman"/>
        </w:rPr>
        <w:tab/>
        <w:t>THC,</w:t>
      </w:r>
      <w:r>
        <w:rPr>
          <w:rFonts w:ascii="Times New Roman" w:hAnsi="Times New Roman" w:cs="Times New Roman"/>
        </w:rPr>
        <w:tab/>
      </w:r>
      <w:r w:rsidRPr="00C90AB2">
        <w:rPr>
          <w:rFonts w:ascii="Times New Roman" w:hAnsi="Times New Roman" w:cs="Times New Roman"/>
        </w:rPr>
        <w:t>CBD, and THC+CBD combination AFTER pulmonary, oral, and subcutaneous</w:t>
      </w:r>
      <w:r w:rsidRPr="00C90AB2">
        <w:rPr>
          <w:rFonts w:ascii="Times New Roman" w:hAnsi="Times New Roman" w:cs="Times New Roman"/>
        </w:rPr>
        <w:tab/>
        <w:t>administration in rats and confirmation of conversion in VIVO of CBD to THC.</w:t>
      </w:r>
      <w:r w:rsidRPr="00C90AB2">
        <w:rPr>
          <w:rFonts w:ascii="Times New Roman" w:hAnsi="Times New Roman" w:cs="Times New Roman"/>
        </w:rPr>
        <w:tab/>
      </w:r>
      <w:r w:rsidRPr="00CF0B15">
        <w:rPr>
          <w:rFonts w:ascii="Times New Roman" w:hAnsi="Times New Roman" w:cs="Times New Roman"/>
          <w:i/>
          <w:iCs/>
          <w:lang w:val="en-US"/>
        </w:rPr>
        <w:t>European</w:t>
      </w:r>
      <w:r w:rsidRPr="00CF0B15">
        <w:rPr>
          <w:rFonts w:ascii="Times New Roman" w:hAnsi="Times New Roman" w:cs="Times New Roman"/>
          <w:lang w:val="en-US"/>
        </w:rPr>
        <w:t xml:space="preserve"> </w:t>
      </w:r>
      <w:r w:rsidRPr="00CF0B15">
        <w:rPr>
          <w:rFonts w:ascii="Times New Roman" w:hAnsi="Times New Roman" w:cs="Times New Roman"/>
          <w:i/>
          <w:lang w:val="en-US"/>
        </w:rPr>
        <w:t>Neuropsychopharmacology</w:t>
      </w:r>
      <w:r w:rsidRPr="00CF0B15">
        <w:rPr>
          <w:rFonts w:ascii="Times New Roman" w:hAnsi="Times New Roman" w:cs="Times New Roman"/>
          <w:lang w:val="en-US"/>
        </w:rPr>
        <w:t xml:space="preserve"> 27(12): 1223–1237.</w:t>
      </w:r>
    </w:p>
    <w:p w14:paraId="737FB575" w14:textId="77777777" w:rsidR="00CC6FA6" w:rsidRPr="00C90AB2" w:rsidRDefault="00CC6FA6" w:rsidP="00CC6FA6">
      <w:pPr>
        <w:spacing w:line="480" w:lineRule="auto"/>
        <w:rPr>
          <w:rFonts w:ascii="Times New Roman" w:hAnsi="Times New Roman" w:cs="Times New Roman"/>
        </w:rPr>
      </w:pPr>
      <w:r w:rsidRPr="00CF0B15">
        <w:rPr>
          <w:rFonts w:ascii="Times New Roman" w:hAnsi="Times New Roman" w:cs="Times New Roman"/>
          <w:lang w:val="en-US"/>
        </w:rPr>
        <w:t xml:space="preserve">Hooijmans CR, Rovers MM, de Vries RB, et al. </w:t>
      </w:r>
      <w:r w:rsidRPr="00C90AB2">
        <w:rPr>
          <w:rFonts w:ascii="Times New Roman" w:hAnsi="Times New Roman" w:cs="Times New Roman"/>
        </w:rPr>
        <w:t>(2014) SYRCLE’s risk of bias tool for</w:t>
      </w:r>
      <w:r w:rsidRPr="00C90AB2">
        <w:rPr>
          <w:rFonts w:ascii="Times New Roman" w:hAnsi="Times New Roman" w:cs="Times New Roman"/>
        </w:rPr>
        <w:tab/>
        <w:t>animal</w:t>
      </w:r>
      <w:r w:rsidRPr="00C90AB2">
        <w:rPr>
          <w:rFonts w:ascii="Times New Roman" w:hAnsi="Times New Roman" w:cs="Times New Roman"/>
        </w:rPr>
        <w:tab/>
        <w:t xml:space="preserve">studies. </w:t>
      </w:r>
      <w:r w:rsidRPr="00C90AB2">
        <w:rPr>
          <w:rFonts w:ascii="Times New Roman" w:hAnsi="Times New Roman" w:cs="Times New Roman"/>
          <w:i/>
          <w:iCs/>
        </w:rPr>
        <w:t>BMC Medical Research Methodology</w:t>
      </w:r>
      <w:r w:rsidRPr="00C90AB2">
        <w:rPr>
          <w:rFonts w:ascii="Times New Roman" w:hAnsi="Times New Roman" w:cs="Times New Roman"/>
        </w:rPr>
        <w:t xml:space="preserve"> 14: 14-43.</w:t>
      </w:r>
    </w:p>
    <w:p w14:paraId="0561431E" w14:textId="77777777" w:rsidR="00CC6FA6" w:rsidRPr="00C90AB2" w:rsidRDefault="00CC6FA6" w:rsidP="00CC6FA6">
      <w:pPr>
        <w:spacing w:line="480" w:lineRule="auto"/>
        <w:rPr>
          <w:rFonts w:ascii="Times New Roman" w:hAnsi="Times New Roman" w:cs="Times New Roman"/>
        </w:rPr>
      </w:pPr>
      <w:r w:rsidRPr="00C90AB2">
        <w:rPr>
          <w:rFonts w:ascii="Times New Roman" w:hAnsi="Times New Roman" w:cs="Times New Roman"/>
        </w:rPr>
        <w:t>Ioannidis JPA, Evans SJW, Gøtzsche PC, et al. (2004) Better reporting of harms in</w:t>
      </w:r>
      <w:r w:rsidRPr="00C90AB2">
        <w:rPr>
          <w:rFonts w:ascii="Times New Roman" w:hAnsi="Times New Roman" w:cs="Times New Roman"/>
        </w:rPr>
        <w:tab/>
        <w:t xml:space="preserve">randomized trials: An extension of the CONSORT statement. </w:t>
      </w:r>
      <w:r w:rsidRPr="00C90AB2">
        <w:rPr>
          <w:rFonts w:ascii="Times New Roman" w:hAnsi="Times New Roman" w:cs="Times New Roman"/>
          <w:i/>
          <w:iCs/>
        </w:rPr>
        <w:t>Annals of Internal</w:t>
      </w:r>
      <w:r w:rsidRPr="00C90AB2">
        <w:rPr>
          <w:rFonts w:ascii="Times New Roman" w:hAnsi="Times New Roman" w:cs="Times New Roman"/>
          <w:i/>
          <w:iCs/>
        </w:rPr>
        <w:tab/>
        <w:t xml:space="preserve">Medicine </w:t>
      </w:r>
      <w:r w:rsidRPr="00C90AB2">
        <w:rPr>
          <w:rFonts w:ascii="Times New Roman" w:hAnsi="Times New Roman" w:cs="Times New Roman"/>
        </w:rPr>
        <w:t>141:</w:t>
      </w:r>
      <w:r w:rsidRPr="00C90AB2">
        <w:rPr>
          <w:rFonts w:ascii="Times New Roman" w:hAnsi="Times New Roman" w:cs="Times New Roman"/>
        </w:rPr>
        <w:tab/>
        <w:t>781-788.</w:t>
      </w:r>
    </w:p>
    <w:p w14:paraId="7F5881E1" w14:textId="77777777" w:rsidR="00CC6FA6" w:rsidRPr="00C90AB2" w:rsidRDefault="00CC6FA6" w:rsidP="00CC6FA6">
      <w:pPr>
        <w:spacing w:line="480" w:lineRule="auto"/>
        <w:rPr>
          <w:rFonts w:ascii="Times New Roman" w:eastAsia="Times New Roman" w:hAnsi="Times New Roman" w:cs="Times New Roman"/>
          <w:lang w:eastAsia="nl-NL"/>
        </w:rPr>
      </w:pPr>
      <w:r w:rsidRPr="00C90AB2">
        <w:rPr>
          <w:rFonts w:ascii="Times New Roman" w:eastAsia="Times New Roman" w:hAnsi="Times New Roman" w:cs="Times New Roman"/>
          <w:lang w:eastAsia="nl-NL"/>
        </w:rPr>
        <w:t>Javadi-Paydar M, Creehan KM, Kerr TM, et al. (2019) Vapor inhalation of cannabidiol</w:t>
      </w:r>
      <w:r w:rsidRPr="00C90AB2">
        <w:rPr>
          <w:rFonts w:ascii="Times New Roman" w:eastAsia="Times New Roman" w:hAnsi="Times New Roman" w:cs="Times New Roman"/>
          <w:lang w:eastAsia="nl-NL"/>
        </w:rPr>
        <w:tab/>
        <w:t>(CBD)</w:t>
      </w:r>
      <w:r>
        <w:rPr>
          <w:rFonts w:ascii="Times New Roman" w:eastAsia="Times New Roman" w:hAnsi="Times New Roman" w:cs="Times New Roman"/>
          <w:lang w:eastAsia="nl-NL"/>
        </w:rPr>
        <w:tab/>
      </w:r>
      <w:r w:rsidRPr="00C90AB2">
        <w:rPr>
          <w:rFonts w:ascii="Times New Roman" w:eastAsia="Times New Roman" w:hAnsi="Times New Roman" w:cs="Times New Roman"/>
          <w:lang w:eastAsia="nl-NL"/>
        </w:rPr>
        <w:t xml:space="preserve">in rats. </w:t>
      </w:r>
      <w:r w:rsidRPr="00C90AB2">
        <w:rPr>
          <w:rFonts w:ascii="Times New Roman" w:eastAsia="Times New Roman" w:hAnsi="Times New Roman" w:cs="Times New Roman"/>
          <w:i/>
          <w:lang w:eastAsia="nl-NL"/>
        </w:rPr>
        <w:t>Pharmacology Biochemistry and Behavior</w:t>
      </w:r>
      <w:r w:rsidRPr="00C90AB2">
        <w:rPr>
          <w:rFonts w:ascii="Times New Roman" w:eastAsia="Times New Roman" w:hAnsi="Times New Roman" w:cs="Times New Roman"/>
          <w:lang w:eastAsia="nl-NL"/>
        </w:rPr>
        <w:t xml:space="preserve"> 184: 172741.</w:t>
      </w:r>
    </w:p>
    <w:p w14:paraId="017B867C" w14:textId="77777777" w:rsidR="00CC6FA6" w:rsidRPr="00CF0B15" w:rsidRDefault="00CC6FA6" w:rsidP="00CC6FA6">
      <w:pPr>
        <w:spacing w:line="480" w:lineRule="auto"/>
        <w:rPr>
          <w:rFonts w:ascii="Times New Roman" w:hAnsi="Times New Roman" w:cs="Times New Roman"/>
          <w:lang w:val="nl-NL"/>
        </w:rPr>
      </w:pPr>
      <w:r w:rsidRPr="00CF0B15">
        <w:rPr>
          <w:rFonts w:ascii="Times New Roman" w:hAnsi="Times New Roman" w:cs="Times New Roman"/>
          <w:lang w:val="en-US"/>
        </w:rPr>
        <w:t xml:space="preserve">Sterne JAC, Savović J, Page MJ, et al. </w:t>
      </w:r>
      <w:r w:rsidRPr="00C90AB2">
        <w:rPr>
          <w:rFonts w:ascii="Times New Roman" w:hAnsi="Times New Roman" w:cs="Times New Roman"/>
        </w:rPr>
        <w:t>(2019) RoB 2: a revised tool for assessing risk of</w:t>
      </w:r>
      <w:r w:rsidRPr="00C90AB2">
        <w:rPr>
          <w:rFonts w:ascii="Times New Roman" w:hAnsi="Times New Roman" w:cs="Times New Roman"/>
        </w:rPr>
        <w:tab/>
        <w:t>bias</w:t>
      </w:r>
      <w:r w:rsidRPr="00C90AB2">
        <w:rPr>
          <w:rFonts w:ascii="Times New Roman" w:hAnsi="Times New Roman" w:cs="Times New Roman"/>
        </w:rPr>
        <w:tab/>
        <w:t xml:space="preserve">in randomised trials. </w:t>
      </w:r>
      <w:r w:rsidRPr="00CF0B15">
        <w:rPr>
          <w:rFonts w:ascii="Times New Roman" w:hAnsi="Times New Roman" w:cs="Times New Roman"/>
          <w:i/>
          <w:iCs/>
          <w:lang w:val="nl-NL"/>
        </w:rPr>
        <w:t xml:space="preserve">BMJ </w:t>
      </w:r>
      <w:r w:rsidRPr="00CF0B15">
        <w:rPr>
          <w:rFonts w:ascii="Times New Roman" w:hAnsi="Times New Roman" w:cs="Times New Roman"/>
          <w:lang w:val="nl-NL"/>
        </w:rPr>
        <w:t xml:space="preserve">366: l4898. </w:t>
      </w:r>
    </w:p>
    <w:p w14:paraId="7AE2EC54" w14:textId="77777777" w:rsidR="00CC6FA6" w:rsidRPr="00C90AB2" w:rsidRDefault="00CC6FA6" w:rsidP="00CC6FA6">
      <w:pPr>
        <w:spacing w:line="480" w:lineRule="auto"/>
        <w:rPr>
          <w:rFonts w:ascii="Times New Roman" w:hAnsi="Times New Roman" w:cs="Times New Roman"/>
        </w:rPr>
      </w:pPr>
      <w:r w:rsidRPr="00CF0B15">
        <w:rPr>
          <w:rFonts w:ascii="Times New Roman" w:hAnsi="Times New Roman" w:cs="Times New Roman"/>
          <w:lang w:val="nl-NL"/>
        </w:rPr>
        <w:t xml:space="preserve">Verrico CD,  Wesson S, Konduri V, et al. </w:t>
      </w:r>
      <w:r w:rsidRPr="00C90AB2">
        <w:rPr>
          <w:rFonts w:ascii="Times New Roman" w:hAnsi="Times New Roman" w:cs="Times New Roman"/>
        </w:rPr>
        <w:t>(2020) A randomized, double-blind, placebo</w:t>
      </w:r>
      <w:r w:rsidRPr="00C90AB2">
        <w:rPr>
          <w:rFonts w:ascii="Times New Roman" w:hAnsi="Times New Roman" w:cs="Times New Roman"/>
        </w:rPr>
        <w:tab/>
        <w:t>controlled study of daily cannabidiol for the treatment of canine osteoarthritis pain.</w:t>
      </w:r>
      <w:r w:rsidRPr="00C90AB2">
        <w:rPr>
          <w:rFonts w:ascii="Times New Roman" w:hAnsi="Times New Roman" w:cs="Times New Roman"/>
        </w:rPr>
        <w:tab/>
      </w:r>
      <w:r w:rsidRPr="00C90AB2">
        <w:rPr>
          <w:rFonts w:ascii="Times New Roman" w:hAnsi="Times New Roman" w:cs="Times New Roman"/>
          <w:i/>
          <w:iCs/>
        </w:rPr>
        <w:t>Pain</w:t>
      </w:r>
      <w:r w:rsidRPr="00C90AB2">
        <w:rPr>
          <w:rFonts w:ascii="Times New Roman" w:hAnsi="Times New Roman" w:cs="Times New Roman"/>
        </w:rPr>
        <w:t xml:space="preserve"> 161: 2191–2202.</w:t>
      </w:r>
    </w:p>
    <w:p w14:paraId="6E9155F0" w14:textId="77777777" w:rsidR="00CC6FA6" w:rsidRPr="00C90AB2" w:rsidRDefault="00CC6FA6" w:rsidP="00CC6FA6">
      <w:pPr>
        <w:spacing w:line="480" w:lineRule="auto"/>
        <w:rPr>
          <w:rFonts w:ascii="Times New Roman" w:hAnsi="Times New Roman" w:cs="Times New Roman"/>
          <w:shd w:val="clear" w:color="auto" w:fill="FFFFFF"/>
        </w:rPr>
      </w:pPr>
      <w:r w:rsidRPr="00C90AB2">
        <w:rPr>
          <w:rFonts w:ascii="Times New Roman" w:hAnsi="Times New Roman" w:cs="Times New Roman"/>
          <w:shd w:val="clear" w:color="auto" w:fill="FFFFFF"/>
        </w:rPr>
        <w:t>Zgair A, Wong JC and Lee JB (2016) Dietary fats and pharmaceutical lipid excipients</w:t>
      </w:r>
      <w:r w:rsidRPr="00C90AB2">
        <w:rPr>
          <w:rFonts w:ascii="Times New Roman" w:hAnsi="Times New Roman" w:cs="Times New Roman"/>
          <w:shd w:val="clear" w:color="auto" w:fill="FFFFFF"/>
        </w:rPr>
        <w:tab/>
        <w:t>increase systemic exposure to orally administered cannabis and cannabis-based</w:t>
      </w:r>
      <w:r w:rsidRPr="00C90AB2">
        <w:rPr>
          <w:rFonts w:ascii="Times New Roman" w:hAnsi="Times New Roman" w:cs="Times New Roman"/>
          <w:shd w:val="clear" w:color="auto" w:fill="FFFFFF"/>
        </w:rPr>
        <w:tab/>
        <w:t>medicines. </w:t>
      </w:r>
      <w:r w:rsidRPr="00C90AB2">
        <w:rPr>
          <w:rFonts w:ascii="Times New Roman" w:hAnsi="Times New Roman" w:cs="Times New Roman"/>
          <w:i/>
          <w:iCs/>
          <w:shd w:val="clear" w:color="auto" w:fill="FFFFFF"/>
        </w:rPr>
        <w:t>American journal of translational research</w:t>
      </w:r>
      <w:r w:rsidRPr="00C90AB2">
        <w:rPr>
          <w:rFonts w:ascii="Times New Roman" w:hAnsi="Times New Roman" w:cs="Times New Roman"/>
          <w:shd w:val="clear" w:color="auto" w:fill="FFFFFF"/>
        </w:rPr>
        <w:t> </w:t>
      </w:r>
      <w:r w:rsidRPr="00C90AB2">
        <w:rPr>
          <w:rFonts w:ascii="Times New Roman" w:hAnsi="Times New Roman" w:cs="Times New Roman"/>
          <w:iCs/>
          <w:shd w:val="clear" w:color="auto" w:fill="FFFFFF"/>
        </w:rPr>
        <w:t>8</w:t>
      </w:r>
      <w:r w:rsidRPr="00C90AB2">
        <w:rPr>
          <w:rFonts w:ascii="Times New Roman" w:hAnsi="Times New Roman" w:cs="Times New Roman"/>
          <w:shd w:val="clear" w:color="auto" w:fill="FFFFFF"/>
        </w:rPr>
        <w:t>(8): 3448.</w:t>
      </w:r>
    </w:p>
    <w:p w14:paraId="589AD47E" w14:textId="77777777" w:rsidR="00CC6FA6" w:rsidRPr="00C90AB2" w:rsidRDefault="00CC6FA6" w:rsidP="00CC6FA6">
      <w:pPr>
        <w:spacing w:line="480" w:lineRule="auto"/>
        <w:rPr>
          <w:rFonts w:ascii="Times New Roman" w:eastAsiaTheme="minorEastAsia" w:hAnsi="Times New Roman" w:cs="Times New Roman"/>
          <w:lang w:eastAsia="nl-NL"/>
        </w:rPr>
      </w:pPr>
      <w:r w:rsidRPr="00CF0B15">
        <w:rPr>
          <w:rFonts w:ascii="Times New Roman" w:eastAsiaTheme="minorEastAsia" w:hAnsi="Times New Roman" w:cs="Times New Roman"/>
          <w:lang w:val="en-US" w:eastAsia="nl-NL"/>
        </w:rPr>
        <w:t xml:space="preserve">Zieba J, Sinclair D, Sebree T, et al. </w:t>
      </w:r>
      <w:r w:rsidRPr="00C90AB2">
        <w:rPr>
          <w:rFonts w:ascii="Times New Roman" w:eastAsiaTheme="minorEastAsia" w:hAnsi="Times New Roman" w:cs="Times New Roman"/>
          <w:lang w:eastAsia="nl-NL"/>
        </w:rPr>
        <w:t>(2019) Cannabidiol (CBD) reduces anxiety-related</w:t>
      </w:r>
      <w:r w:rsidRPr="00C90AB2">
        <w:rPr>
          <w:rFonts w:ascii="Times New Roman" w:eastAsiaTheme="minorEastAsia" w:hAnsi="Times New Roman" w:cs="Times New Roman"/>
          <w:lang w:eastAsia="nl-NL"/>
        </w:rPr>
        <w:tab/>
        <w:t xml:space="preserve">behavior in mice via an FMRP-independent mechanism. </w:t>
      </w:r>
      <w:r w:rsidRPr="00C90AB2">
        <w:rPr>
          <w:rFonts w:ascii="Times New Roman" w:eastAsiaTheme="minorEastAsia" w:hAnsi="Times New Roman" w:cs="Times New Roman"/>
          <w:i/>
          <w:iCs/>
          <w:lang w:eastAsia="nl-NL"/>
        </w:rPr>
        <w:t>Pharmacology Biochemistry</w:t>
      </w:r>
      <w:r w:rsidRPr="00C90AB2">
        <w:rPr>
          <w:rFonts w:ascii="Times New Roman" w:eastAsiaTheme="minorEastAsia" w:hAnsi="Times New Roman" w:cs="Times New Roman"/>
          <w:i/>
          <w:iCs/>
          <w:lang w:eastAsia="nl-NL"/>
        </w:rPr>
        <w:tab/>
        <w:t>and Behavior</w:t>
      </w:r>
      <w:r w:rsidRPr="00C90AB2">
        <w:rPr>
          <w:rFonts w:ascii="Times New Roman" w:eastAsiaTheme="minorEastAsia" w:hAnsi="Times New Roman" w:cs="Times New Roman"/>
          <w:lang w:eastAsia="nl-NL"/>
        </w:rPr>
        <w:t xml:space="preserve"> 181: 93-100.</w:t>
      </w:r>
    </w:p>
    <w:p w14:paraId="46D6CCCD" w14:textId="77777777" w:rsidR="00CC6FA6" w:rsidRPr="00863126" w:rsidRDefault="00CC6FA6" w:rsidP="00CC6FA6">
      <w:pPr>
        <w:spacing w:line="480" w:lineRule="auto"/>
        <w:rPr>
          <w:lang w:val="en-US"/>
        </w:rPr>
      </w:pPr>
    </w:p>
    <w:p w14:paraId="47869601" w14:textId="77777777" w:rsidR="00CD3F07" w:rsidRDefault="00CD3F07"/>
    <w:sectPr w:rsidR="00CD3F07" w:rsidSect="00C90AB2">
      <w:pgSz w:w="11906" w:h="16838"/>
      <w:pgMar w:top="2880" w:right="1714" w:bottom="2880" w:left="171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A6"/>
    <w:rsid w:val="008C31A2"/>
    <w:rsid w:val="00CC6FA6"/>
    <w:rsid w:val="00CD3F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FF04"/>
  <w15:chartTrackingRefBased/>
  <w15:docId w15:val="{07C372F8-CC9A-4726-9F92-76E9523C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FA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6FA6"/>
    <w:rPr>
      <w:sz w:val="16"/>
      <w:szCs w:val="16"/>
    </w:rPr>
  </w:style>
  <w:style w:type="paragraph" w:styleId="CommentText">
    <w:name w:val="annotation text"/>
    <w:basedOn w:val="Normal"/>
    <w:link w:val="CommentTextChar"/>
    <w:uiPriority w:val="99"/>
    <w:unhideWhenUsed/>
    <w:rsid w:val="00CC6FA6"/>
    <w:pPr>
      <w:spacing w:line="240" w:lineRule="auto"/>
    </w:pPr>
    <w:rPr>
      <w:sz w:val="20"/>
      <w:szCs w:val="20"/>
    </w:rPr>
  </w:style>
  <w:style w:type="character" w:customStyle="1" w:styleId="CommentTextChar">
    <w:name w:val="Comment Text Char"/>
    <w:basedOn w:val="DefaultParagraphFont"/>
    <w:link w:val="CommentText"/>
    <w:uiPriority w:val="99"/>
    <w:rsid w:val="00CC6FA6"/>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fontTable" Target="fontTable.xml"/><Relationship Id="rId5" Type="http://schemas.openxmlformats.org/officeDocument/2006/relationships/chart" Target="charts/chart2.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soliscom.uu.nl\uu\data\Research\FSW\Research_data\PF\Joke%20Baas\Caroline\Studies%20SR%20extinctie\Cmax_AUC_calculation_2021121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oliscom.uu.nl\uu\data\Research\FSW\Research_data\PF\Joke%20Baas\Caroline\Studies%20SR%20extinctie\Cmax_AUC_calculation_20211221_.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torage.fss.uu.nl\pf_researchdata$\Joke%20Baas\Caroline\Studies%20SR%20extinctie\Copy%20of%20Cmax_calculation__.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torage.fss.uu.nl\pf_researchdata$\Joke%20Baas\Caroline\Studies%20SR%20extinctie\Copy%20of%20Cmax_calculation__.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oliscom.uu.nl\uu\data\Research\FSW\Research_data\PF\Joke%20Baas\Caroline\Studies%20SR%20extinctie\Cmax_AUC_calculation_20211221_.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storage.fss.uu.nl\pf_researchdata$\Joke%20Baas\Caroline\Studies%20SR%20extinctie\Cmax_calculation__1009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oliscom.uu.nl\uu\data\Research\FSW\Research_data\PF\Joke%20Baas\Caroline\Studies%20SR%20extinctie\Cmax_AUC_calculation_20211221_.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41962890476841"/>
          <c:y val="0.16366482358719242"/>
          <c:w val="0.69339063867016626"/>
          <c:h val="0.67827172645086031"/>
        </c:manualLayout>
      </c:layout>
      <c:scatterChart>
        <c:scatterStyle val="lineMarker"/>
        <c:varyColors val="0"/>
        <c:ser>
          <c:idx val="0"/>
          <c:order val="0"/>
          <c:tx>
            <c:v>High dose</c:v>
          </c:tx>
          <c:spPr>
            <a:ln w="19050" cap="rnd">
              <a:noFill/>
              <a:round/>
            </a:ln>
            <a:effectLst/>
          </c:spPr>
          <c:marker>
            <c:symbol val="circle"/>
            <c:size val="5"/>
            <c:spPr>
              <a:solidFill>
                <a:schemeClr val="accent1"/>
              </a:solidFill>
              <a:ln w="9525">
                <a:solidFill>
                  <a:schemeClr val="accent1"/>
                </a:solidFill>
              </a:ln>
              <a:effectLst/>
            </c:spPr>
          </c:marker>
          <c:xVal>
            <c:numRef>
              <c:f>[Cmax_AUC_calculation_20211217.xlsx]Human!$B$38:$B$41</c:f>
              <c:numCache>
                <c:formatCode>General</c:formatCode>
                <c:ptCount val="4"/>
                <c:pt idx="0">
                  <c:v>4500</c:v>
                </c:pt>
                <c:pt idx="1">
                  <c:v>6000</c:v>
                </c:pt>
                <c:pt idx="2">
                  <c:v>3000</c:v>
                </c:pt>
                <c:pt idx="3">
                  <c:v>4500</c:v>
                </c:pt>
              </c:numCache>
            </c:numRef>
          </c:xVal>
          <c:yVal>
            <c:numRef>
              <c:f>[Cmax_AUC_calculation_20211217.xlsx]Human!$C$38:$C$41</c:f>
              <c:numCache>
                <c:formatCode>General</c:formatCode>
                <c:ptCount val="4"/>
                <c:pt idx="0">
                  <c:v>426.9</c:v>
                </c:pt>
                <c:pt idx="1">
                  <c:v>782</c:v>
                </c:pt>
                <c:pt idx="2">
                  <c:v>533</c:v>
                </c:pt>
                <c:pt idx="3">
                  <c:v>722.1</c:v>
                </c:pt>
              </c:numCache>
            </c:numRef>
          </c:yVal>
          <c:smooth val="0"/>
          <c:extLst>
            <c:ext xmlns:c16="http://schemas.microsoft.com/office/drawing/2014/chart" uri="{C3380CC4-5D6E-409C-BE32-E72D297353CC}">
              <c16:uniqueId val="{00000000-88D2-4B2E-A7AA-522E2A3539F1}"/>
            </c:ext>
          </c:extLst>
        </c:ser>
        <c:ser>
          <c:idx val="1"/>
          <c:order val="1"/>
          <c:tx>
            <c:v>Fasted or naked</c:v>
          </c:tx>
          <c:spPr>
            <a:ln w="25400" cap="rnd">
              <a:noFill/>
              <a:round/>
            </a:ln>
            <a:effectLst/>
          </c:spPr>
          <c:marker>
            <c:symbol val="circle"/>
            <c:size val="5"/>
            <c:spPr>
              <a:solidFill>
                <a:schemeClr val="accent2"/>
              </a:solidFill>
              <a:ln w="9525">
                <a:solidFill>
                  <a:schemeClr val="accent2"/>
                </a:solidFill>
              </a:ln>
              <a:effectLst/>
            </c:spPr>
          </c:marker>
          <c:trendline>
            <c:spPr>
              <a:ln w="19050" cap="rnd">
                <a:noFill/>
                <a:prstDash val="sysDot"/>
              </a:ln>
              <a:effectLst/>
            </c:spPr>
            <c:trendlineType val="linear"/>
            <c:dispRSqr val="0"/>
            <c:dispEq val="0"/>
          </c:trendline>
          <c:xVal>
            <c:numRef>
              <c:f>[Cmax_AUC_calculation_20211217.xlsx]Human!$H$40:$H$59</c:f>
              <c:numCache>
                <c:formatCode>General</c:formatCode>
                <c:ptCount val="20"/>
                <c:pt idx="0">
                  <c:v>1500</c:v>
                </c:pt>
                <c:pt idx="1">
                  <c:v>1500</c:v>
                </c:pt>
                <c:pt idx="2">
                  <c:v>750</c:v>
                </c:pt>
                <c:pt idx="3">
                  <c:v>25</c:v>
                </c:pt>
                <c:pt idx="4">
                  <c:v>25</c:v>
                </c:pt>
                <c:pt idx="5">
                  <c:v>25</c:v>
                </c:pt>
                <c:pt idx="6">
                  <c:v>25</c:v>
                </c:pt>
                <c:pt idx="7">
                  <c:v>90</c:v>
                </c:pt>
                <c:pt idx="8">
                  <c:v>30</c:v>
                </c:pt>
                <c:pt idx="9">
                  <c:v>600</c:v>
                </c:pt>
                <c:pt idx="10">
                  <c:v>600</c:v>
                </c:pt>
                <c:pt idx="11">
                  <c:v>600</c:v>
                </c:pt>
                <c:pt idx="12">
                  <c:v>150</c:v>
                </c:pt>
                <c:pt idx="13">
                  <c:v>10</c:v>
                </c:pt>
                <c:pt idx="14">
                  <c:v>750</c:v>
                </c:pt>
                <c:pt idx="15">
                  <c:v>1500</c:v>
                </c:pt>
                <c:pt idx="16">
                  <c:v>30</c:v>
                </c:pt>
                <c:pt idx="17">
                  <c:v>30</c:v>
                </c:pt>
                <c:pt idx="18">
                  <c:v>30</c:v>
                </c:pt>
                <c:pt idx="19">
                  <c:v>30</c:v>
                </c:pt>
              </c:numCache>
            </c:numRef>
          </c:xVal>
          <c:yVal>
            <c:numRef>
              <c:f>[Cmax_AUC_calculation_20211217.xlsx]Human!$I$40:$I$59</c:f>
              <c:numCache>
                <c:formatCode>General</c:formatCode>
                <c:ptCount val="20"/>
                <c:pt idx="0">
                  <c:v>292.39999999999998</c:v>
                </c:pt>
                <c:pt idx="1">
                  <c:v>335.4</c:v>
                </c:pt>
                <c:pt idx="2">
                  <c:v>187</c:v>
                </c:pt>
                <c:pt idx="3">
                  <c:v>13.75</c:v>
                </c:pt>
                <c:pt idx="4">
                  <c:v>1.93</c:v>
                </c:pt>
                <c:pt idx="5">
                  <c:v>13.32</c:v>
                </c:pt>
                <c:pt idx="6">
                  <c:v>4.18</c:v>
                </c:pt>
                <c:pt idx="7">
                  <c:v>0.8</c:v>
                </c:pt>
                <c:pt idx="8">
                  <c:v>1.29</c:v>
                </c:pt>
                <c:pt idx="9">
                  <c:v>3.4</c:v>
                </c:pt>
                <c:pt idx="10">
                  <c:v>17</c:v>
                </c:pt>
                <c:pt idx="11">
                  <c:v>89.193129999999996</c:v>
                </c:pt>
                <c:pt idx="12">
                  <c:v>20.7</c:v>
                </c:pt>
                <c:pt idx="14">
                  <c:v>290.8</c:v>
                </c:pt>
                <c:pt idx="15">
                  <c:v>361.8</c:v>
                </c:pt>
                <c:pt idx="16">
                  <c:v>2.2000000000000002</c:v>
                </c:pt>
                <c:pt idx="17">
                  <c:v>3.54</c:v>
                </c:pt>
                <c:pt idx="18">
                  <c:v>2.88</c:v>
                </c:pt>
                <c:pt idx="19">
                  <c:v>5.57</c:v>
                </c:pt>
              </c:numCache>
            </c:numRef>
          </c:yVal>
          <c:smooth val="0"/>
          <c:extLst>
            <c:ext xmlns:c16="http://schemas.microsoft.com/office/drawing/2014/chart" uri="{C3380CC4-5D6E-409C-BE32-E72D297353CC}">
              <c16:uniqueId val="{00000002-88D2-4B2E-A7AA-522E2A3539F1}"/>
            </c:ext>
          </c:extLst>
        </c:ser>
        <c:ser>
          <c:idx val="2"/>
          <c:order val="2"/>
          <c:tx>
            <c:v>Fed and formulation</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1"/>
            <c:dispEq val="1"/>
            <c:trendlineLbl>
              <c:layout>
                <c:manualLayout>
                  <c:x val="8.1010717410323715E-2"/>
                  <c:y val="-9.808289588801399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trendlineLbl>
          </c:trendline>
          <c:xVal>
            <c:numRef>
              <c:f>[Cmax_AUC_calculation_20211217.xlsx]Human!$B$3:$B$37</c:f>
              <c:numCache>
                <c:formatCode>General</c:formatCode>
                <c:ptCount val="35"/>
                <c:pt idx="0">
                  <c:v>200</c:v>
                </c:pt>
                <c:pt idx="1">
                  <c:v>10</c:v>
                </c:pt>
                <c:pt idx="2">
                  <c:v>100</c:v>
                </c:pt>
                <c:pt idx="3">
                  <c:v>1500</c:v>
                </c:pt>
                <c:pt idx="4">
                  <c:v>200</c:v>
                </c:pt>
                <c:pt idx="5">
                  <c:v>45</c:v>
                </c:pt>
                <c:pt idx="6">
                  <c:v>90</c:v>
                </c:pt>
                <c:pt idx="7">
                  <c:v>45</c:v>
                </c:pt>
                <c:pt idx="8">
                  <c:v>90</c:v>
                </c:pt>
                <c:pt idx="9">
                  <c:v>25</c:v>
                </c:pt>
                <c:pt idx="10">
                  <c:v>25</c:v>
                </c:pt>
                <c:pt idx="11">
                  <c:v>750</c:v>
                </c:pt>
                <c:pt idx="12">
                  <c:v>1500</c:v>
                </c:pt>
                <c:pt idx="13">
                  <c:v>750</c:v>
                </c:pt>
                <c:pt idx="14">
                  <c:v>750</c:v>
                </c:pt>
                <c:pt idx="15">
                  <c:v>750</c:v>
                </c:pt>
                <c:pt idx="16">
                  <c:v>5</c:v>
                </c:pt>
                <c:pt idx="17">
                  <c:v>10</c:v>
                </c:pt>
                <c:pt idx="18">
                  <c:v>20</c:v>
                </c:pt>
                <c:pt idx="19">
                  <c:v>600</c:v>
                </c:pt>
                <c:pt idx="20">
                  <c:v>90</c:v>
                </c:pt>
                <c:pt idx="21">
                  <c:v>90</c:v>
                </c:pt>
                <c:pt idx="23">
                  <c:v>25</c:v>
                </c:pt>
                <c:pt idx="24">
                  <c:v>50</c:v>
                </c:pt>
                <c:pt idx="25">
                  <c:v>50</c:v>
                </c:pt>
                <c:pt idx="34">
                  <c:v>150</c:v>
                </c:pt>
              </c:numCache>
            </c:numRef>
          </c:xVal>
          <c:yVal>
            <c:numRef>
              <c:f>[Cmax_AUC_calculation_20211217.xlsx]Human!$C$3:$C$37</c:f>
              <c:numCache>
                <c:formatCode>General</c:formatCode>
                <c:ptCount val="35"/>
                <c:pt idx="0">
                  <c:v>153</c:v>
                </c:pt>
                <c:pt idx="1">
                  <c:v>3.22</c:v>
                </c:pt>
                <c:pt idx="2">
                  <c:v>47.44</c:v>
                </c:pt>
                <c:pt idx="3">
                  <c:v>1628</c:v>
                </c:pt>
                <c:pt idx="4">
                  <c:v>148</c:v>
                </c:pt>
                <c:pt idx="5">
                  <c:v>16.8</c:v>
                </c:pt>
                <c:pt idx="6">
                  <c:v>54.6</c:v>
                </c:pt>
                <c:pt idx="7">
                  <c:v>21.2</c:v>
                </c:pt>
                <c:pt idx="8">
                  <c:v>77.599999999999994</c:v>
                </c:pt>
                <c:pt idx="11">
                  <c:v>336.2</c:v>
                </c:pt>
                <c:pt idx="12">
                  <c:v>524.5</c:v>
                </c:pt>
                <c:pt idx="13">
                  <c:v>722</c:v>
                </c:pt>
                <c:pt idx="14">
                  <c:v>527</c:v>
                </c:pt>
                <c:pt idx="15">
                  <c:v>1050</c:v>
                </c:pt>
                <c:pt idx="16">
                  <c:v>296</c:v>
                </c:pt>
                <c:pt idx="17">
                  <c:v>704</c:v>
                </c:pt>
                <c:pt idx="18">
                  <c:v>1090</c:v>
                </c:pt>
                <c:pt idx="20">
                  <c:v>18</c:v>
                </c:pt>
                <c:pt idx="21">
                  <c:v>14</c:v>
                </c:pt>
                <c:pt idx="23">
                  <c:v>9.1</c:v>
                </c:pt>
                <c:pt idx="24">
                  <c:v>15</c:v>
                </c:pt>
                <c:pt idx="25">
                  <c:v>14</c:v>
                </c:pt>
                <c:pt idx="34">
                  <c:v>82.59</c:v>
                </c:pt>
              </c:numCache>
            </c:numRef>
          </c:yVal>
          <c:smooth val="0"/>
          <c:extLst>
            <c:ext xmlns:c16="http://schemas.microsoft.com/office/drawing/2014/chart" uri="{C3380CC4-5D6E-409C-BE32-E72D297353CC}">
              <c16:uniqueId val="{00000004-88D2-4B2E-A7AA-522E2A3539F1}"/>
            </c:ext>
          </c:extLst>
        </c:ser>
        <c:dLbls>
          <c:showLegendKey val="0"/>
          <c:showVal val="0"/>
          <c:showCatName val="0"/>
          <c:showSerName val="0"/>
          <c:showPercent val="0"/>
          <c:showBubbleSize val="0"/>
        </c:dLbls>
        <c:axId val="587348984"/>
        <c:axId val="587350624"/>
      </c:scatterChart>
      <c:valAx>
        <c:axId val="5873489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nl-NL">
                    <a:solidFill>
                      <a:sysClr val="windowText" lastClr="000000"/>
                    </a:solidFill>
                  </a:rPr>
                  <a:t>Dose (mg)</a:t>
                </a:r>
              </a:p>
            </c:rich>
          </c:tx>
          <c:layout>
            <c:manualLayout>
              <c:xMode val="edge"/>
              <c:yMode val="edge"/>
              <c:x val="0.41903418142096399"/>
              <c:y val="0.8947768500768389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587350624"/>
        <c:crosses val="autoZero"/>
        <c:crossBetween val="midCat"/>
      </c:valAx>
      <c:valAx>
        <c:axId val="587350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nl-NL">
                    <a:solidFill>
                      <a:sysClr val="windowText" lastClr="000000"/>
                    </a:solidFill>
                  </a:rPr>
                  <a:t>Cmax</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587348984"/>
        <c:crosses val="autoZero"/>
        <c:crossBetween val="midCat"/>
      </c:valAx>
      <c:spPr>
        <a:noFill/>
        <a:ln>
          <a:noFill/>
        </a:ln>
        <a:effectLst/>
      </c:spPr>
    </c:plotArea>
    <c:legend>
      <c:legendPos val="r"/>
      <c:legendEntry>
        <c:idx val="3"/>
        <c:delete val="1"/>
      </c:legendEntry>
      <c:legendEntry>
        <c:idx val="4"/>
        <c:delete val="1"/>
      </c:legendEntry>
      <c:layout>
        <c:manualLayout>
          <c:xMode val="edge"/>
          <c:yMode val="edge"/>
          <c:x val="0.82272025245399227"/>
          <c:y val="0.28955781935708741"/>
          <c:w val="0.17727974754600762"/>
          <c:h val="0.407447519764254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73128729030003"/>
          <c:y val="0.12121985071968437"/>
          <c:w val="0.62251562645683922"/>
          <c:h val="0.68246846865012545"/>
        </c:manualLayout>
      </c:layout>
      <c:scatterChart>
        <c:scatterStyle val="lineMarker"/>
        <c:varyColors val="0"/>
        <c:ser>
          <c:idx val="2"/>
          <c:order val="0"/>
          <c:tx>
            <c:v>Naked</c:v>
          </c:tx>
          <c:spPr>
            <a:ln w="25400" cap="rnd">
              <a:noFill/>
              <a:round/>
            </a:ln>
            <a:effectLst/>
          </c:spPr>
          <c:marker>
            <c:symbol val="circle"/>
            <c:size val="5"/>
            <c:spPr>
              <a:solidFill>
                <a:schemeClr val="accent3"/>
              </a:solidFill>
              <a:ln w="9525">
                <a:solidFill>
                  <a:schemeClr val="accent3"/>
                </a:solidFill>
              </a:ln>
              <a:effectLst/>
            </c:spPr>
          </c:marker>
          <c:xVal>
            <c:numRef>
              <c:f>Human!$H$23:$H$31</c:f>
              <c:numCache>
                <c:formatCode>General</c:formatCode>
                <c:ptCount val="9"/>
              </c:numCache>
            </c:numRef>
          </c:xVal>
          <c:yVal>
            <c:numRef>
              <c:f>Human!$J$23:$J$31</c:f>
              <c:numCache>
                <c:formatCode>General</c:formatCode>
                <c:ptCount val="9"/>
              </c:numCache>
            </c:numRef>
          </c:yVal>
          <c:smooth val="0"/>
          <c:extLst>
            <c:ext xmlns:c16="http://schemas.microsoft.com/office/drawing/2014/chart" uri="{C3380CC4-5D6E-409C-BE32-E72D297353CC}">
              <c16:uniqueId val="{00000000-872A-4A20-AB3C-D9A5B18FC3D0}"/>
            </c:ext>
          </c:extLst>
        </c:ser>
        <c:ser>
          <c:idx val="3"/>
          <c:order val="1"/>
          <c:tx>
            <c:v>High dose</c:v>
          </c:tx>
          <c:spPr>
            <a:ln w="25400" cap="rnd">
              <a:noFill/>
              <a:round/>
            </a:ln>
            <a:effectLst/>
          </c:spPr>
          <c:marker>
            <c:symbol val="circle"/>
            <c:size val="5"/>
            <c:spPr>
              <a:solidFill>
                <a:srgbClr val="0070C0"/>
              </a:solidFill>
              <a:ln w="9525">
                <a:solidFill>
                  <a:srgbClr val="0070C0"/>
                </a:solidFill>
              </a:ln>
              <a:effectLst/>
            </c:spPr>
          </c:marker>
          <c:xVal>
            <c:numRef>
              <c:f>Human!$B$38:$B$41</c:f>
              <c:numCache>
                <c:formatCode>General</c:formatCode>
                <c:ptCount val="4"/>
                <c:pt idx="0">
                  <c:v>4500</c:v>
                </c:pt>
                <c:pt idx="1">
                  <c:v>6000</c:v>
                </c:pt>
                <c:pt idx="2">
                  <c:v>3000</c:v>
                </c:pt>
                <c:pt idx="3">
                  <c:v>4500</c:v>
                </c:pt>
              </c:numCache>
            </c:numRef>
          </c:xVal>
          <c:yVal>
            <c:numRef>
              <c:f>Human!$D$38:$D$41</c:f>
              <c:numCache>
                <c:formatCode>General</c:formatCode>
                <c:ptCount val="4"/>
                <c:pt idx="0">
                  <c:v>2290.3000000000002</c:v>
                </c:pt>
                <c:pt idx="1">
                  <c:v>3900</c:v>
                </c:pt>
                <c:pt idx="2">
                  <c:v>2802</c:v>
                </c:pt>
                <c:pt idx="3">
                  <c:v>3426</c:v>
                </c:pt>
              </c:numCache>
            </c:numRef>
          </c:yVal>
          <c:smooth val="0"/>
          <c:extLst>
            <c:ext xmlns:c16="http://schemas.microsoft.com/office/drawing/2014/chart" uri="{C3380CC4-5D6E-409C-BE32-E72D297353CC}">
              <c16:uniqueId val="{00000001-872A-4A20-AB3C-D9A5B18FC3D0}"/>
            </c:ext>
          </c:extLst>
        </c:ser>
        <c:ser>
          <c:idx val="4"/>
          <c:order val="2"/>
          <c:tx>
            <c:v>Fasted or naked</c:v>
          </c:tx>
          <c:spPr>
            <a:ln w="25400" cap="rnd">
              <a:noFill/>
              <a:round/>
            </a:ln>
            <a:effectLst/>
          </c:spPr>
          <c:marker>
            <c:symbol val="circle"/>
            <c:size val="5"/>
            <c:spPr>
              <a:solidFill>
                <a:srgbClr val="ED8513"/>
              </a:solidFill>
              <a:ln w="9525">
                <a:solidFill>
                  <a:srgbClr val="ED8513"/>
                </a:solidFill>
              </a:ln>
              <a:effectLst/>
            </c:spPr>
          </c:marker>
          <c:trendline>
            <c:spPr>
              <a:ln w="19050" cap="rnd">
                <a:solidFill>
                  <a:schemeClr val="accent5"/>
                </a:solidFill>
                <a:prstDash val="sysDot"/>
              </a:ln>
              <a:effectLst/>
            </c:spPr>
            <c:trendlineType val="linear"/>
            <c:dispRSqr val="0"/>
            <c:dispEq val="0"/>
          </c:trendline>
          <c:trendline>
            <c:spPr>
              <a:ln w="19050" cap="rnd">
                <a:solidFill>
                  <a:schemeClr val="accent5"/>
                </a:solidFill>
                <a:prstDash val="sysDot"/>
              </a:ln>
              <a:effectLst/>
            </c:spPr>
            <c:trendlineType val="linear"/>
            <c:dispRSqr val="0"/>
            <c:dispEq val="0"/>
          </c:trendline>
          <c:trendline>
            <c:spPr>
              <a:ln w="19050" cap="rnd">
                <a:solidFill>
                  <a:srgbClr val="ED8513"/>
                </a:solidFill>
                <a:prstDash val="sysDot"/>
              </a:ln>
              <a:effectLst/>
            </c:spPr>
            <c:trendlineType val="linear"/>
            <c:dispRSqr val="1"/>
            <c:dispEq val="1"/>
            <c:trendlineLbl>
              <c:layout>
                <c:manualLayout>
                  <c:x val="0.17470478330378805"/>
                  <c:y val="8.419764175627204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trendlineLbl>
          </c:trendline>
          <c:xVal>
            <c:numRef>
              <c:f>Human!$H$40:$H$47</c:f>
              <c:numCache>
                <c:formatCode>General</c:formatCode>
                <c:ptCount val="8"/>
                <c:pt idx="0">
                  <c:v>1500</c:v>
                </c:pt>
                <c:pt idx="1">
                  <c:v>1500</c:v>
                </c:pt>
                <c:pt idx="2">
                  <c:v>750</c:v>
                </c:pt>
                <c:pt idx="3">
                  <c:v>25</c:v>
                </c:pt>
                <c:pt idx="4">
                  <c:v>25</c:v>
                </c:pt>
                <c:pt idx="5">
                  <c:v>25</c:v>
                </c:pt>
                <c:pt idx="6">
                  <c:v>25</c:v>
                </c:pt>
                <c:pt idx="7">
                  <c:v>90</c:v>
                </c:pt>
              </c:numCache>
            </c:numRef>
          </c:xVal>
          <c:yVal>
            <c:numRef>
              <c:f>Human!$J$40:$J$47</c:f>
              <c:numCache>
                <c:formatCode>General</c:formatCode>
                <c:ptCount val="8"/>
                <c:pt idx="0">
                  <c:v>1618</c:v>
                </c:pt>
                <c:pt idx="1">
                  <c:v>2198</c:v>
                </c:pt>
                <c:pt idx="2">
                  <c:v>1190</c:v>
                </c:pt>
                <c:pt idx="3">
                  <c:v>28.95</c:v>
                </c:pt>
                <c:pt idx="4">
                  <c:v>15.1</c:v>
                </c:pt>
                <c:pt idx="5">
                  <c:v>36.31</c:v>
                </c:pt>
                <c:pt idx="6">
                  <c:v>23.35</c:v>
                </c:pt>
                <c:pt idx="7">
                  <c:v>8</c:v>
                </c:pt>
              </c:numCache>
            </c:numRef>
          </c:yVal>
          <c:smooth val="0"/>
          <c:extLst>
            <c:ext xmlns:c16="http://schemas.microsoft.com/office/drawing/2014/chart" uri="{C3380CC4-5D6E-409C-BE32-E72D297353CC}">
              <c16:uniqueId val="{00000005-872A-4A20-AB3C-D9A5B18FC3D0}"/>
            </c:ext>
          </c:extLst>
        </c:ser>
        <c:ser>
          <c:idx val="0"/>
          <c:order val="3"/>
          <c:tx>
            <c:v>Fed and formulation</c:v>
          </c:tx>
          <c:spPr>
            <a:ln w="19050" cap="rnd">
              <a:noFill/>
              <a:round/>
            </a:ln>
            <a:effectLst/>
          </c:spPr>
          <c:marker>
            <c:symbol val="circle"/>
            <c:size val="5"/>
            <c:spPr>
              <a:solidFill>
                <a:schemeClr val="bg1">
                  <a:lumMod val="65000"/>
                </a:schemeClr>
              </a:solidFill>
              <a:ln w="9525">
                <a:solidFill>
                  <a:schemeClr val="bg1">
                    <a:lumMod val="65000"/>
                  </a:schemeClr>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bg1">
                    <a:lumMod val="65000"/>
                  </a:schemeClr>
                </a:solidFill>
                <a:prstDash val="sysDot"/>
              </a:ln>
              <a:effectLst/>
            </c:spPr>
            <c:trendlineType val="linear"/>
            <c:dispRSqr val="1"/>
            <c:dispEq val="1"/>
            <c:trendlineLbl>
              <c:layout>
                <c:manualLayout>
                  <c:x val="0.14198090534022684"/>
                  <c:y val="-0.1066863688219408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trendlineLbl>
          </c:trendline>
          <c:xVal>
            <c:numRef>
              <c:f>Human!$B$3:$B$28</c:f>
              <c:numCache>
                <c:formatCode>General</c:formatCode>
                <c:ptCount val="26"/>
                <c:pt idx="0">
                  <c:v>200</c:v>
                </c:pt>
                <c:pt idx="1">
                  <c:v>10</c:v>
                </c:pt>
                <c:pt idx="2">
                  <c:v>100</c:v>
                </c:pt>
                <c:pt idx="3">
                  <c:v>1500</c:v>
                </c:pt>
                <c:pt idx="4">
                  <c:v>200</c:v>
                </c:pt>
                <c:pt idx="5">
                  <c:v>45</c:v>
                </c:pt>
                <c:pt idx="6">
                  <c:v>90</c:v>
                </c:pt>
                <c:pt idx="7">
                  <c:v>45</c:v>
                </c:pt>
                <c:pt idx="8">
                  <c:v>90</c:v>
                </c:pt>
                <c:pt idx="9">
                  <c:v>25</c:v>
                </c:pt>
                <c:pt idx="10">
                  <c:v>25</c:v>
                </c:pt>
                <c:pt idx="11">
                  <c:v>750</c:v>
                </c:pt>
                <c:pt idx="12">
                  <c:v>1500</c:v>
                </c:pt>
                <c:pt idx="13">
                  <c:v>750</c:v>
                </c:pt>
                <c:pt idx="14">
                  <c:v>750</c:v>
                </c:pt>
                <c:pt idx="15">
                  <c:v>750</c:v>
                </c:pt>
                <c:pt idx="16">
                  <c:v>5</c:v>
                </c:pt>
                <c:pt idx="17">
                  <c:v>10</c:v>
                </c:pt>
                <c:pt idx="18">
                  <c:v>20</c:v>
                </c:pt>
                <c:pt idx="19">
                  <c:v>600</c:v>
                </c:pt>
                <c:pt idx="20">
                  <c:v>90</c:v>
                </c:pt>
                <c:pt idx="21">
                  <c:v>90</c:v>
                </c:pt>
                <c:pt idx="23">
                  <c:v>25</c:v>
                </c:pt>
                <c:pt idx="24">
                  <c:v>50</c:v>
                </c:pt>
                <c:pt idx="25">
                  <c:v>50</c:v>
                </c:pt>
              </c:numCache>
            </c:numRef>
          </c:xVal>
          <c:yVal>
            <c:numRef>
              <c:f>Human!$D$3:$D$28</c:f>
              <c:numCache>
                <c:formatCode>General</c:formatCode>
                <c:ptCount val="26"/>
                <c:pt idx="0">
                  <c:v>499</c:v>
                </c:pt>
                <c:pt idx="1">
                  <c:v>10.31</c:v>
                </c:pt>
                <c:pt idx="2">
                  <c:v>153.04</c:v>
                </c:pt>
                <c:pt idx="3">
                  <c:v>8669</c:v>
                </c:pt>
                <c:pt idx="4">
                  <c:v>474</c:v>
                </c:pt>
                <c:pt idx="11">
                  <c:v>1683.3</c:v>
                </c:pt>
                <c:pt idx="12">
                  <c:v>2713</c:v>
                </c:pt>
                <c:pt idx="13">
                  <c:v>3394</c:v>
                </c:pt>
                <c:pt idx="14">
                  <c:v>2588</c:v>
                </c:pt>
                <c:pt idx="15">
                  <c:v>4870</c:v>
                </c:pt>
                <c:pt idx="16">
                  <c:v>1951</c:v>
                </c:pt>
                <c:pt idx="17">
                  <c:v>4466</c:v>
                </c:pt>
                <c:pt idx="18">
                  <c:v>8248</c:v>
                </c:pt>
                <c:pt idx="20">
                  <c:v>66</c:v>
                </c:pt>
                <c:pt idx="21">
                  <c:v>71</c:v>
                </c:pt>
                <c:pt idx="23">
                  <c:v>33.5</c:v>
                </c:pt>
                <c:pt idx="24">
                  <c:v>71</c:v>
                </c:pt>
                <c:pt idx="25">
                  <c:v>73.8</c:v>
                </c:pt>
              </c:numCache>
            </c:numRef>
          </c:yVal>
          <c:smooth val="0"/>
          <c:extLst>
            <c:ext xmlns:c16="http://schemas.microsoft.com/office/drawing/2014/chart" uri="{C3380CC4-5D6E-409C-BE32-E72D297353CC}">
              <c16:uniqueId val="{0000000D-872A-4A20-AB3C-D9A5B18FC3D0}"/>
            </c:ext>
          </c:extLst>
        </c:ser>
        <c:dLbls>
          <c:showLegendKey val="0"/>
          <c:showVal val="0"/>
          <c:showCatName val="0"/>
          <c:showSerName val="0"/>
          <c:showPercent val="0"/>
          <c:showBubbleSize val="0"/>
        </c:dLbls>
        <c:axId val="722703096"/>
        <c:axId val="722703424"/>
      </c:scatterChart>
      <c:valAx>
        <c:axId val="7227030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Dose (mg)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22703424"/>
        <c:crosses val="autoZero"/>
        <c:crossBetween val="midCat"/>
      </c:valAx>
      <c:valAx>
        <c:axId val="722703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Area</a:t>
                </a:r>
                <a:r>
                  <a:rPr lang="nl-NL" baseline="0"/>
                  <a:t> under the curve (h*ng/ml)</a:t>
                </a: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22703096"/>
        <c:crosses val="autoZero"/>
        <c:crossBetween val="midCat"/>
      </c:valAx>
      <c:spPr>
        <a:noFill/>
        <a:ln>
          <a:noFill/>
        </a:ln>
        <a:effectLst/>
      </c:spPr>
    </c:plotArea>
    <c:legend>
      <c:legendPos val="r"/>
      <c:legendEntry>
        <c:idx val="0"/>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ayout>
        <c:manualLayout>
          <c:xMode val="edge"/>
          <c:yMode val="edge"/>
          <c:x val="0.79847583772251363"/>
          <c:y val="0.24869220092686878"/>
          <c:w val="0.14754208951185491"/>
          <c:h val="0.480668837650095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trendlineLbl>
          </c:trendline>
          <c:xVal>
            <c:numRef>
              <c:f>Sheet1!$B$160:$B$162</c:f>
              <c:numCache>
                <c:formatCode>General</c:formatCode>
                <c:ptCount val="3"/>
                <c:pt idx="0">
                  <c:v>5</c:v>
                </c:pt>
                <c:pt idx="1">
                  <c:v>20</c:v>
                </c:pt>
                <c:pt idx="2">
                  <c:v>120</c:v>
                </c:pt>
              </c:numCache>
            </c:numRef>
          </c:xVal>
          <c:yVal>
            <c:numRef>
              <c:f>Sheet1!$C$160:$C$162</c:f>
              <c:numCache>
                <c:formatCode>General</c:formatCode>
                <c:ptCount val="3"/>
                <c:pt idx="0">
                  <c:v>123.3</c:v>
                </c:pt>
                <c:pt idx="1">
                  <c:v>1000.3</c:v>
                </c:pt>
                <c:pt idx="2">
                  <c:v>14300</c:v>
                </c:pt>
              </c:numCache>
            </c:numRef>
          </c:yVal>
          <c:smooth val="0"/>
          <c:extLst>
            <c:ext xmlns:c16="http://schemas.microsoft.com/office/drawing/2014/chart" uri="{C3380CC4-5D6E-409C-BE32-E72D297353CC}">
              <c16:uniqueId val="{00000001-8AFF-455C-A362-3DDF29C8D5B8}"/>
            </c:ext>
          </c:extLst>
        </c:ser>
        <c:dLbls>
          <c:showLegendKey val="0"/>
          <c:showVal val="0"/>
          <c:showCatName val="0"/>
          <c:showSerName val="0"/>
          <c:showPercent val="0"/>
          <c:showBubbleSize val="0"/>
        </c:dLbls>
        <c:axId val="584728376"/>
        <c:axId val="584731000"/>
      </c:scatterChart>
      <c:valAx>
        <c:axId val="584728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Dose</a:t>
                </a:r>
                <a:r>
                  <a:rPr lang="nl-NL" baseline="0"/>
                  <a:t> (mg/kg)</a:t>
                </a:r>
                <a:endParaRPr lang="nl-NL"/>
              </a:p>
            </c:rich>
          </c:tx>
          <c:layout>
            <c:manualLayout>
              <c:xMode val="edge"/>
              <c:yMode val="edge"/>
              <c:x val="0.4296861329833771"/>
              <c:y val="0.897198891805190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4731000"/>
        <c:crosses val="autoZero"/>
        <c:crossBetween val="midCat"/>
      </c:valAx>
      <c:valAx>
        <c:axId val="584731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Approximated </a:t>
                </a:r>
                <a:r>
                  <a:rPr lang="nl-NL" baseline="0"/>
                  <a:t>Cmax (ng/ml)</a:t>
                </a: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47283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trendlineLbl>
          </c:trendline>
          <c:xVal>
            <c:numRef>
              <c:f>Sheet1!$B$220:$B$223</c:f>
              <c:numCache>
                <c:formatCode>General</c:formatCode>
                <c:ptCount val="4"/>
                <c:pt idx="0">
                  <c:v>10</c:v>
                </c:pt>
                <c:pt idx="1">
                  <c:v>30</c:v>
                </c:pt>
                <c:pt idx="2">
                  <c:v>120</c:v>
                </c:pt>
                <c:pt idx="3">
                  <c:v>120</c:v>
                </c:pt>
              </c:numCache>
            </c:numRef>
          </c:xVal>
          <c:yVal>
            <c:numRef>
              <c:f>Sheet1!$C$220:$C$223</c:f>
              <c:numCache>
                <c:formatCode>General</c:formatCode>
                <c:ptCount val="4"/>
                <c:pt idx="0">
                  <c:v>67</c:v>
                </c:pt>
                <c:pt idx="1">
                  <c:v>346</c:v>
                </c:pt>
                <c:pt idx="2">
                  <c:v>2400</c:v>
                </c:pt>
                <c:pt idx="3">
                  <c:v>2600</c:v>
                </c:pt>
              </c:numCache>
            </c:numRef>
          </c:yVal>
          <c:smooth val="0"/>
          <c:extLst>
            <c:ext xmlns:c16="http://schemas.microsoft.com/office/drawing/2014/chart" uri="{C3380CC4-5D6E-409C-BE32-E72D297353CC}">
              <c16:uniqueId val="{00000001-17FC-4976-BA07-83525906E3B9}"/>
            </c:ext>
          </c:extLst>
        </c:ser>
        <c:dLbls>
          <c:showLegendKey val="0"/>
          <c:showVal val="0"/>
          <c:showCatName val="0"/>
          <c:showSerName val="0"/>
          <c:showPercent val="0"/>
          <c:showBubbleSize val="0"/>
        </c:dLbls>
        <c:axId val="582994304"/>
        <c:axId val="582990696"/>
      </c:scatterChart>
      <c:valAx>
        <c:axId val="5829943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Dose (mg/kg)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2990696"/>
        <c:crosses val="autoZero"/>
        <c:crossBetween val="midCat"/>
      </c:valAx>
      <c:valAx>
        <c:axId val="582990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Approximated</a:t>
                </a:r>
                <a:r>
                  <a:rPr lang="nl-NL" baseline="0"/>
                  <a:t> Cmax (ng/ml)</a:t>
                </a: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2994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trendlineLbl>
          </c:trendline>
          <c:xVal>
            <c:numRef>
              <c:f>Dogmouserat!$G$112:$G$117</c:f>
              <c:numCache>
                <c:formatCode>General</c:formatCode>
                <c:ptCount val="6"/>
                <c:pt idx="0">
                  <c:v>120</c:v>
                </c:pt>
                <c:pt idx="1">
                  <c:v>25</c:v>
                </c:pt>
                <c:pt idx="2">
                  <c:v>5</c:v>
                </c:pt>
                <c:pt idx="3">
                  <c:v>5</c:v>
                </c:pt>
                <c:pt idx="4">
                  <c:v>5</c:v>
                </c:pt>
                <c:pt idx="5">
                  <c:v>30</c:v>
                </c:pt>
              </c:numCache>
            </c:numRef>
          </c:xVal>
          <c:yVal>
            <c:numRef>
              <c:f>Dogmouserat!$H$112:$H$117</c:f>
              <c:numCache>
                <c:formatCode>General</c:formatCode>
                <c:ptCount val="6"/>
                <c:pt idx="0">
                  <c:v>2200</c:v>
                </c:pt>
                <c:pt idx="1">
                  <c:v>304</c:v>
                </c:pt>
                <c:pt idx="2">
                  <c:v>10.9</c:v>
                </c:pt>
                <c:pt idx="3">
                  <c:v>11</c:v>
                </c:pt>
                <c:pt idx="4">
                  <c:v>7.7</c:v>
                </c:pt>
                <c:pt idx="5">
                  <c:v>236.2</c:v>
                </c:pt>
              </c:numCache>
            </c:numRef>
          </c:yVal>
          <c:smooth val="0"/>
          <c:extLst>
            <c:ext xmlns:c16="http://schemas.microsoft.com/office/drawing/2014/chart" uri="{C3380CC4-5D6E-409C-BE32-E72D297353CC}">
              <c16:uniqueId val="{00000001-430B-4AEF-BB7B-72324FFFA159}"/>
            </c:ext>
          </c:extLst>
        </c:ser>
        <c:dLbls>
          <c:showLegendKey val="0"/>
          <c:showVal val="0"/>
          <c:showCatName val="0"/>
          <c:showSerName val="0"/>
          <c:showPercent val="0"/>
          <c:showBubbleSize val="0"/>
        </c:dLbls>
        <c:axId val="566506808"/>
        <c:axId val="566509104"/>
      </c:scatterChart>
      <c:valAx>
        <c:axId val="566506808"/>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Dose</a:t>
                </a:r>
                <a:r>
                  <a:rPr lang="nl-NL" baseline="0"/>
                  <a:t> (mg/kg)</a:t>
                </a:r>
                <a:endParaRPr lang="nl-NL"/>
              </a:p>
            </c:rich>
          </c:tx>
          <c:layout>
            <c:manualLayout>
              <c:xMode val="edge"/>
              <c:yMode val="edge"/>
              <c:x val="0.48735191337109152"/>
              <c:y val="0.8878869927262436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crossAx val="566509104"/>
        <c:crosses val="autoZero"/>
        <c:crossBetween val="midCat"/>
      </c:valAx>
      <c:valAx>
        <c:axId val="566509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Cmax (ng/ml)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665068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6922572178478"/>
          <c:y val="8.8379629629629641E-2"/>
          <c:w val="0.79830774278215222"/>
          <c:h val="0.70696741032370958"/>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4.8659448818897638E-2"/>
                  <c:y val="2.038531641878098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trendlineLbl>
          </c:trendline>
          <c:xVal>
            <c:numRef>
              <c:f>[Cmax_calculation__100921.xlsx]Sheet1!$G$184:$G$213</c:f>
              <c:numCache>
                <c:formatCode>General</c:formatCode>
                <c:ptCount val="30"/>
                <c:pt idx="0">
                  <c:v>20</c:v>
                </c:pt>
                <c:pt idx="1">
                  <c:v>15</c:v>
                </c:pt>
                <c:pt idx="2">
                  <c:v>15</c:v>
                </c:pt>
                <c:pt idx="3">
                  <c:v>15</c:v>
                </c:pt>
                <c:pt idx="4">
                  <c:v>15</c:v>
                </c:pt>
                <c:pt idx="5">
                  <c:v>15</c:v>
                </c:pt>
                <c:pt idx="6">
                  <c:v>12</c:v>
                </c:pt>
                <c:pt idx="7">
                  <c:v>12</c:v>
                </c:pt>
                <c:pt idx="8">
                  <c:v>15</c:v>
                </c:pt>
                <c:pt idx="9">
                  <c:v>15</c:v>
                </c:pt>
                <c:pt idx="10">
                  <c:v>15</c:v>
                </c:pt>
                <c:pt idx="11">
                  <c:v>15</c:v>
                </c:pt>
                <c:pt idx="12">
                  <c:v>15</c:v>
                </c:pt>
                <c:pt idx="13">
                  <c:v>5</c:v>
                </c:pt>
                <c:pt idx="14">
                  <c:v>10</c:v>
                </c:pt>
                <c:pt idx="15">
                  <c:v>25</c:v>
                </c:pt>
                <c:pt idx="16">
                  <c:v>50</c:v>
                </c:pt>
                <c:pt idx="17">
                  <c:v>12</c:v>
                </c:pt>
                <c:pt idx="18">
                  <c:v>12</c:v>
                </c:pt>
                <c:pt idx="19">
                  <c:v>12</c:v>
                </c:pt>
                <c:pt idx="20">
                  <c:v>12</c:v>
                </c:pt>
                <c:pt idx="21">
                  <c:v>12</c:v>
                </c:pt>
                <c:pt idx="22">
                  <c:v>12</c:v>
                </c:pt>
                <c:pt idx="23">
                  <c:v>10</c:v>
                </c:pt>
                <c:pt idx="24">
                  <c:v>15</c:v>
                </c:pt>
                <c:pt idx="25">
                  <c:v>15</c:v>
                </c:pt>
                <c:pt idx="26">
                  <c:v>120</c:v>
                </c:pt>
                <c:pt idx="27">
                  <c:v>120</c:v>
                </c:pt>
                <c:pt idx="28">
                  <c:v>15</c:v>
                </c:pt>
                <c:pt idx="29">
                  <c:v>15</c:v>
                </c:pt>
              </c:numCache>
            </c:numRef>
          </c:xVal>
          <c:yVal>
            <c:numRef>
              <c:f>[Cmax_calculation__100921.xlsx]Sheet1!$H$184:$H$213</c:f>
              <c:numCache>
                <c:formatCode>General</c:formatCode>
                <c:ptCount val="30"/>
                <c:pt idx="0">
                  <c:v>129.5</c:v>
                </c:pt>
                <c:pt idx="1">
                  <c:v>39</c:v>
                </c:pt>
                <c:pt idx="2">
                  <c:v>137</c:v>
                </c:pt>
                <c:pt idx="3">
                  <c:v>170</c:v>
                </c:pt>
                <c:pt idx="4">
                  <c:v>63</c:v>
                </c:pt>
                <c:pt idx="5">
                  <c:v>96</c:v>
                </c:pt>
                <c:pt idx="6">
                  <c:v>87</c:v>
                </c:pt>
                <c:pt idx="7">
                  <c:v>308</c:v>
                </c:pt>
                <c:pt idx="8">
                  <c:v>168</c:v>
                </c:pt>
                <c:pt idx="9">
                  <c:v>178</c:v>
                </c:pt>
                <c:pt idx="10">
                  <c:v>130</c:v>
                </c:pt>
                <c:pt idx="11">
                  <c:v>261</c:v>
                </c:pt>
                <c:pt idx="12">
                  <c:v>458</c:v>
                </c:pt>
                <c:pt idx="13">
                  <c:v>280</c:v>
                </c:pt>
                <c:pt idx="14">
                  <c:v>386</c:v>
                </c:pt>
                <c:pt idx="15">
                  <c:v>1350</c:v>
                </c:pt>
                <c:pt idx="16">
                  <c:v>3580</c:v>
                </c:pt>
                <c:pt idx="17">
                  <c:v>225</c:v>
                </c:pt>
                <c:pt idx="18">
                  <c:v>134</c:v>
                </c:pt>
                <c:pt idx="19">
                  <c:v>108</c:v>
                </c:pt>
                <c:pt idx="20">
                  <c:v>71</c:v>
                </c:pt>
                <c:pt idx="21">
                  <c:v>125</c:v>
                </c:pt>
                <c:pt idx="22">
                  <c:v>154</c:v>
                </c:pt>
                <c:pt idx="23">
                  <c:v>295</c:v>
                </c:pt>
                <c:pt idx="24">
                  <c:v>137</c:v>
                </c:pt>
                <c:pt idx="25">
                  <c:v>101</c:v>
                </c:pt>
                <c:pt idx="26">
                  <c:v>2000</c:v>
                </c:pt>
                <c:pt idx="27">
                  <c:v>3200</c:v>
                </c:pt>
                <c:pt idx="28">
                  <c:v>266</c:v>
                </c:pt>
                <c:pt idx="29">
                  <c:v>561</c:v>
                </c:pt>
              </c:numCache>
            </c:numRef>
          </c:yVal>
          <c:smooth val="0"/>
          <c:extLst>
            <c:ext xmlns:c16="http://schemas.microsoft.com/office/drawing/2014/chart" uri="{C3380CC4-5D6E-409C-BE32-E72D297353CC}">
              <c16:uniqueId val="{00000001-72F7-442E-9FF4-BEE8F684B75E}"/>
            </c:ext>
          </c:extLst>
        </c:ser>
        <c:dLbls>
          <c:showLegendKey val="0"/>
          <c:showVal val="0"/>
          <c:showCatName val="0"/>
          <c:showSerName val="0"/>
          <c:showPercent val="0"/>
          <c:showBubbleSize val="0"/>
        </c:dLbls>
        <c:axId val="582896560"/>
        <c:axId val="582896888"/>
      </c:scatterChart>
      <c:valAx>
        <c:axId val="582896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Dose (mg/kg)</a:t>
                </a:r>
              </a:p>
            </c:rich>
          </c:tx>
          <c:layout>
            <c:manualLayout>
              <c:xMode val="edge"/>
              <c:yMode val="edge"/>
              <c:x val="0.43835301837270341"/>
              <c:y val="0.883310002916302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2896888"/>
        <c:crosses val="autoZero"/>
        <c:crossBetween val="midCat"/>
      </c:valAx>
      <c:valAx>
        <c:axId val="582896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Cmax (ng/ml)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28965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AUC</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3.2755686789151355E-2"/>
                  <c:y val="-1.761847477398658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trendlineLbl>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xVal>
            <c:numRef>
              <c:f>Dogmouserat!$G$188:$G$217</c:f>
              <c:numCache>
                <c:formatCode>General</c:formatCode>
                <c:ptCount val="30"/>
                <c:pt idx="0">
                  <c:v>20</c:v>
                </c:pt>
                <c:pt idx="1">
                  <c:v>15</c:v>
                </c:pt>
                <c:pt idx="2">
                  <c:v>15</c:v>
                </c:pt>
                <c:pt idx="3">
                  <c:v>15</c:v>
                </c:pt>
                <c:pt idx="4">
                  <c:v>15</c:v>
                </c:pt>
                <c:pt idx="5">
                  <c:v>15</c:v>
                </c:pt>
                <c:pt idx="6">
                  <c:v>12</c:v>
                </c:pt>
                <c:pt idx="7">
                  <c:v>12</c:v>
                </c:pt>
                <c:pt idx="8">
                  <c:v>12</c:v>
                </c:pt>
                <c:pt idx="9">
                  <c:v>12</c:v>
                </c:pt>
                <c:pt idx="10">
                  <c:v>12</c:v>
                </c:pt>
                <c:pt idx="11">
                  <c:v>12</c:v>
                </c:pt>
                <c:pt idx="12">
                  <c:v>12</c:v>
                </c:pt>
                <c:pt idx="13">
                  <c:v>12</c:v>
                </c:pt>
                <c:pt idx="14">
                  <c:v>15</c:v>
                </c:pt>
                <c:pt idx="15">
                  <c:v>15</c:v>
                </c:pt>
                <c:pt idx="16">
                  <c:v>15</c:v>
                </c:pt>
                <c:pt idx="17">
                  <c:v>15</c:v>
                </c:pt>
                <c:pt idx="18">
                  <c:v>15</c:v>
                </c:pt>
                <c:pt idx="19">
                  <c:v>5</c:v>
                </c:pt>
                <c:pt idx="20">
                  <c:v>10</c:v>
                </c:pt>
                <c:pt idx="21">
                  <c:v>25</c:v>
                </c:pt>
                <c:pt idx="22">
                  <c:v>50</c:v>
                </c:pt>
                <c:pt idx="23">
                  <c:v>10</c:v>
                </c:pt>
                <c:pt idx="24">
                  <c:v>15</c:v>
                </c:pt>
                <c:pt idx="25">
                  <c:v>15</c:v>
                </c:pt>
                <c:pt idx="26">
                  <c:v>120</c:v>
                </c:pt>
                <c:pt idx="27">
                  <c:v>120</c:v>
                </c:pt>
                <c:pt idx="28">
                  <c:v>15</c:v>
                </c:pt>
                <c:pt idx="29">
                  <c:v>15</c:v>
                </c:pt>
              </c:numCache>
            </c:numRef>
          </c:xVal>
          <c:yVal>
            <c:numRef>
              <c:f>Dogmouserat!$I$188:$I$217</c:f>
              <c:numCache>
                <c:formatCode>General</c:formatCode>
                <c:ptCount val="30"/>
                <c:pt idx="1">
                  <c:v>100.256410256</c:v>
                </c:pt>
                <c:pt idx="2">
                  <c:v>328.57142857100001</c:v>
                </c:pt>
                <c:pt idx="3">
                  <c:v>644.35897435899994</c:v>
                </c:pt>
                <c:pt idx="4">
                  <c:v>188.45454545499999</c:v>
                </c:pt>
                <c:pt idx="5">
                  <c:v>223.212121212</c:v>
                </c:pt>
                <c:pt idx="6">
                  <c:v>381.101064033</c:v>
                </c:pt>
                <c:pt idx="7">
                  <c:v>998.94104989699997</c:v>
                </c:pt>
                <c:pt idx="8">
                  <c:v>821</c:v>
                </c:pt>
                <c:pt idx="9">
                  <c:v>604</c:v>
                </c:pt>
                <c:pt idx="10">
                  <c:v>602</c:v>
                </c:pt>
                <c:pt idx="11">
                  <c:v>512</c:v>
                </c:pt>
                <c:pt idx="12">
                  <c:v>584</c:v>
                </c:pt>
                <c:pt idx="13">
                  <c:v>560</c:v>
                </c:pt>
                <c:pt idx="14">
                  <c:v>809</c:v>
                </c:pt>
                <c:pt idx="15">
                  <c:v>593</c:v>
                </c:pt>
                <c:pt idx="16">
                  <c:v>286</c:v>
                </c:pt>
                <c:pt idx="17">
                  <c:v>2041</c:v>
                </c:pt>
                <c:pt idx="18">
                  <c:v>2864</c:v>
                </c:pt>
                <c:pt idx="23">
                  <c:v>0</c:v>
                </c:pt>
                <c:pt idx="24">
                  <c:v>611</c:v>
                </c:pt>
                <c:pt idx="25">
                  <c:v>579</c:v>
                </c:pt>
                <c:pt idx="26">
                  <c:v>19583.333333333332</c:v>
                </c:pt>
                <c:pt idx="27">
                  <c:v>43716.666666666664</c:v>
                </c:pt>
                <c:pt idx="28">
                  <c:v>727</c:v>
                </c:pt>
                <c:pt idx="29">
                  <c:v>2713</c:v>
                </c:pt>
              </c:numCache>
            </c:numRef>
          </c:yVal>
          <c:smooth val="0"/>
          <c:extLst>
            <c:ext xmlns:c16="http://schemas.microsoft.com/office/drawing/2014/chart" uri="{C3380CC4-5D6E-409C-BE32-E72D297353CC}">
              <c16:uniqueId val="{00000004-555F-44B2-8DC4-8AA6949494FF}"/>
            </c:ext>
          </c:extLst>
        </c:ser>
        <c:dLbls>
          <c:showLegendKey val="0"/>
          <c:showVal val="0"/>
          <c:showCatName val="0"/>
          <c:showSerName val="0"/>
          <c:showPercent val="0"/>
          <c:showBubbleSize val="0"/>
        </c:dLbls>
        <c:axId val="543780448"/>
        <c:axId val="543781760"/>
      </c:scatterChart>
      <c:valAx>
        <c:axId val="5437804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Dose (mg/kg)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43781760"/>
        <c:crosses val="autoZero"/>
        <c:crossBetween val="midCat"/>
      </c:valAx>
      <c:valAx>
        <c:axId val="543781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Area under the curve (h*ng/ml)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437804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1164</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Kwee, C.M.B. (Caroline)</dc:creator>
  <cp:keywords/>
  <dc:description/>
  <cp:lastModifiedBy>Kwee, C.M.B. (Caroline)</cp:lastModifiedBy>
  <cp:revision>1</cp:revision>
  <dcterms:created xsi:type="dcterms:W3CDTF">2022-03-23T12:18:00Z</dcterms:created>
  <dcterms:modified xsi:type="dcterms:W3CDTF">2022-03-23T18:27:00Z</dcterms:modified>
</cp:coreProperties>
</file>