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58C93" w14:textId="1BFA2FAB" w:rsidR="007C3ABB" w:rsidRPr="0043129D" w:rsidRDefault="007C3ABB" w:rsidP="007C3ABB">
      <w:pPr>
        <w:spacing w:beforeLines="50" w:before="156" w:afterLines="50" w:after="156"/>
        <w:rPr>
          <w:sz w:val="24"/>
        </w:rPr>
      </w:pPr>
      <w:r w:rsidRPr="0043129D">
        <w:rPr>
          <w:sz w:val="24"/>
        </w:rPr>
        <w:t xml:space="preserve">Dear Prof. </w:t>
      </w:r>
      <w:r w:rsidRPr="00AF0B3B">
        <w:rPr>
          <w:sz w:val="24"/>
        </w:rPr>
        <w:t>Coller</w:t>
      </w:r>
      <w:r w:rsidRPr="0043129D">
        <w:rPr>
          <w:sz w:val="24"/>
        </w:rPr>
        <w:t>,</w:t>
      </w:r>
    </w:p>
    <w:p w14:paraId="508EAE08" w14:textId="77777777" w:rsidR="007C3ABB" w:rsidRDefault="007C3ABB" w:rsidP="007C3ABB">
      <w:pPr>
        <w:spacing w:line="360" w:lineRule="auto"/>
        <w:rPr>
          <w:rFonts w:eastAsia="PMingLiU"/>
          <w:snapToGrid w:val="0"/>
          <w:kern w:val="0"/>
          <w:sz w:val="24"/>
          <w:szCs w:val="20"/>
          <w:lang w:eastAsia="en-US"/>
        </w:rPr>
      </w:pPr>
    </w:p>
    <w:p w14:paraId="0CB73F74" w14:textId="1E55DB23" w:rsidR="007C3ABB" w:rsidRDefault="007C3ABB" w:rsidP="007C3ABB">
      <w:pPr>
        <w:spacing w:line="360" w:lineRule="auto"/>
        <w:rPr>
          <w:rFonts w:eastAsiaTheme="minorEastAsia"/>
          <w:snapToGrid w:val="0"/>
          <w:kern w:val="0"/>
          <w:sz w:val="24"/>
          <w:szCs w:val="20"/>
        </w:rPr>
      </w:pPr>
      <w:r w:rsidRPr="00A66EF4">
        <w:rPr>
          <w:rFonts w:eastAsia="PMingLiU"/>
          <w:snapToGrid w:val="0"/>
          <w:kern w:val="0"/>
          <w:sz w:val="24"/>
          <w:szCs w:val="20"/>
          <w:lang w:eastAsia="en-US"/>
        </w:rPr>
        <w:t xml:space="preserve">Thank you very much for your decision letter and advice on our manuscript </w:t>
      </w:r>
      <w:r w:rsidRPr="00C62AAB">
        <w:rPr>
          <w:rFonts w:eastAsia="????"/>
          <w:snapToGrid w:val="0"/>
          <w:kern w:val="0"/>
          <w:sz w:val="24"/>
          <w:szCs w:val="20"/>
          <w:lang w:eastAsia="en-US"/>
        </w:rPr>
        <w:t>(</w:t>
      </w:r>
      <w:r w:rsidR="00C62AAB">
        <w:rPr>
          <w:rFonts w:eastAsiaTheme="minorEastAsia" w:hint="eastAsia"/>
          <w:snapToGrid w:val="0"/>
          <w:kern w:val="0"/>
          <w:sz w:val="24"/>
          <w:szCs w:val="20"/>
        </w:rPr>
        <w:t>MS#</w:t>
      </w:r>
      <w:bookmarkStart w:id="0" w:name="_GoBack"/>
      <w:bookmarkEnd w:id="0"/>
      <w:r w:rsidR="00C62AAB" w:rsidRPr="00C62AAB">
        <w:rPr>
          <w:rFonts w:eastAsia="????"/>
          <w:snapToGrid w:val="0"/>
          <w:kern w:val="0"/>
          <w:sz w:val="24"/>
          <w:szCs w:val="20"/>
          <w:lang w:eastAsia="en-US"/>
        </w:rPr>
        <w:t>PONE-D-24-48029</w:t>
      </w:r>
      <w:r w:rsidRPr="00C62AAB">
        <w:rPr>
          <w:rFonts w:eastAsia="????"/>
          <w:snapToGrid w:val="0"/>
          <w:kern w:val="0"/>
          <w:sz w:val="24"/>
          <w:szCs w:val="20"/>
          <w:lang w:eastAsia="en-US"/>
        </w:rPr>
        <w:t>) entitled “</w:t>
      </w:r>
      <w:r w:rsidRPr="00C62AAB">
        <w:rPr>
          <w:rFonts w:eastAsia="????" w:hint="eastAsia"/>
          <w:snapToGrid w:val="0"/>
          <w:kern w:val="0"/>
          <w:sz w:val="24"/>
          <w:szCs w:val="20"/>
          <w:lang w:eastAsia="en-US"/>
        </w:rPr>
        <w:t>T</w:t>
      </w:r>
      <w:r w:rsidRPr="00C62AAB">
        <w:rPr>
          <w:rFonts w:eastAsia="????"/>
          <w:snapToGrid w:val="0"/>
          <w:kern w:val="0"/>
          <w:sz w:val="24"/>
          <w:szCs w:val="20"/>
          <w:lang w:eastAsia="en-US"/>
        </w:rPr>
        <w:t xml:space="preserve">he potential role of </w:t>
      </w:r>
      <w:proofErr w:type="spellStart"/>
      <w:r w:rsidRPr="00C62AAB">
        <w:rPr>
          <w:rFonts w:eastAsia="????"/>
          <w:snapToGrid w:val="0"/>
          <w:kern w:val="0"/>
          <w:sz w:val="24"/>
          <w:szCs w:val="20"/>
          <w:lang w:eastAsia="en-US"/>
        </w:rPr>
        <w:t>cuproptosis</w:t>
      </w:r>
      <w:proofErr w:type="spellEnd"/>
      <w:r w:rsidRPr="00C62AAB">
        <w:rPr>
          <w:rFonts w:eastAsia="????"/>
          <w:snapToGrid w:val="0"/>
          <w:kern w:val="0"/>
          <w:sz w:val="24"/>
          <w:szCs w:val="20"/>
          <w:lang w:eastAsia="en-US"/>
        </w:rPr>
        <w:t>-related genes for</w:t>
      </w:r>
      <w:r w:rsidRPr="007C3ABB">
        <w:rPr>
          <w:rFonts w:eastAsia="PMingLiU"/>
          <w:snapToGrid w:val="0"/>
          <w:kern w:val="0"/>
          <w:sz w:val="24"/>
          <w:szCs w:val="20"/>
          <w:lang w:eastAsia="en-US"/>
        </w:rPr>
        <w:t xml:space="preserve"> therapy and immunoregulation in pan-cancer</w:t>
      </w:r>
      <w:r w:rsidRPr="00A66EF4">
        <w:rPr>
          <w:rFonts w:eastAsia="PMingLiU"/>
          <w:snapToGrid w:val="0"/>
          <w:kern w:val="0"/>
          <w:sz w:val="24"/>
          <w:szCs w:val="20"/>
          <w:lang w:eastAsia="en-US"/>
        </w:rPr>
        <w:t xml:space="preserve">”. </w:t>
      </w:r>
      <w:r w:rsidRPr="00A66EF4">
        <w:rPr>
          <w:rFonts w:eastAsia="????"/>
          <w:snapToGrid w:val="0"/>
          <w:kern w:val="0"/>
          <w:sz w:val="24"/>
          <w:szCs w:val="20"/>
          <w:lang w:eastAsia="en-US"/>
        </w:rPr>
        <w:t xml:space="preserve">We also thank the reviewers for the constructive comments and suggestions. </w:t>
      </w:r>
      <w:r>
        <w:rPr>
          <w:rFonts w:eastAsia="????"/>
          <w:snapToGrid w:val="0"/>
          <w:kern w:val="0"/>
          <w:sz w:val="24"/>
          <w:szCs w:val="20"/>
          <w:lang w:eastAsia="en-US"/>
        </w:rPr>
        <w:t>W</w:t>
      </w:r>
      <w:r w:rsidRPr="00A66EF4">
        <w:rPr>
          <w:rFonts w:eastAsia="????"/>
          <w:snapToGrid w:val="0"/>
          <w:kern w:val="0"/>
          <w:sz w:val="24"/>
          <w:szCs w:val="20"/>
          <w:lang w:eastAsia="en-US"/>
        </w:rPr>
        <w:t>e have</w:t>
      </w:r>
      <w:r w:rsidRPr="00A66EF4">
        <w:rPr>
          <w:rFonts w:eastAsia="????" w:hint="eastAsia"/>
          <w:snapToGrid w:val="0"/>
          <w:kern w:val="0"/>
          <w:sz w:val="24"/>
          <w:szCs w:val="20"/>
          <w:lang w:eastAsia="en-US"/>
        </w:rPr>
        <w:t xml:space="preserve"> </w:t>
      </w:r>
      <w:r w:rsidRPr="00A66EF4">
        <w:rPr>
          <w:rFonts w:eastAsia="????"/>
          <w:snapToGrid w:val="0"/>
          <w:kern w:val="0"/>
          <w:sz w:val="24"/>
          <w:szCs w:val="20"/>
          <w:lang w:eastAsia="en-US"/>
        </w:rPr>
        <w:t>revised the manuscript</w:t>
      </w:r>
      <w:r>
        <w:rPr>
          <w:rFonts w:eastAsia="????"/>
          <w:snapToGrid w:val="0"/>
          <w:kern w:val="0"/>
          <w:sz w:val="24"/>
          <w:szCs w:val="20"/>
          <w:lang w:eastAsia="en-US"/>
        </w:rPr>
        <w:t xml:space="preserve"> accordingly, and a</w:t>
      </w:r>
      <w:r w:rsidRPr="00A66EF4">
        <w:rPr>
          <w:rFonts w:eastAsia="????"/>
          <w:snapToGrid w:val="0"/>
          <w:kern w:val="0"/>
          <w:sz w:val="24"/>
          <w:szCs w:val="20"/>
          <w:lang w:eastAsia="en-US"/>
        </w:rPr>
        <w:t xml:space="preserve">ll </w:t>
      </w:r>
      <w:r w:rsidRPr="00A66EF4">
        <w:rPr>
          <w:rFonts w:eastAsia="PMingLiU"/>
          <w:snapToGrid w:val="0"/>
          <w:kern w:val="0"/>
          <w:sz w:val="24"/>
          <w:szCs w:val="20"/>
          <w:lang w:eastAsia="en-US"/>
        </w:rPr>
        <w:t>amendments</w:t>
      </w:r>
      <w:r w:rsidRPr="00A66EF4">
        <w:rPr>
          <w:rFonts w:eastAsia="PMingLiU" w:hint="eastAsia"/>
          <w:snapToGrid w:val="0"/>
          <w:kern w:val="0"/>
          <w:sz w:val="24"/>
          <w:szCs w:val="20"/>
          <w:lang w:eastAsia="en-US"/>
        </w:rPr>
        <w:t xml:space="preserve"> </w:t>
      </w:r>
      <w:r w:rsidRPr="00A66EF4">
        <w:rPr>
          <w:rFonts w:eastAsia="PMingLiU"/>
          <w:snapToGrid w:val="0"/>
          <w:kern w:val="0"/>
          <w:sz w:val="24"/>
          <w:szCs w:val="20"/>
          <w:lang w:eastAsia="en-US"/>
        </w:rPr>
        <w:t xml:space="preserve">are </w:t>
      </w:r>
      <w:r>
        <w:rPr>
          <w:rFonts w:eastAsia="PMingLiU"/>
          <w:snapToGrid w:val="0"/>
          <w:kern w:val="0"/>
          <w:sz w:val="24"/>
          <w:szCs w:val="20"/>
          <w:lang w:eastAsia="en-US"/>
        </w:rPr>
        <w:t>indicated by</w:t>
      </w:r>
      <w:r w:rsidRPr="00A66EF4">
        <w:rPr>
          <w:rFonts w:eastAsia="PMingLiU"/>
          <w:snapToGrid w:val="0"/>
          <w:kern w:val="0"/>
          <w:sz w:val="24"/>
          <w:szCs w:val="20"/>
          <w:lang w:eastAsia="en-US"/>
        </w:rPr>
        <w:t xml:space="preserve"> red</w:t>
      </w:r>
      <w:r>
        <w:rPr>
          <w:rFonts w:eastAsia="PMingLiU"/>
          <w:snapToGrid w:val="0"/>
          <w:kern w:val="0"/>
          <w:sz w:val="24"/>
          <w:szCs w:val="20"/>
          <w:lang w:eastAsia="en-US"/>
        </w:rPr>
        <w:t xml:space="preserve"> font</w:t>
      </w:r>
      <w:r w:rsidRPr="00A66EF4">
        <w:rPr>
          <w:rFonts w:eastAsia="PMingLiU"/>
          <w:snapToGrid w:val="0"/>
          <w:kern w:val="0"/>
          <w:sz w:val="24"/>
          <w:szCs w:val="20"/>
          <w:lang w:eastAsia="en-US"/>
        </w:rPr>
        <w:t xml:space="preserve"> in the revised manuscript</w:t>
      </w:r>
      <w:r w:rsidRPr="00A66EF4">
        <w:rPr>
          <w:rFonts w:eastAsia="PMingLiU" w:hint="eastAsia"/>
          <w:snapToGrid w:val="0"/>
          <w:kern w:val="0"/>
          <w:sz w:val="24"/>
          <w:szCs w:val="20"/>
          <w:lang w:eastAsia="en-US"/>
        </w:rPr>
        <w:t xml:space="preserve">. </w:t>
      </w:r>
      <w:r w:rsidRPr="00A66EF4">
        <w:rPr>
          <w:rFonts w:eastAsia="PMingLiU"/>
          <w:snapToGrid w:val="0"/>
          <w:kern w:val="0"/>
          <w:sz w:val="24"/>
          <w:szCs w:val="20"/>
          <w:lang w:eastAsia="en-US"/>
        </w:rPr>
        <w:t xml:space="preserve">In addition, </w:t>
      </w:r>
      <w:r>
        <w:rPr>
          <w:rFonts w:eastAsia="PMingLiU"/>
          <w:snapToGrid w:val="0"/>
          <w:kern w:val="0"/>
          <w:sz w:val="24"/>
          <w:szCs w:val="20"/>
          <w:lang w:eastAsia="en-US"/>
        </w:rPr>
        <w:t xml:space="preserve">our </w:t>
      </w:r>
      <w:r w:rsidRPr="00A66EF4">
        <w:rPr>
          <w:rFonts w:eastAsia="PMingLiU"/>
          <w:snapToGrid w:val="0"/>
          <w:kern w:val="0"/>
          <w:sz w:val="24"/>
          <w:szCs w:val="20"/>
          <w:lang w:eastAsia="en-US"/>
        </w:rPr>
        <w:t>point-by-point responses to the comments are listed below this letter.</w:t>
      </w:r>
    </w:p>
    <w:p w14:paraId="40D5DDDE" w14:textId="77777777" w:rsidR="00C46AF7" w:rsidRDefault="00C46AF7" w:rsidP="00C46AF7">
      <w:pPr>
        <w:spacing w:line="360" w:lineRule="auto"/>
        <w:rPr>
          <w:sz w:val="24"/>
          <w:szCs w:val="20"/>
        </w:rPr>
      </w:pPr>
      <w:r w:rsidRPr="00A66EF4">
        <w:rPr>
          <w:rFonts w:eastAsia="????" w:hint="eastAsia"/>
          <w:sz w:val="24"/>
          <w:szCs w:val="20"/>
          <w:lang w:eastAsia="zh-TW"/>
        </w:rPr>
        <w:t xml:space="preserve">We hope that </w:t>
      </w:r>
      <w:r>
        <w:rPr>
          <w:rFonts w:eastAsia="????"/>
          <w:sz w:val="24"/>
          <w:szCs w:val="20"/>
          <w:lang w:eastAsia="zh-TW"/>
        </w:rPr>
        <w:t>our</w:t>
      </w:r>
      <w:r w:rsidRPr="00A66EF4">
        <w:rPr>
          <w:rFonts w:eastAsia="????" w:hint="eastAsia"/>
          <w:sz w:val="24"/>
          <w:szCs w:val="20"/>
          <w:lang w:eastAsia="zh-TW"/>
        </w:rPr>
        <w:t xml:space="preserve"> revis</w:t>
      </w:r>
      <w:r>
        <w:rPr>
          <w:rFonts w:eastAsia="????"/>
          <w:sz w:val="24"/>
          <w:szCs w:val="20"/>
          <w:lang w:eastAsia="zh-TW"/>
        </w:rPr>
        <w:t>ed manuscript</w:t>
      </w:r>
      <w:r w:rsidRPr="00A66EF4">
        <w:rPr>
          <w:rFonts w:eastAsia="????" w:hint="eastAsia"/>
          <w:sz w:val="24"/>
          <w:szCs w:val="20"/>
          <w:lang w:eastAsia="zh-TW"/>
        </w:rPr>
        <w:t xml:space="preserve"> is </w:t>
      </w:r>
      <w:r>
        <w:rPr>
          <w:rFonts w:eastAsia="????"/>
          <w:sz w:val="24"/>
          <w:szCs w:val="20"/>
          <w:lang w:eastAsia="zh-TW"/>
        </w:rPr>
        <w:t xml:space="preserve">now </w:t>
      </w:r>
      <w:r w:rsidRPr="00A66EF4">
        <w:rPr>
          <w:rFonts w:eastAsia="????" w:hint="eastAsia"/>
          <w:sz w:val="24"/>
          <w:szCs w:val="20"/>
          <w:lang w:eastAsia="zh-TW"/>
        </w:rPr>
        <w:t>acceptable</w:t>
      </w:r>
      <w:r w:rsidRPr="00A66EF4">
        <w:rPr>
          <w:rFonts w:eastAsia="????"/>
          <w:sz w:val="24"/>
          <w:szCs w:val="20"/>
          <w:lang w:eastAsia="zh-TW"/>
        </w:rPr>
        <w:t xml:space="preserve"> for publication in your journal</w:t>
      </w:r>
      <w:r>
        <w:rPr>
          <w:rFonts w:eastAsia="????"/>
          <w:sz w:val="24"/>
          <w:szCs w:val="20"/>
          <w:lang w:eastAsia="zh-TW"/>
        </w:rPr>
        <w:t xml:space="preserve"> and l</w:t>
      </w:r>
      <w:r w:rsidRPr="00A66EF4">
        <w:rPr>
          <w:rFonts w:eastAsia="????" w:hint="eastAsia"/>
          <w:sz w:val="24"/>
          <w:szCs w:val="20"/>
          <w:lang w:eastAsia="zh-TW"/>
        </w:rPr>
        <w:t xml:space="preserve">ook forward to hearing from you soon. </w:t>
      </w:r>
      <w:r w:rsidRPr="00A66EF4">
        <w:rPr>
          <w:rFonts w:hint="eastAsia"/>
          <w:sz w:val="24"/>
          <w:szCs w:val="20"/>
        </w:rPr>
        <w:t xml:space="preserve"> </w:t>
      </w:r>
    </w:p>
    <w:p w14:paraId="67AD57C0" w14:textId="77777777" w:rsidR="00C46AF7" w:rsidRPr="00A66EF4" w:rsidRDefault="00C46AF7" w:rsidP="00C46AF7">
      <w:pPr>
        <w:spacing w:line="360" w:lineRule="auto"/>
        <w:rPr>
          <w:sz w:val="24"/>
          <w:szCs w:val="20"/>
        </w:rPr>
      </w:pPr>
    </w:p>
    <w:p w14:paraId="000C533F" w14:textId="77777777" w:rsidR="00C46AF7" w:rsidRPr="002713B3" w:rsidRDefault="00C46AF7" w:rsidP="00C46AF7">
      <w:pPr>
        <w:spacing w:line="360" w:lineRule="auto"/>
        <w:ind w:right="444"/>
        <w:rPr>
          <w:snapToGrid w:val="0"/>
          <w:kern w:val="0"/>
          <w:sz w:val="24"/>
          <w:szCs w:val="20"/>
        </w:rPr>
      </w:pPr>
      <w:r w:rsidRPr="00A66EF4">
        <w:rPr>
          <w:rFonts w:eastAsia="PMingLiU"/>
          <w:snapToGrid w:val="0"/>
          <w:kern w:val="0"/>
          <w:sz w:val="24"/>
          <w:szCs w:val="20"/>
          <w:lang w:eastAsia="en-US"/>
        </w:rPr>
        <w:t>With best wishes,</w:t>
      </w:r>
    </w:p>
    <w:p w14:paraId="73E239FA" w14:textId="77777777" w:rsidR="00C46AF7" w:rsidRPr="00A66EF4" w:rsidRDefault="00C46AF7" w:rsidP="00C46AF7">
      <w:pPr>
        <w:spacing w:line="360" w:lineRule="auto"/>
        <w:rPr>
          <w:rFonts w:eastAsia="PMingLiU"/>
          <w:snapToGrid w:val="0"/>
          <w:kern w:val="0"/>
          <w:sz w:val="24"/>
          <w:szCs w:val="20"/>
          <w:lang w:eastAsia="en-US"/>
        </w:rPr>
      </w:pPr>
      <w:r w:rsidRPr="00A66EF4">
        <w:rPr>
          <w:rFonts w:eastAsia="PMingLiU"/>
          <w:snapToGrid w:val="0"/>
          <w:kern w:val="0"/>
          <w:sz w:val="24"/>
          <w:szCs w:val="20"/>
          <w:lang w:eastAsia="en-US"/>
        </w:rPr>
        <w:t>Yours sincerely,</w:t>
      </w:r>
    </w:p>
    <w:p w14:paraId="48D71E76" w14:textId="77777777" w:rsidR="00C46AF7" w:rsidRPr="00A66EF4" w:rsidRDefault="00C46AF7" w:rsidP="00C46A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left"/>
        <w:rPr>
          <w:rFonts w:eastAsia="PMingLiU"/>
          <w:snapToGrid w:val="0"/>
          <w:kern w:val="0"/>
          <w:sz w:val="24"/>
          <w:szCs w:val="20"/>
          <w:lang w:val="en-AU" w:eastAsia="en-US"/>
        </w:rPr>
      </w:pPr>
    </w:p>
    <w:p w14:paraId="66FE68B6" w14:textId="2408C2ED" w:rsidR="00C46AF7" w:rsidRPr="007C3ABB" w:rsidRDefault="00C46AF7" w:rsidP="00C46AF7">
      <w:pPr>
        <w:spacing w:afterLines="50" w:after="156"/>
        <w:rPr>
          <w:sz w:val="24"/>
        </w:rPr>
      </w:pPr>
      <w:r>
        <w:rPr>
          <w:rFonts w:hint="eastAsia"/>
          <w:sz w:val="24"/>
        </w:rPr>
        <w:t>Corresponding author</w:t>
      </w:r>
    </w:p>
    <w:p w14:paraId="7E4BE67A" w14:textId="77777777" w:rsidR="00C46AF7" w:rsidRPr="00C46AF7" w:rsidRDefault="00C46AF7" w:rsidP="007C3ABB">
      <w:pPr>
        <w:spacing w:line="360" w:lineRule="auto"/>
        <w:rPr>
          <w:rFonts w:eastAsiaTheme="minorEastAsia"/>
          <w:snapToGrid w:val="0"/>
          <w:kern w:val="0"/>
          <w:sz w:val="24"/>
          <w:szCs w:val="20"/>
        </w:rPr>
      </w:pPr>
    </w:p>
    <w:p w14:paraId="6D09F0BF" w14:textId="77777777" w:rsidR="007C3ABB" w:rsidRPr="00A66EF4" w:rsidRDefault="007C3ABB" w:rsidP="007C3ABB">
      <w:pPr>
        <w:spacing w:line="360" w:lineRule="auto"/>
        <w:rPr>
          <w:rFonts w:eastAsia="PMingLiU"/>
          <w:snapToGrid w:val="0"/>
          <w:kern w:val="0"/>
          <w:sz w:val="24"/>
          <w:szCs w:val="20"/>
          <w:lang w:eastAsia="en-US"/>
        </w:rPr>
      </w:pPr>
    </w:p>
    <w:p w14:paraId="36C0E9D9" w14:textId="77777777" w:rsidR="00C46AF7" w:rsidRDefault="00C46AF7" w:rsidP="007C3ABB">
      <w:pPr>
        <w:spacing w:line="360" w:lineRule="auto"/>
        <w:rPr>
          <w:b/>
          <w:bCs/>
          <w:sz w:val="24"/>
          <w:szCs w:val="20"/>
        </w:rPr>
        <w:sectPr w:rsidR="00C46A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1124281" w14:textId="4903EDA7" w:rsidR="007C3ABB" w:rsidRPr="007C3ABB" w:rsidRDefault="007C3ABB" w:rsidP="007C3ABB">
      <w:pPr>
        <w:spacing w:line="360" w:lineRule="auto"/>
        <w:rPr>
          <w:b/>
          <w:bCs/>
          <w:sz w:val="24"/>
          <w:szCs w:val="20"/>
        </w:rPr>
      </w:pPr>
      <w:r w:rsidRPr="007C3ABB">
        <w:rPr>
          <w:b/>
          <w:bCs/>
          <w:sz w:val="24"/>
          <w:szCs w:val="20"/>
        </w:rPr>
        <w:lastRenderedPageBreak/>
        <w:t>Reviewer #1</w:t>
      </w:r>
    </w:p>
    <w:p w14:paraId="648E4121" w14:textId="77777777" w:rsidR="007C3ABB" w:rsidRPr="007C3ABB" w:rsidRDefault="007C3ABB" w:rsidP="007C3ABB">
      <w:pPr>
        <w:spacing w:line="360" w:lineRule="auto"/>
        <w:rPr>
          <w:sz w:val="24"/>
          <w:szCs w:val="20"/>
        </w:rPr>
      </w:pPr>
      <w:r w:rsidRPr="007C3ABB">
        <w:rPr>
          <w:b/>
          <w:bCs/>
          <w:sz w:val="24"/>
          <w:szCs w:val="20"/>
        </w:rPr>
        <w:t>Comment 1:</w:t>
      </w:r>
      <w:r w:rsidRPr="007C3ABB">
        <w:rPr>
          <w:sz w:val="24"/>
          <w:szCs w:val="20"/>
        </w:rPr>
        <w:t xml:space="preserve"> </w:t>
      </w:r>
      <w:r w:rsidRPr="007C3ABB">
        <w:rPr>
          <w:i/>
          <w:iCs/>
          <w:sz w:val="24"/>
          <w:szCs w:val="20"/>
        </w:rPr>
        <w:t>All abbreviations in the Abstract should be deciphered.</w:t>
      </w:r>
      <w:r w:rsidRPr="007C3ABB">
        <w:rPr>
          <w:sz w:val="24"/>
          <w:szCs w:val="20"/>
        </w:rPr>
        <w:br/>
      </w:r>
      <w:r w:rsidRPr="007C3ABB">
        <w:rPr>
          <w:b/>
          <w:bCs/>
          <w:sz w:val="24"/>
          <w:szCs w:val="20"/>
        </w:rPr>
        <w:t>Response:</w:t>
      </w:r>
      <w:r w:rsidRPr="007C3ABB">
        <w:rPr>
          <w:sz w:val="24"/>
          <w:szCs w:val="20"/>
        </w:rPr>
        <w:t xml:space="preserve"> Thank you for your suggestion. We have now spelled out all abbreviations (e.g., TMB, MSI, NEO, TME) upon their first appearance in the abstract.</w:t>
      </w:r>
    </w:p>
    <w:p w14:paraId="406568FA" w14:textId="13592E6A" w:rsidR="007C3ABB" w:rsidRPr="007C3ABB" w:rsidRDefault="007C3ABB" w:rsidP="007C3ABB">
      <w:pPr>
        <w:spacing w:line="360" w:lineRule="auto"/>
        <w:rPr>
          <w:sz w:val="24"/>
          <w:szCs w:val="20"/>
        </w:rPr>
      </w:pPr>
    </w:p>
    <w:p w14:paraId="0D791E6F" w14:textId="77777777" w:rsidR="007C3ABB" w:rsidRPr="007C3ABB" w:rsidRDefault="007C3ABB" w:rsidP="007C3ABB">
      <w:pPr>
        <w:spacing w:line="360" w:lineRule="auto"/>
        <w:rPr>
          <w:sz w:val="24"/>
          <w:szCs w:val="20"/>
        </w:rPr>
      </w:pPr>
      <w:r w:rsidRPr="007C3ABB">
        <w:rPr>
          <w:b/>
          <w:bCs/>
          <w:sz w:val="24"/>
          <w:szCs w:val="20"/>
        </w:rPr>
        <w:t>Comment 2:</w:t>
      </w:r>
      <w:r w:rsidRPr="007C3ABB">
        <w:rPr>
          <w:sz w:val="24"/>
          <w:szCs w:val="20"/>
        </w:rPr>
        <w:t xml:space="preserve"> </w:t>
      </w:r>
      <w:r w:rsidRPr="007C3ABB">
        <w:rPr>
          <w:i/>
          <w:iCs/>
          <w:sz w:val="24"/>
          <w:szCs w:val="20"/>
        </w:rPr>
        <w:t xml:space="preserve">Introduction should mention existing controversies about </w:t>
      </w:r>
      <w:proofErr w:type="spellStart"/>
      <w:r w:rsidRPr="007C3ABB">
        <w:rPr>
          <w:i/>
          <w:iCs/>
          <w:sz w:val="24"/>
          <w:szCs w:val="20"/>
        </w:rPr>
        <w:t>cuproptosis</w:t>
      </w:r>
      <w:proofErr w:type="spellEnd"/>
      <w:r w:rsidRPr="007C3ABB">
        <w:rPr>
          <w:i/>
          <w:iCs/>
          <w:sz w:val="24"/>
          <w:szCs w:val="20"/>
        </w:rPr>
        <w:t xml:space="preserve"> role in cancers and </w:t>
      </w:r>
      <w:proofErr w:type="spellStart"/>
      <w:r w:rsidRPr="007C3ABB">
        <w:rPr>
          <w:i/>
          <w:iCs/>
          <w:sz w:val="24"/>
          <w:szCs w:val="20"/>
        </w:rPr>
        <w:t>tumour</w:t>
      </w:r>
      <w:proofErr w:type="spellEnd"/>
      <w:r w:rsidRPr="007C3ABB">
        <w:rPr>
          <w:i/>
          <w:iCs/>
          <w:sz w:val="24"/>
          <w:szCs w:val="20"/>
        </w:rPr>
        <w:t xml:space="preserve"> microenvironment; refer to Zhao et al., 2024.</w:t>
      </w:r>
      <w:r w:rsidRPr="007C3ABB">
        <w:rPr>
          <w:sz w:val="24"/>
          <w:szCs w:val="20"/>
        </w:rPr>
        <w:br/>
      </w:r>
      <w:r w:rsidRPr="007C3ABB">
        <w:rPr>
          <w:b/>
          <w:bCs/>
          <w:sz w:val="24"/>
          <w:szCs w:val="20"/>
        </w:rPr>
        <w:t>Response:</w:t>
      </w:r>
      <w:r w:rsidRPr="007C3ABB">
        <w:rPr>
          <w:sz w:val="24"/>
          <w:szCs w:val="20"/>
        </w:rPr>
        <w:t xml:space="preserve"> We have revised the Introduction to include the controversies regarding the role of </w:t>
      </w:r>
      <w:proofErr w:type="spellStart"/>
      <w:r w:rsidRPr="007C3ABB">
        <w:rPr>
          <w:sz w:val="24"/>
          <w:szCs w:val="20"/>
        </w:rPr>
        <w:t>cuproptosis</w:t>
      </w:r>
      <w:proofErr w:type="spellEnd"/>
      <w:r w:rsidRPr="007C3ABB">
        <w:rPr>
          <w:sz w:val="24"/>
          <w:szCs w:val="20"/>
        </w:rPr>
        <w:t xml:space="preserve"> in the tumor microenvironment, as highlighted in the review by Zhao et al., 2024 (PMID: </w:t>
      </w:r>
      <w:proofErr w:type="gramStart"/>
      <w:r w:rsidRPr="007C3ABB">
        <w:rPr>
          <w:sz w:val="24"/>
          <w:szCs w:val="20"/>
        </w:rPr>
        <w:t>39068453 )</w:t>
      </w:r>
      <w:proofErr w:type="gramEnd"/>
      <w:r w:rsidRPr="007C3ABB">
        <w:rPr>
          <w:sz w:val="24"/>
          <w:szCs w:val="20"/>
        </w:rPr>
        <w:t>. This has been added to better contextualize our study’s focus on immunoregulation.</w:t>
      </w:r>
    </w:p>
    <w:p w14:paraId="7A91331B" w14:textId="5F5666CE" w:rsidR="007C3ABB" w:rsidRPr="007C3ABB" w:rsidRDefault="007C3ABB" w:rsidP="007C3ABB">
      <w:pPr>
        <w:spacing w:line="360" w:lineRule="auto"/>
        <w:rPr>
          <w:sz w:val="24"/>
          <w:szCs w:val="20"/>
        </w:rPr>
      </w:pPr>
    </w:p>
    <w:p w14:paraId="2F628826" w14:textId="77777777" w:rsidR="007C3ABB" w:rsidRPr="007C3ABB" w:rsidRDefault="007C3ABB" w:rsidP="007C3ABB">
      <w:pPr>
        <w:spacing w:line="360" w:lineRule="auto"/>
        <w:rPr>
          <w:sz w:val="24"/>
          <w:szCs w:val="20"/>
        </w:rPr>
      </w:pPr>
      <w:r w:rsidRPr="007C3ABB">
        <w:rPr>
          <w:b/>
          <w:bCs/>
          <w:sz w:val="24"/>
          <w:szCs w:val="20"/>
        </w:rPr>
        <w:t>Comment 3:</w:t>
      </w:r>
      <w:r w:rsidRPr="007C3ABB">
        <w:rPr>
          <w:sz w:val="24"/>
          <w:szCs w:val="20"/>
        </w:rPr>
        <w:t xml:space="preserve"> </w:t>
      </w:r>
      <w:r w:rsidRPr="007C3ABB">
        <w:rPr>
          <w:i/>
          <w:iCs/>
          <w:sz w:val="24"/>
          <w:szCs w:val="20"/>
        </w:rPr>
        <w:t>Figure 2 quality is low in the PDF. Improve the resolution and font size.</w:t>
      </w:r>
      <w:r w:rsidRPr="007C3ABB">
        <w:rPr>
          <w:sz w:val="24"/>
          <w:szCs w:val="20"/>
        </w:rPr>
        <w:br/>
      </w:r>
      <w:r w:rsidRPr="007C3ABB">
        <w:rPr>
          <w:b/>
          <w:bCs/>
          <w:sz w:val="24"/>
          <w:szCs w:val="20"/>
        </w:rPr>
        <w:t>Response:</w:t>
      </w:r>
      <w:r w:rsidRPr="007C3ABB">
        <w:rPr>
          <w:sz w:val="24"/>
          <w:szCs w:val="20"/>
        </w:rPr>
        <w:t xml:space="preserve"> We have regenerated Figure 2 with improved resolution and larger font size. The figure has also been processed through the PACE system to meet PLOS standards.</w:t>
      </w:r>
    </w:p>
    <w:p w14:paraId="720DDEA9" w14:textId="10B2E5EC" w:rsidR="007C3ABB" w:rsidRPr="007C3ABB" w:rsidRDefault="007C3ABB" w:rsidP="007C3ABB">
      <w:pPr>
        <w:spacing w:line="360" w:lineRule="auto"/>
        <w:rPr>
          <w:sz w:val="24"/>
          <w:szCs w:val="20"/>
        </w:rPr>
      </w:pPr>
    </w:p>
    <w:p w14:paraId="1923F6D4" w14:textId="77777777" w:rsidR="007C3ABB" w:rsidRPr="007C3ABB" w:rsidRDefault="007C3ABB" w:rsidP="007C3ABB">
      <w:pPr>
        <w:spacing w:line="360" w:lineRule="auto"/>
        <w:rPr>
          <w:sz w:val="24"/>
          <w:szCs w:val="20"/>
        </w:rPr>
      </w:pPr>
      <w:r w:rsidRPr="007C3ABB">
        <w:rPr>
          <w:b/>
          <w:bCs/>
          <w:sz w:val="24"/>
          <w:szCs w:val="20"/>
        </w:rPr>
        <w:t>Comment 4:</w:t>
      </w:r>
      <w:r w:rsidRPr="007C3ABB">
        <w:rPr>
          <w:sz w:val="24"/>
          <w:szCs w:val="20"/>
        </w:rPr>
        <w:t xml:space="preserve"> </w:t>
      </w:r>
      <w:r w:rsidRPr="007C3ABB">
        <w:rPr>
          <w:i/>
          <w:iCs/>
          <w:sz w:val="24"/>
          <w:szCs w:val="20"/>
        </w:rPr>
        <w:t>There are some English mistakes. Please clarify what “drug sensibility” means.</w:t>
      </w:r>
      <w:r w:rsidRPr="007C3ABB">
        <w:rPr>
          <w:sz w:val="24"/>
          <w:szCs w:val="20"/>
        </w:rPr>
        <w:br/>
      </w:r>
      <w:r w:rsidRPr="007C3ABB">
        <w:rPr>
          <w:b/>
          <w:bCs/>
          <w:sz w:val="24"/>
          <w:szCs w:val="20"/>
        </w:rPr>
        <w:t>Response:</w:t>
      </w:r>
      <w:r w:rsidRPr="007C3ABB">
        <w:rPr>
          <w:sz w:val="24"/>
          <w:szCs w:val="20"/>
        </w:rPr>
        <w:t xml:space="preserve"> Thank you for pointing this out. The term “drug sensibility” has been corrected to “drug sensitivity” throughout the manuscript.</w:t>
      </w:r>
    </w:p>
    <w:p w14:paraId="13C0D931" w14:textId="2BA5C01D" w:rsidR="007C3ABB" w:rsidRPr="007C3ABB" w:rsidRDefault="007C3ABB" w:rsidP="007C3ABB">
      <w:pPr>
        <w:spacing w:line="360" w:lineRule="auto"/>
        <w:rPr>
          <w:sz w:val="24"/>
          <w:szCs w:val="20"/>
        </w:rPr>
      </w:pPr>
    </w:p>
    <w:p w14:paraId="6858ECCA" w14:textId="77777777" w:rsidR="007C3ABB" w:rsidRPr="007C3ABB" w:rsidRDefault="007C3ABB" w:rsidP="007C3ABB">
      <w:pPr>
        <w:spacing w:line="360" w:lineRule="auto"/>
        <w:rPr>
          <w:sz w:val="24"/>
          <w:szCs w:val="20"/>
        </w:rPr>
      </w:pPr>
      <w:r w:rsidRPr="007C3ABB">
        <w:rPr>
          <w:b/>
          <w:bCs/>
          <w:sz w:val="24"/>
          <w:szCs w:val="20"/>
        </w:rPr>
        <w:t>Comment 5:</w:t>
      </w:r>
      <w:r w:rsidRPr="007C3ABB">
        <w:rPr>
          <w:sz w:val="24"/>
          <w:szCs w:val="20"/>
        </w:rPr>
        <w:t xml:space="preserve"> </w:t>
      </w:r>
      <w:r w:rsidRPr="007C3ABB">
        <w:rPr>
          <w:i/>
          <w:iCs/>
          <w:sz w:val="24"/>
          <w:szCs w:val="20"/>
        </w:rPr>
        <w:t xml:space="preserve">Line 343: revise “subsequent treatment with the mechanism of </w:t>
      </w:r>
      <w:proofErr w:type="spellStart"/>
      <w:r w:rsidRPr="007C3ABB">
        <w:rPr>
          <w:i/>
          <w:iCs/>
          <w:sz w:val="24"/>
          <w:szCs w:val="20"/>
        </w:rPr>
        <w:t>cuproptosis</w:t>
      </w:r>
      <w:proofErr w:type="spellEnd"/>
      <w:r w:rsidRPr="007C3ABB">
        <w:rPr>
          <w:i/>
          <w:iCs/>
          <w:sz w:val="24"/>
          <w:szCs w:val="20"/>
        </w:rPr>
        <w:t>.”</w:t>
      </w:r>
      <w:r w:rsidRPr="007C3ABB">
        <w:rPr>
          <w:sz w:val="24"/>
          <w:szCs w:val="20"/>
        </w:rPr>
        <w:br/>
      </w:r>
      <w:r w:rsidRPr="007C3ABB">
        <w:rPr>
          <w:b/>
          <w:bCs/>
          <w:sz w:val="24"/>
          <w:szCs w:val="20"/>
        </w:rPr>
        <w:t>Response:</w:t>
      </w:r>
      <w:r w:rsidRPr="007C3ABB">
        <w:rPr>
          <w:sz w:val="24"/>
          <w:szCs w:val="20"/>
        </w:rPr>
        <w:t xml:space="preserve"> This sentence has been rephrased as: “subsequent treatment using drugs that activate </w:t>
      </w:r>
      <w:proofErr w:type="spellStart"/>
      <w:r w:rsidRPr="007C3ABB">
        <w:rPr>
          <w:sz w:val="24"/>
          <w:szCs w:val="20"/>
        </w:rPr>
        <w:t>cuproptosis</w:t>
      </w:r>
      <w:proofErr w:type="spellEnd"/>
      <w:r w:rsidRPr="007C3ABB">
        <w:rPr>
          <w:sz w:val="24"/>
          <w:szCs w:val="20"/>
        </w:rPr>
        <w:t>.”</w:t>
      </w:r>
    </w:p>
    <w:p w14:paraId="3680DFDE" w14:textId="3A2B5697" w:rsidR="007C3ABB" w:rsidRPr="007C3ABB" w:rsidRDefault="007C3ABB" w:rsidP="007C3ABB">
      <w:pPr>
        <w:spacing w:line="360" w:lineRule="auto"/>
        <w:rPr>
          <w:sz w:val="24"/>
          <w:szCs w:val="20"/>
        </w:rPr>
      </w:pPr>
    </w:p>
    <w:p w14:paraId="0919235D" w14:textId="77777777" w:rsidR="007C3ABB" w:rsidRPr="007C3ABB" w:rsidRDefault="007C3ABB" w:rsidP="007C3ABB">
      <w:pPr>
        <w:spacing w:line="360" w:lineRule="auto"/>
        <w:rPr>
          <w:sz w:val="24"/>
          <w:szCs w:val="20"/>
        </w:rPr>
      </w:pPr>
      <w:r w:rsidRPr="007C3ABB">
        <w:rPr>
          <w:b/>
          <w:bCs/>
          <w:sz w:val="24"/>
          <w:szCs w:val="20"/>
        </w:rPr>
        <w:t>Comment 6:</w:t>
      </w:r>
      <w:r w:rsidRPr="007C3ABB">
        <w:rPr>
          <w:sz w:val="24"/>
          <w:szCs w:val="20"/>
        </w:rPr>
        <w:t xml:space="preserve"> </w:t>
      </w:r>
      <w:r w:rsidRPr="007C3ABB">
        <w:rPr>
          <w:i/>
          <w:iCs/>
          <w:sz w:val="24"/>
          <w:szCs w:val="20"/>
        </w:rPr>
        <w:t>Discussion needs English editing. Line 349 and others require rewriting.</w:t>
      </w:r>
      <w:r w:rsidRPr="007C3ABB">
        <w:rPr>
          <w:sz w:val="24"/>
          <w:szCs w:val="20"/>
        </w:rPr>
        <w:br/>
      </w:r>
      <w:r w:rsidRPr="007C3ABB">
        <w:rPr>
          <w:b/>
          <w:bCs/>
          <w:sz w:val="24"/>
          <w:szCs w:val="20"/>
        </w:rPr>
        <w:t>Response:</w:t>
      </w:r>
      <w:r w:rsidRPr="007C3ABB">
        <w:rPr>
          <w:sz w:val="24"/>
          <w:szCs w:val="20"/>
        </w:rPr>
        <w:t xml:space="preserve"> We have thoroughly edited the Discussion section for grammar and clarity, especially from line 349 onward. The section now uses more concise and </w:t>
      </w:r>
      <w:r w:rsidRPr="007C3ABB">
        <w:rPr>
          <w:sz w:val="24"/>
          <w:szCs w:val="20"/>
        </w:rPr>
        <w:lastRenderedPageBreak/>
        <w:t>academically appropriate phrasing.</w:t>
      </w:r>
    </w:p>
    <w:p w14:paraId="246E66DA" w14:textId="10C7E989" w:rsidR="007C3ABB" w:rsidRPr="007C3ABB" w:rsidRDefault="007C3ABB" w:rsidP="007C3ABB">
      <w:pPr>
        <w:spacing w:line="360" w:lineRule="auto"/>
        <w:rPr>
          <w:sz w:val="24"/>
          <w:szCs w:val="20"/>
        </w:rPr>
      </w:pPr>
    </w:p>
    <w:p w14:paraId="3A6C7849" w14:textId="77777777" w:rsidR="007C3ABB" w:rsidRPr="007C3ABB" w:rsidRDefault="007C3ABB" w:rsidP="007C3ABB">
      <w:pPr>
        <w:spacing w:line="360" w:lineRule="auto"/>
        <w:rPr>
          <w:sz w:val="24"/>
          <w:szCs w:val="20"/>
        </w:rPr>
      </w:pPr>
      <w:r w:rsidRPr="007C3ABB">
        <w:rPr>
          <w:b/>
          <w:bCs/>
          <w:sz w:val="24"/>
          <w:szCs w:val="20"/>
        </w:rPr>
        <w:t>Comment 7:</w:t>
      </w:r>
      <w:r w:rsidRPr="007C3ABB">
        <w:rPr>
          <w:sz w:val="24"/>
          <w:szCs w:val="20"/>
        </w:rPr>
        <w:t xml:space="preserve"> </w:t>
      </w:r>
      <w:r w:rsidRPr="007C3ABB">
        <w:rPr>
          <w:i/>
          <w:iCs/>
          <w:sz w:val="24"/>
          <w:szCs w:val="20"/>
        </w:rPr>
        <w:t>Extend the discussion by describing how FDX1 can be targeted and its immune-related roles.</w:t>
      </w:r>
      <w:r w:rsidRPr="007C3ABB">
        <w:rPr>
          <w:sz w:val="24"/>
          <w:szCs w:val="20"/>
        </w:rPr>
        <w:br/>
      </w:r>
      <w:r w:rsidRPr="007C3ABB">
        <w:rPr>
          <w:b/>
          <w:bCs/>
          <w:sz w:val="24"/>
          <w:szCs w:val="20"/>
        </w:rPr>
        <w:t>Response:</w:t>
      </w:r>
      <w:r w:rsidRPr="007C3ABB">
        <w:rPr>
          <w:sz w:val="24"/>
          <w:szCs w:val="20"/>
        </w:rPr>
        <w:t xml:space="preserve"> Additional content has been added to the Discussion regarding the therapeutic potential of targeting FDX1, including its involvement in modulating immune cell infiltration within the tumor microenvironment.</w:t>
      </w:r>
    </w:p>
    <w:p w14:paraId="6E4F601C" w14:textId="6056EDCE" w:rsidR="007C3ABB" w:rsidRPr="007C3ABB" w:rsidRDefault="007C3ABB" w:rsidP="007C3ABB">
      <w:pPr>
        <w:spacing w:line="360" w:lineRule="auto"/>
        <w:rPr>
          <w:sz w:val="24"/>
          <w:szCs w:val="20"/>
        </w:rPr>
      </w:pPr>
    </w:p>
    <w:p w14:paraId="7626F8F8" w14:textId="77777777" w:rsidR="007C3ABB" w:rsidRPr="007C3ABB" w:rsidRDefault="007C3ABB" w:rsidP="007C3ABB">
      <w:pPr>
        <w:spacing w:line="360" w:lineRule="auto"/>
        <w:rPr>
          <w:sz w:val="24"/>
          <w:szCs w:val="20"/>
        </w:rPr>
      </w:pPr>
      <w:r w:rsidRPr="007C3ABB">
        <w:rPr>
          <w:b/>
          <w:bCs/>
          <w:sz w:val="24"/>
          <w:szCs w:val="20"/>
        </w:rPr>
        <w:t>Comment 8:</w:t>
      </w:r>
      <w:r w:rsidRPr="007C3ABB">
        <w:rPr>
          <w:sz w:val="24"/>
          <w:szCs w:val="20"/>
        </w:rPr>
        <w:t xml:space="preserve"> </w:t>
      </w:r>
      <w:r w:rsidRPr="007C3ABB">
        <w:rPr>
          <w:i/>
          <w:iCs/>
          <w:sz w:val="24"/>
          <w:szCs w:val="20"/>
        </w:rPr>
        <w:t>Focus more on promising genes. The current discussion is too general.</w:t>
      </w:r>
      <w:r w:rsidRPr="007C3ABB">
        <w:rPr>
          <w:sz w:val="24"/>
          <w:szCs w:val="20"/>
        </w:rPr>
        <w:br/>
      </w:r>
      <w:r w:rsidRPr="007C3ABB">
        <w:rPr>
          <w:b/>
          <w:bCs/>
          <w:sz w:val="24"/>
          <w:szCs w:val="20"/>
        </w:rPr>
        <w:t>Response:</w:t>
      </w:r>
      <w:r w:rsidRPr="007C3ABB">
        <w:rPr>
          <w:sz w:val="24"/>
          <w:szCs w:val="20"/>
        </w:rPr>
        <w:t xml:space="preserve"> We now highlight key genes such as SLC31A1 and FDX1 in more depth, including their consistent prognostic roles and relevance for predictive scoring. A paragraph has been added to support their use in future modeling strategies.</w:t>
      </w:r>
    </w:p>
    <w:p w14:paraId="502A4A63" w14:textId="01EDEB28" w:rsidR="007C3ABB" w:rsidRPr="007C3ABB" w:rsidRDefault="007C3ABB" w:rsidP="007C3ABB">
      <w:pPr>
        <w:spacing w:line="360" w:lineRule="auto"/>
        <w:rPr>
          <w:sz w:val="24"/>
          <w:szCs w:val="20"/>
        </w:rPr>
      </w:pPr>
    </w:p>
    <w:p w14:paraId="0174A165" w14:textId="77777777" w:rsidR="007C3ABB" w:rsidRPr="007C3ABB" w:rsidRDefault="007C3ABB" w:rsidP="007C3ABB">
      <w:pPr>
        <w:spacing w:line="360" w:lineRule="auto"/>
        <w:rPr>
          <w:b/>
          <w:bCs/>
          <w:sz w:val="24"/>
          <w:szCs w:val="20"/>
        </w:rPr>
      </w:pPr>
      <w:r w:rsidRPr="007C3ABB">
        <w:rPr>
          <w:b/>
          <w:bCs/>
          <w:sz w:val="24"/>
          <w:szCs w:val="20"/>
        </w:rPr>
        <w:t>Reviewer #2</w:t>
      </w:r>
    </w:p>
    <w:p w14:paraId="7260429B" w14:textId="77777777" w:rsidR="007C3ABB" w:rsidRPr="007C3ABB" w:rsidRDefault="007C3ABB" w:rsidP="007C3ABB">
      <w:pPr>
        <w:spacing w:line="360" w:lineRule="auto"/>
        <w:rPr>
          <w:sz w:val="24"/>
          <w:szCs w:val="20"/>
        </w:rPr>
      </w:pPr>
      <w:r w:rsidRPr="007C3ABB">
        <w:rPr>
          <w:b/>
          <w:bCs/>
          <w:sz w:val="24"/>
          <w:szCs w:val="20"/>
        </w:rPr>
        <w:t>Comment 1:</w:t>
      </w:r>
      <w:r w:rsidRPr="007C3ABB">
        <w:rPr>
          <w:sz w:val="24"/>
          <w:szCs w:val="20"/>
        </w:rPr>
        <w:t xml:space="preserve"> </w:t>
      </w:r>
      <w:r w:rsidRPr="007C3ABB">
        <w:rPr>
          <w:i/>
          <w:iCs/>
          <w:sz w:val="24"/>
          <w:szCs w:val="20"/>
        </w:rPr>
        <w:t>The study lacks novelty as similar work (Yang et al., 2024) already exists.</w:t>
      </w:r>
      <w:r w:rsidRPr="007C3ABB">
        <w:rPr>
          <w:sz w:val="24"/>
          <w:szCs w:val="20"/>
        </w:rPr>
        <w:br/>
      </w:r>
      <w:r w:rsidRPr="007C3ABB">
        <w:rPr>
          <w:b/>
          <w:bCs/>
          <w:sz w:val="24"/>
          <w:szCs w:val="20"/>
        </w:rPr>
        <w:t>Response:</w:t>
      </w:r>
      <w:r w:rsidRPr="007C3ABB">
        <w:rPr>
          <w:sz w:val="24"/>
          <w:szCs w:val="20"/>
        </w:rPr>
        <w:t xml:space="preserve"> We appreciate this observation. While Yang et al., 2024 analyzed a broader set of genes, our study distinguishes itself by:</w:t>
      </w:r>
    </w:p>
    <w:p w14:paraId="71E826DF" w14:textId="77777777" w:rsidR="007C3ABB" w:rsidRPr="007C3ABB" w:rsidRDefault="007C3ABB" w:rsidP="007C3ABB">
      <w:pPr>
        <w:numPr>
          <w:ilvl w:val="0"/>
          <w:numId w:val="1"/>
        </w:numPr>
        <w:spacing w:line="360" w:lineRule="auto"/>
        <w:rPr>
          <w:sz w:val="24"/>
          <w:szCs w:val="20"/>
        </w:rPr>
      </w:pPr>
      <w:r w:rsidRPr="007C3ABB">
        <w:rPr>
          <w:sz w:val="24"/>
          <w:szCs w:val="20"/>
        </w:rPr>
        <w:t xml:space="preserve">Integrating datasets from </w:t>
      </w:r>
      <w:proofErr w:type="spellStart"/>
      <w:r w:rsidRPr="007C3ABB">
        <w:rPr>
          <w:sz w:val="24"/>
          <w:szCs w:val="20"/>
        </w:rPr>
        <w:t>GTEx</w:t>
      </w:r>
      <w:proofErr w:type="spellEnd"/>
      <w:r w:rsidRPr="007C3ABB">
        <w:rPr>
          <w:sz w:val="24"/>
          <w:szCs w:val="20"/>
        </w:rPr>
        <w:t>, TCGA, and TARGET;</w:t>
      </w:r>
    </w:p>
    <w:p w14:paraId="72283A69" w14:textId="77777777" w:rsidR="007C3ABB" w:rsidRPr="007C3ABB" w:rsidRDefault="007C3ABB" w:rsidP="007C3ABB">
      <w:pPr>
        <w:numPr>
          <w:ilvl w:val="0"/>
          <w:numId w:val="1"/>
        </w:numPr>
        <w:spacing w:line="360" w:lineRule="auto"/>
        <w:rPr>
          <w:sz w:val="24"/>
          <w:szCs w:val="20"/>
        </w:rPr>
      </w:pPr>
      <w:r w:rsidRPr="007C3ABB">
        <w:rPr>
          <w:sz w:val="24"/>
          <w:szCs w:val="20"/>
        </w:rPr>
        <w:t xml:space="preserve">Applying </w:t>
      </w:r>
      <w:proofErr w:type="spellStart"/>
      <w:r w:rsidRPr="007C3ABB">
        <w:rPr>
          <w:sz w:val="24"/>
          <w:szCs w:val="20"/>
        </w:rPr>
        <w:t>xCell</w:t>
      </w:r>
      <w:proofErr w:type="spellEnd"/>
      <w:r w:rsidRPr="007C3ABB">
        <w:rPr>
          <w:sz w:val="24"/>
          <w:szCs w:val="20"/>
        </w:rPr>
        <w:t xml:space="preserve"> and ESTIMATE analyses to dissect immune infiltration at high resolution;</w:t>
      </w:r>
    </w:p>
    <w:p w14:paraId="0C55C2A9" w14:textId="77777777" w:rsidR="007C3ABB" w:rsidRPr="007C3ABB" w:rsidRDefault="007C3ABB" w:rsidP="007C3ABB">
      <w:pPr>
        <w:numPr>
          <w:ilvl w:val="0"/>
          <w:numId w:val="1"/>
        </w:numPr>
        <w:spacing w:line="360" w:lineRule="auto"/>
        <w:rPr>
          <w:sz w:val="24"/>
          <w:szCs w:val="20"/>
        </w:rPr>
      </w:pPr>
      <w:r w:rsidRPr="007C3ABB">
        <w:rPr>
          <w:sz w:val="24"/>
          <w:szCs w:val="20"/>
        </w:rPr>
        <w:t>Exploring drug sensitivity with FDA-approved compounds and highlighting six potential therapeutic agents;</w:t>
      </w:r>
    </w:p>
    <w:p w14:paraId="51199241" w14:textId="77777777" w:rsidR="007C3ABB" w:rsidRPr="007C3ABB" w:rsidRDefault="007C3ABB" w:rsidP="007C3ABB">
      <w:pPr>
        <w:numPr>
          <w:ilvl w:val="0"/>
          <w:numId w:val="1"/>
        </w:numPr>
        <w:spacing w:line="360" w:lineRule="auto"/>
        <w:rPr>
          <w:sz w:val="24"/>
          <w:szCs w:val="20"/>
        </w:rPr>
      </w:pPr>
      <w:r w:rsidRPr="007C3ABB">
        <w:rPr>
          <w:sz w:val="24"/>
          <w:szCs w:val="20"/>
        </w:rPr>
        <w:t>Providing pan-cancer survival and staging analysis, which is more detailed than Yang’s prostate-focused validation.</w:t>
      </w:r>
      <w:r w:rsidRPr="007C3ABB">
        <w:rPr>
          <w:sz w:val="24"/>
          <w:szCs w:val="20"/>
        </w:rPr>
        <w:br/>
        <w:t>We have added clarifications in the Introduction and Discussion to better reflect this novelty.</w:t>
      </w:r>
    </w:p>
    <w:p w14:paraId="5D0C9EAE" w14:textId="1F62FF8D" w:rsidR="007C3ABB" w:rsidRPr="007C3ABB" w:rsidRDefault="007C3ABB" w:rsidP="007C3ABB">
      <w:pPr>
        <w:spacing w:line="360" w:lineRule="auto"/>
        <w:rPr>
          <w:sz w:val="24"/>
          <w:szCs w:val="20"/>
        </w:rPr>
      </w:pPr>
    </w:p>
    <w:p w14:paraId="48305599" w14:textId="77777777" w:rsidR="007C3ABB" w:rsidRPr="007C3ABB" w:rsidRDefault="007C3ABB" w:rsidP="007C3ABB">
      <w:pPr>
        <w:spacing w:line="360" w:lineRule="auto"/>
        <w:rPr>
          <w:sz w:val="24"/>
          <w:szCs w:val="20"/>
        </w:rPr>
      </w:pPr>
      <w:r w:rsidRPr="007C3ABB">
        <w:rPr>
          <w:b/>
          <w:bCs/>
          <w:sz w:val="24"/>
          <w:szCs w:val="20"/>
        </w:rPr>
        <w:t>Comment 2:</w:t>
      </w:r>
      <w:r w:rsidRPr="007C3ABB">
        <w:rPr>
          <w:sz w:val="24"/>
          <w:szCs w:val="20"/>
        </w:rPr>
        <w:t xml:space="preserve"> </w:t>
      </w:r>
      <w:r w:rsidRPr="007C3ABB">
        <w:rPr>
          <w:i/>
          <w:iCs/>
          <w:sz w:val="24"/>
          <w:szCs w:val="20"/>
        </w:rPr>
        <w:t>Lack of experimental validation limits the impact.</w:t>
      </w:r>
      <w:r w:rsidRPr="007C3ABB">
        <w:rPr>
          <w:sz w:val="24"/>
          <w:szCs w:val="20"/>
        </w:rPr>
        <w:br/>
      </w:r>
      <w:r w:rsidRPr="007C3ABB">
        <w:rPr>
          <w:b/>
          <w:bCs/>
          <w:sz w:val="24"/>
          <w:szCs w:val="20"/>
        </w:rPr>
        <w:t>Response:</w:t>
      </w:r>
      <w:r w:rsidRPr="007C3ABB">
        <w:rPr>
          <w:sz w:val="24"/>
          <w:szCs w:val="20"/>
        </w:rPr>
        <w:t xml:space="preserve"> We acknowledge this limitation and now include a statement in the </w:t>
      </w:r>
      <w:r w:rsidRPr="007C3ABB">
        <w:rPr>
          <w:sz w:val="24"/>
          <w:szCs w:val="20"/>
        </w:rPr>
        <w:lastRenderedPageBreak/>
        <w:t>Discussion noting that further experimental validation in specific cancer types is essential and planned for future research.</w:t>
      </w:r>
    </w:p>
    <w:p w14:paraId="3165C4A7" w14:textId="77777777" w:rsidR="007C3ABB" w:rsidRPr="007C3ABB" w:rsidRDefault="007C3ABB" w:rsidP="007C3ABB">
      <w:pPr>
        <w:spacing w:line="360" w:lineRule="auto"/>
        <w:rPr>
          <w:sz w:val="24"/>
          <w:szCs w:val="20"/>
        </w:rPr>
      </w:pPr>
    </w:p>
    <w:sectPr w:rsidR="007C3ABB" w:rsidRPr="007C3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BBFEB" w14:textId="77777777" w:rsidR="00794F42" w:rsidRDefault="00794F42" w:rsidP="007C3ABB">
      <w:r>
        <w:separator/>
      </w:r>
    </w:p>
  </w:endnote>
  <w:endnote w:type="continuationSeparator" w:id="0">
    <w:p w14:paraId="67DB72CB" w14:textId="77777777" w:rsidR="00794F42" w:rsidRDefault="00794F42" w:rsidP="007C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????">
    <w:altName w:val="MingLiU-ExtB"/>
    <w:charset w:val="88"/>
    <w:family w:val="roman"/>
    <w:pitch w:val="default"/>
    <w:sig w:usb0="00000000" w:usb1="0000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6B2E4" w14:textId="77777777" w:rsidR="007C3ABB" w:rsidRDefault="007C3AB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3DA9A" w14:textId="77777777" w:rsidR="007C3ABB" w:rsidRDefault="007C3AB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0E5C4" w14:textId="77777777" w:rsidR="007C3ABB" w:rsidRDefault="007C3AB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23591" w14:textId="77777777" w:rsidR="00794F42" w:rsidRDefault="00794F42" w:rsidP="007C3ABB">
      <w:r>
        <w:separator/>
      </w:r>
    </w:p>
  </w:footnote>
  <w:footnote w:type="continuationSeparator" w:id="0">
    <w:p w14:paraId="6493AAD8" w14:textId="77777777" w:rsidR="00794F42" w:rsidRDefault="00794F42" w:rsidP="007C3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D0A64" w14:textId="77777777" w:rsidR="007C3ABB" w:rsidRDefault="007C3AB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8AB97" w14:textId="77777777" w:rsidR="007C3ABB" w:rsidRDefault="007C3AB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C319F" w14:textId="77777777" w:rsidR="007C3ABB" w:rsidRDefault="007C3AB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71F33"/>
    <w:multiLevelType w:val="multilevel"/>
    <w:tmpl w:val="3C04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0tDSxNDIysTQwtTRW0lEKTi0uzszPAykwqgUA1oNidCwAAAA="/>
    <w:docVar w:name="KY_MEDREF_DOCUID" w:val="{A6C7CAC0-6E9D-4205-BD5A-BEFECEF0DFC8}"/>
    <w:docVar w:name="KY_MEDREF_VERSION" w:val="3"/>
  </w:docVars>
  <w:rsids>
    <w:rsidRoot w:val="007C3ABB"/>
    <w:rsid w:val="001671BE"/>
    <w:rsid w:val="002E4C35"/>
    <w:rsid w:val="00640A25"/>
    <w:rsid w:val="00794F42"/>
    <w:rsid w:val="007C3ABB"/>
    <w:rsid w:val="008814D1"/>
    <w:rsid w:val="00C46AF7"/>
    <w:rsid w:val="00C62AAB"/>
    <w:rsid w:val="00D75196"/>
    <w:rsid w:val="00F2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C9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C3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3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3A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3A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3A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3A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3A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3A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C3A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C3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C3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C3AB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C3ABB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C3AB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C3AB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C3AB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C3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C3A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C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3A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C3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3A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C3A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3A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3AB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3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C3AB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C3A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C3A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7C3ABB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C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7C3ABB"/>
    <w:rPr>
      <w:sz w:val="18"/>
      <w:szCs w:val="18"/>
    </w:rPr>
  </w:style>
  <w:style w:type="character" w:styleId="ac">
    <w:name w:val="annotation reference"/>
    <w:semiHidden/>
    <w:rsid w:val="007C3ABB"/>
    <w:rPr>
      <w:sz w:val="16"/>
      <w:szCs w:val="16"/>
    </w:rPr>
  </w:style>
  <w:style w:type="paragraph" w:styleId="ad">
    <w:name w:val="annotation text"/>
    <w:basedOn w:val="a"/>
    <w:link w:val="Char5"/>
    <w:semiHidden/>
    <w:rsid w:val="007C3ABB"/>
    <w:rPr>
      <w:sz w:val="20"/>
      <w:szCs w:val="20"/>
    </w:rPr>
  </w:style>
  <w:style w:type="character" w:customStyle="1" w:styleId="Char5">
    <w:name w:val="批注文字 Char"/>
    <w:basedOn w:val="a0"/>
    <w:link w:val="ad"/>
    <w:semiHidden/>
    <w:rsid w:val="007C3ABB"/>
    <w:rPr>
      <w:rFonts w:ascii="Times New Roman" w:eastAsia="宋体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C3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3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3A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3A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3A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3A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3A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3A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C3A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C3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C3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C3AB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C3ABB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C3AB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C3AB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C3AB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C3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C3A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C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3A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C3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3A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C3A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3A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3AB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3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C3AB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C3A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C3A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7C3ABB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C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7C3ABB"/>
    <w:rPr>
      <w:sz w:val="18"/>
      <w:szCs w:val="18"/>
    </w:rPr>
  </w:style>
  <w:style w:type="character" w:styleId="ac">
    <w:name w:val="annotation reference"/>
    <w:semiHidden/>
    <w:rsid w:val="007C3ABB"/>
    <w:rPr>
      <w:sz w:val="16"/>
      <w:szCs w:val="16"/>
    </w:rPr>
  </w:style>
  <w:style w:type="paragraph" w:styleId="ad">
    <w:name w:val="annotation text"/>
    <w:basedOn w:val="a"/>
    <w:link w:val="Char5"/>
    <w:semiHidden/>
    <w:rsid w:val="007C3ABB"/>
    <w:rPr>
      <w:sz w:val="20"/>
      <w:szCs w:val="20"/>
    </w:rPr>
  </w:style>
  <w:style w:type="character" w:customStyle="1" w:styleId="Char5">
    <w:name w:val="批注文字 Char"/>
    <w:basedOn w:val="a0"/>
    <w:link w:val="ad"/>
    <w:semiHidden/>
    <w:rsid w:val="007C3ABB"/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建鹏 周</dc:creator>
  <cp:keywords/>
  <dc:description/>
  <cp:lastModifiedBy>Windows User</cp:lastModifiedBy>
  <cp:revision>3</cp:revision>
  <dcterms:created xsi:type="dcterms:W3CDTF">2025-04-02T09:24:00Z</dcterms:created>
  <dcterms:modified xsi:type="dcterms:W3CDTF">2025-04-03T02:19:00Z</dcterms:modified>
</cp:coreProperties>
</file>