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5C05F" w14:textId="77777777" w:rsidR="00A92C0A" w:rsidRDefault="00A92C0A" w:rsidP="00A92C0A">
      <w:r>
        <w:rPr>
          <w:noProof/>
        </w:rPr>
        <w:drawing>
          <wp:inline distT="0" distB="0" distL="0" distR="0" wp14:anchorId="45E4A0E8" wp14:editId="6EFDBDAB">
            <wp:extent cx="2822400" cy="2286000"/>
            <wp:effectExtent l="0" t="0" r="0" b="0"/>
            <wp:docPr id="5" name="Picture 5"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17623DB6" wp14:editId="2EE63ADF">
            <wp:extent cx="2822400" cy="2286000"/>
            <wp:effectExtent l="0" t="0" r="0" b="0"/>
            <wp:docPr id="6" name="Picture 6"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516D48FD" wp14:editId="6895F2CA">
            <wp:extent cx="2822400" cy="2286000"/>
            <wp:effectExtent l="0" t="0" r="0" b="0"/>
            <wp:docPr id="7" name="Picture 7"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5B902A44" wp14:editId="44B24859">
            <wp:extent cx="2822400" cy="2286000"/>
            <wp:effectExtent l="0" t="0" r="0" b="0"/>
            <wp:docPr id="8" name="Picture 8" descr="A blue and black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p>
    <w:p w14:paraId="73E1E482" w14:textId="2C270A48" w:rsidR="00A92C0A" w:rsidRDefault="00D70E46" w:rsidP="00A92C0A">
      <w:r>
        <w:rPr>
          <w:b/>
          <w:bCs/>
        </w:rPr>
        <w:t xml:space="preserve">Fig </w:t>
      </w:r>
      <w:r w:rsidR="00A92C0A">
        <w:rPr>
          <w:b/>
          <w:bCs/>
        </w:rPr>
        <w:t>1</w:t>
      </w:r>
      <w:r w:rsidR="00A92C0A" w:rsidRPr="00957CE2">
        <w:rPr>
          <w:b/>
          <w:bCs/>
        </w:rPr>
        <w:t xml:space="preserve">. Change in PHI </w:t>
      </w:r>
      <w:r w:rsidR="00A92C0A">
        <w:rPr>
          <w:b/>
          <w:bCs/>
        </w:rPr>
        <w:t>agency - self</w:t>
      </w:r>
      <w:r w:rsidR="00A92C0A" w:rsidRPr="00957CE2">
        <w:rPr>
          <w:b/>
          <w:bCs/>
        </w:rPr>
        <w:t xml:space="preserve"> response after NAB (NAB – placebo difference score) in healthy volunteers (n = 32) on the a) 15 cm 0 ms, b) 15 cm 500 ms, c) 30 cm 0 ms, and d) 30 cm 500 ms conditions.</w:t>
      </w:r>
      <w:r w:rsidR="00A92C0A">
        <w:t xml:space="preserve"> Data are presented as change in individual agency - self responses on the PHI, split by if participants correctly or incorrectly guessed which treatment they were administered on the NAB test session. Cyan shading is representative of the 95% null hypothesis confidence interval generated between the two compared distributions. </w:t>
      </w:r>
    </w:p>
    <w:p w14:paraId="3C0853ED" w14:textId="77777777" w:rsidR="00A92C0A" w:rsidRDefault="00A92C0A" w:rsidP="00A92C0A"/>
    <w:p w14:paraId="268878F3" w14:textId="77777777" w:rsidR="00A92C0A" w:rsidRDefault="00A92C0A" w:rsidP="00A92C0A">
      <w:r>
        <w:t xml:space="preserve">Significance values for ‘sm.density.compare’ KDE comparisons: </w:t>
      </w:r>
    </w:p>
    <w:p w14:paraId="5C94D18D" w14:textId="77777777" w:rsidR="00A92C0A" w:rsidRDefault="00A92C0A" w:rsidP="00A92C0A">
      <w:r>
        <w:t>a) nonsignificant (p = 0.85)</w:t>
      </w:r>
    </w:p>
    <w:p w14:paraId="5437EECE" w14:textId="77777777" w:rsidR="00A92C0A" w:rsidRDefault="00A92C0A" w:rsidP="00A92C0A">
      <w:r>
        <w:t>b) nonsignificant (p = 0.72)</w:t>
      </w:r>
    </w:p>
    <w:p w14:paraId="00D133D9" w14:textId="77777777" w:rsidR="00A92C0A" w:rsidRDefault="00A92C0A" w:rsidP="00A92C0A">
      <w:r>
        <w:t>c) nonsignificant (p = 0.66)</w:t>
      </w:r>
    </w:p>
    <w:p w14:paraId="74BECB98" w14:textId="77777777" w:rsidR="00A92C0A" w:rsidRDefault="00A92C0A" w:rsidP="00A92C0A">
      <w:r>
        <w:t>d) nonsignificant (p = 0.95)</w:t>
      </w:r>
    </w:p>
    <w:p w14:paraId="56957629" w14:textId="77777777" w:rsidR="00A92C0A" w:rsidRDefault="00A92C0A" w:rsidP="00A92C0A">
      <w:r>
        <w:br w:type="page"/>
      </w:r>
    </w:p>
    <w:p w14:paraId="3EE2F682" w14:textId="77777777" w:rsidR="00A92C0A" w:rsidRDefault="00A92C0A" w:rsidP="00A92C0A">
      <w:r>
        <w:rPr>
          <w:noProof/>
        </w:rPr>
        <w:lastRenderedPageBreak/>
        <w:drawing>
          <wp:inline distT="0" distB="0" distL="0" distR="0" wp14:anchorId="068E496A" wp14:editId="1BA31B23">
            <wp:extent cx="2822400" cy="2286000"/>
            <wp:effectExtent l="0" t="0" r="0" b="0"/>
            <wp:docPr id="13" name="Picture 13"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5B54C6F5" wp14:editId="5E619C83">
            <wp:extent cx="2822400" cy="2286000"/>
            <wp:effectExtent l="0" t="0" r="0" b="0"/>
            <wp:docPr id="14" name="Picture 14" descr="A blue and r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61BE42ED" wp14:editId="5B1A692B">
            <wp:extent cx="2822400" cy="2286000"/>
            <wp:effectExtent l="0" t="0" r="0" b="0"/>
            <wp:docPr id="15" name="Picture 15" descr="A blue and black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1F41861E" wp14:editId="2FC2EB2A">
            <wp:extent cx="2822400" cy="2286000"/>
            <wp:effectExtent l="0" t="0" r="0" b="0"/>
            <wp:docPr id="16" name="Picture 16" descr="A graph of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p>
    <w:p w14:paraId="2417BD7C" w14:textId="41A0EC62" w:rsidR="00A92C0A" w:rsidRDefault="00D70E46" w:rsidP="00A92C0A">
      <w:r>
        <w:rPr>
          <w:b/>
          <w:bCs/>
        </w:rPr>
        <w:t xml:space="preserve">Fig </w:t>
      </w:r>
      <w:r w:rsidR="00A92C0A">
        <w:rPr>
          <w:b/>
          <w:bCs/>
        </w:rPr>
        <w:t>2</w:t>
      </w:r>
      <w:r w:rsidR="00A92C0A" w:rsidRPr="00957CE2">
        <w:rPr>
          <w:b/>
          <w:bCs/>
        </w:rPr>
        <w:t xml:space="preserve">. Change in PHI </w:t>
      </w:r>
      <w:r w:rsidR="00A92C0A">
        <w:rPr>
          <w:b/>
          <w:bCs/>
        </w:rPr>
        <w:t>loss of agency - self</w:t>
      </w:r>
      <w:r w:rsidR="00A92C0A" w:rsidRPr="00957CE2">
        <w:rPr>
          <w:b/>
          <w:bCs/>
        </w:rPr>
        <w:t xml:space="preserve"> response after NAB (NAB – placebo difference score) in healthy volunteers (n = 32) on the a) 15 cm 0 ms, b) 15 cm 500 ms, c) 30 cm 0 ms, and d) 30 cm 500 ms conditions.</w:t>
      </w:r>
      <w:r w:rsidR="00A92C0A">
        <w:t xml:space="preserve"> Data are presented as change in individual loss of agency - self responses on the PHI, split by if participants correctly or incorrectly guessed which treatment they were administered on the NAB test session. Cyan shading is representative of the 95% null hypothesis confidence interval generated between the two compared distributions. </w:t>
      </w:r>
    </w:p>
    <w:p w14:paraId="3DCCF2DF" w14:textId="77777777" w:rsidR="00A92C0A" w:rsidRDefault="00A92C0A" w:rsidP="00A92C0A"/>
    <w:p w14:paraId="7A8E3105" w14:textId="77777777" w:rsidR="00A92C0A" w:rsidRDefault="00A92C0A" w:rsidP="00A92C0A">
      <w:r>
        <w:t xml:space="preserve">Significance values for ‘sm.density.compare’ KDE comparisons: </w:t>
      </w:r>
    </w:p>
    <w:p w14:paraId="3BFB8F1E" w14:textId="77777777" w:rsidR="00A92C0A" w:rsidRDefault="00A92C0A" w:rsidP="00A92C0A">
      <w:r>
        <w:t>a) nonsignificant (p = 0.92)</w:t>
      </w:r>
    </w:p>
    <w:p w14:paraId="3CAE46F1" w14:textId="77777777" w:rsidR="00A92C0A" w:rsidRDefault="00A92C0A" w:rsidP="00A92C0A">
      <w:r>
        <w:t>b) nonsignificant (p = 0.10)</w:t>
      </w:r>
    </w:p>
    <w:p w14:paraId="04E46B9D" w14:textId="77777777" w:rsidR="00A92C0A" w:rsidRDefault="00A92C0A" w:rsidP="00A92C0A">
      <w:r>
        <w:t>c) nonsignificant (p = 0.58)</w:t>
      </w:r>
    </w:p>
    <w:p w14:paraId="4A011444" w14:textId="77777777" w:rsidR="00A92C0A" w:rsidRDefault="00A92C0A" w:rsidP="00A92C0A">
      <w:r>
        <w:t>d) nonsignificant (p = 0.41)</w:t>
      </w:r>
    </w:p>
    <w:p w14:paraId="26735151" w14:textId="77777777" w:rsidR="00A92C0A" w:rsidRDefault="00A92C0A" w:rsidP="00A92C0A">
      <w:r>
        <w:br w:type="page"/>
      </w:r>
    </w:p>
    <w:p w14:paraId="31035762" w14:textId="77777777" w:rsidR="00A92C0A" w:rsidRDefault="00A92C0A" w:rsidP="00A92C0A">
      <w:r>
        <w:rPr>
          <w:noProof/>
        </w:rPr>
        <w:lastRenderedPageBreak/>
        <w:drawing>
          <wp:inline distT="0" distB="0" distL="0" distR="0" wp14:anchorId="63C481EC" wp14:editId="04B92882">
            <wp:extent cx="2826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6000" cy="2286000"/>
                    </a:xfrm>
                    <a:prstGeom prst="rect">
                      <a:avLst/>
                    </a:prstGeom>
                    <a:noFill/>
                    <a:ln>
                      <a:noFill/>
                    </a:ln>
                  </pic:spPr>
                </pic:pic>
              </a:graphicData>
            </a:graphic>
          </wp:inline>
        </w:drawing>
      </w:r>
      <w:r>
        <w:rPr>
          <w:noProof/>
        </w:rPr>
        <w:drawing>
          <wp:inline distT="0" distB="0" distL="0" distR="0" wp14:anchorId="4E53BAAC" wp14:editId="7D2D4234">
            <wp:extent cx="2826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000" cy="2286000"/>
                    </a:xfrm>
                    <a:prstGeom prst="rect">
                      <a:avLst/>
                    </a:prstGeom>
                    <a:noFill/>
                    <a:ln>
                      <a:noFill/>
                    </a:ln>
                  </pic:spPr>
                </pic:pic>
              </a:graphicData>
            </a:graphic>
          </wp:inline>
        </w:drawing>
      </w:r>
      <w:r>
        <w:rPr>
          <w:noProof/>
        </w:rPr>
        <w:drawing>
          <wp:inline distT="0" distB="0" distL="0" distR="0" wp14:anchorId="4C51D068" wp14:editId="79B50802">
            <wp:extent cx="28260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000" cy="2286000"/>
                    </a:xfrm>
                    <a:prstGeom prst="rect">
                      <a:avLst/>
                    </a:prstGeom>
                    <a:noFill/>
                    <a:ln>
                      <a:noFill/>
                    </a:ln>
                  </pic:spPr>
                </pic:pic>
              </a:graphicData>
            </a:graphic>
          </wp:inline>
        </w:drawing>
      </w:r>
      <w:r>
        <w:rPr>
          <w:noProof/>
        </w:rPr>
        <w:drawing>
          <wp:inline distT="0" distB="0" distL="0" distR="0" wp14:anchorId="310139F3" wp14:editId="1718F79F">
            <wp:extent cx="282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000" cy="2286000"/>
                    </a:xfrm>
                    <a:prstGeom prst="rect">
                      <a:avLst/>
                    </a:prstGeom>
                    <a:noFill/>
                    <a:ln>
                      <a:noFill/>
                    </a:ln>
                  </pic:spPr>
                </pic:pic>
              </a:graphicData>
            </a:graphic>
          </wp:inline>
        </w:drawing>
      </w:r>
    </w:p>
    <w:p w14:paraId="683C24F7" w14:textId="25DC2ABA" w:rsidR="00A92C0A" w:rsidRDefault="00D70E46" w:rsidP="00A92C0A">
      <w:r>
        <w:rPr>
          <w:b/>
          <w:bCs/>
        </w:rPr>
        <w:t xml:space="preserve">Fig </w:t>
      </w:r>
      <w:r w:rsidR="00A92C0A">
        <w:rPr>
          <w:b/>
          <w:bCs/>
        </w:rPr>
        <w:t>3</w:t>
      </w:r>
      <w:r w:rsidR="00A92C0A" w:rsidRPr="00957CE2">
        <w:rPr>
          <w:b/>
          <w:bCs/>
        </w:rPr>
        <w:t>. Change in PHI embodiment response after NAB (NAB – placebo difference score) in healthy volunteers (n = 32) on the a) 15 cm 0 ms, b) 15 cm 500 ms, c) 30 cm 0 ms, and d) 30 cm 500 ms conditions.</w:t>
      </w:r>
      <w:r w:rsidR="00A92C0A">
        <w:t xml:space="preserve"> Data are presented as change in individual embodiment responses on the PHI, split by if participants correctly or incorrectly guessed which treatment they were administered on the NAB test session. Cyan shading is representative of the 95% null hypothesis confidence interval generated between the two compared distributions. </w:t>
      </w:r>
    </w:p>
    <w:p w14:paraId="6662F3D1" w14:textId="77777777" w:rsidR="00A92C0A" w:rsidRDefault="00A92C0A" w:rsidP="00A92C0A"/>
    <w:p w14:paraId="7D307BD4" w14:textId="77777777" w:rsidR="00A92C0A" w:rsidRDefault="00A92C0A" w:rsidP="00A92C0A">
      <w:r>
        <w:t xml:space="preserve">Significance values for ‘sm.density.compare’ KDE comparisons: </w:t>
      </w:r>
    </w:p>
    <w:p w14:paraId="480B6B3A" w14:textId="77777777" w:rsidR="00A92C0A" w:rsidRDefault="00A92C0A" w:rsidP="00A92C0A">
      <w:r>
        <w:t>a) nonsignificant (p = 0.21)</w:t>
      </w:r>
    </w:p>
    <w:p w14:paraId="791D699B" w14:textId="77777777" w:rsidR="00A92C0A" w:rsidRDefault="00A92C0A" w:rsidP="00A92C0A">
      <w:r>
        <w:t>b) nonsignificant (p = 0.83)</w:t>
      </w:r>
    </w:p>
    <w:p w14:paraId="786961D5" w14:textId="77777777" w:rsidR="00A92C0A" w:rsidRDefault="00A92C0A" w:rsidP="00A92C0A">
      <w:r>
        <w:t>c) nonsignificant (p = 0.65)</w:t>
      </w:r>
    </w:p>
    <w:p w14:paraId="7DDB1266" w14:textId="77777777" w:rsidR="00A92C0A" w:rsidRDefault="00A92C0A" w:rsidP="00A92C0A">
      <w:r>
        <w:t>d) nonsignificant (p = 0.79)</w:t>
      </w:r>
    </w:p>
    <w:p w14:paraId="585DD428" w14:textId="77777777" w:rsidR="00A92C0A" w:rsidRDefault="00A92C0A" w:rsidP="00A92C0A">
      <w:r>
        <w:br w:type="page"/>
      </w:r>
    </w:p>
    <w:p w14:paraId="22A0DB2C" w14:textId="77777777" w:rsidR="00A92C0A" w:rsidRDefault="00A92C0A" w:rsidP="00A92C0A">
      <w:r>
        <w:rPr>
          <w:noProof/>
        </w:rPr>
        <w:lastRenderedPageBreak/>
        <w:drawing>
          <wp:inline distT="0" distB="0" distL="0" distR="0" wp14:anchorId="33E04828" wp14:editId="3E3D059E">
            <wp:extent cx="2822400" cy="2286000"/>
            <wp:effectExtent l="0" t="0" r="0" b="0"/>
            <wp:docPr id="10" name="Picture 10"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460D4521" wp14:editId="0621EED0">
            <wp:extent cx="2822400" cy="2286000"/>
            <wp:effectExtent l="0" t="0" r="0" b="0"/>
            <wp:docPr id="11" name="Picture 11" descr="A blue line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5ED363A6" wp14:editId="6EA2B915">
            <wp:extent cx="2826000" cy="2286000"/>
            <wp:effectExtent l="0" t="0" r="0" b="0"/>
            <wp:docPr id="33" name="Picture 33"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000" cy="2286000"/>
                    </a:xfrm>
                    <a:prstGeom prst="rect">
                      <a:avLst/>
                    </a:prstGeom>
                    <a:noFill/>
                    <a:ln>
                      <a:noFill/>
                    </a:ln>
                  </pic:spPr>
                </pic:pic>
              </a:graphicData>
            </a:graphic>
          </wp:inline>
        </w:drawing>
      </w:r>
      <w:r>
        <w:rPr>
          <w:noProof/>
        </w:rPr>
        <w:drawing>
          <wp:inline distT="0" distB="0" distL="0" distR="0" wp14:anchorId="73A35C67" wp14:editId="5D1CCC55">
            <wp:extent cx="2822400" cy="2286000"/>
            <wp:effectExtent l="0" t="0" r="0" b="0"/>
            <wp:docPr id="9" name="Picture 9"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p>
    <w:p w14:paraId="1004FC42" w14:textId="26E55C43" w:rsidR="00A92C0A" w:rsidRDefault="00D70E46" w:rsidP="00A92C0A">
      <w:r>
        <w:rPr>
          <w:b/>
          <w:bCs/>
        </w:rPr>
        <w:t xml:space="preserve">Fig </w:t>
      </w:r>
      <w:r w:rsidR="00A92C0A">
        <w:rPr>
          <w:b/>
          <w:bCs/>
        </w:rPr>
        <w:t>4</w:t>
      </w:r>
      <w:r w:rsidR="00A92C0A" w:rsidRPr="00957CE2">
        <w:rPr>
          <w:b/>
          <w:bCs/>
        </w:rPr>
        <w:t xml:space="preserve">. Change in PHI </w:t>
      </w:r>
      <w:r w:rsidR="00A92C0A">
        <w:rPr>
          <w:b/>
          <w:bCs/>
        </w:rPr>
        <w:t>disembodiment</w:t>
      </w:r>
      <w:r w:rsidR="00A92C0A" w:rsidRPr="00957CE2">
        <w:rPr>
          <w:b/>
          <w:bCs/>
        </w:rPr>
        <w:t xml:space="preserve"> response after NAB (NAB – placebo difference score) in healthy volunteers (n = 32) on the a) 15 cm 0 ms, b) 15 cm 500 ms, c) 30 cm 0 ms, and d) 30 cm 500 ms conditions.</w:t>
      </w:r>
      <w:r w:rsidR="00A92C0A">
        <w:t xml:space="preserve"> Data are presented as change in individual disembodiment responses on the PHI, split by if participants correctly or incorrectly guessed which treatment they were administered on the NAB test session. Cyan shading is representative of the 95% null hypothesis confidence interval generated between the two compared distributions. </w:t>
      </w:r>
    </w:p>
    <w:p w14:paraId="2A4E1837" w14:textId="77777777" w:rsidR="00A92C0A" w:rsidRDefault="00A92C0A" w:rsidP="00A92C0A"/>
    <w:p w14:paraId="1103BE37" w14:textId="77777777" w:rsidR="00A92C0A" w:rsidRDefault="00A92C0A" w:rsidP="00A92C0A">
      <w:r>
        <w:t xml:space="preserve">Significance values for ‘sm.density.compare’ KDE comparisons: </w:t>
      </w:r>
    </w:p>
    <w:p w14:paraId="57A4FB5A" w14:textId="77777777" w:rsidR="00A92C0A" w:rsidRDefault="00A92C0A" w:rsidP="00A92C0A">
      <w:r>
        <w:t>a) nonsignificant (p = 0.27)</w:t>
      </w:r>
    </w:p>
    <w:p w14:paraId="6F4B8E73" w14:textId="77777777" w:rsidR="00A92C0A" w:rsidRDefault="00A92C0A" w:rsidP="00A92C0A">
      <w:r>
        <w:t>b) nonsignificant (p = 0.79)</w:t>
      </w:r>
    </w:p>
    <w:p w14:paraId="40A4BB0D" w14:textId="77777777" w:rsidR="00A92C0A" w:rsidRDefault="00A92C0A" w:rsidP="00A92C0A">
      <w:r>
        <w:t>c) nonsignificant (p = 0.62)</w:t>
      </w:r>
    </w:p>
    <w:p w14:paraId="0AA8C382" w14:textId="77777777" w:rsidR="00A92C0A" w:rsidRDefault="00A92C0A" w:rsidP="00A92C0A">
      <w:r>
        <w:t>d) nonsignificant (p = 0.51)</w:t>
      </w:r>
    </w:p>
    <w:p w14:paraId="07610748" w14:textId="77777777" w:rsidR="00A92C0A" w:rsidRDefault="00A92C0A" w:rsidP="00A92C0A">
      <w:r>
        <w:br w:type="page"/>
      </w:r>
    </w:p>
    <w:p w14:paraId="3060F959" w14:textId="77777777" w:rsidR="00A92C0A" w:rsidRDefault="00A92C0A" w:rsidP="00A92C0A">
      <w:r>
        <w:rPr>
          <w:noProof/>
        </w:rPr>
        <w:lastRenderedPageBreak/>
        <w:drawing>
          <wp:inline distT="0" distB="0" distL="0" distR="0" wp14:anchorId="34D7CEE4" wp14:editId="5628DDE3">
            <wp:extent cx="28224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78D53E3B" wp14:editId="27C14570">
            <wp:extent cx="2822400" cy="2286000"/>
            <wp:effectExtent l="0" t="0" r="0" b="0"/>
            <wp:docPr id="23" name="Picture 23"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3C9191A9" wp14:editId="378DCE2C">
            <wp:extent cx="2822400" cy="2286000"/>
            <wp:effectExtent l="0" t="0" r="0" b="0"/>
            <wp:docPr id="24" name="Picture 24" descr="A graph of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562B364A" wp14:editId="52CE9996">
            <wp:extent cx="28224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p>
    <w:p w14:paraId="134A9AE9" w14:textId="3F61285B" w:rsidR="00A92C0A" w:rsidRDefault="00D70E46" w:rsidP="00A92C0A">
      <w:r>
        <w:rPr>
          <w:b/>
          <w:bCs/>
        </w:rPr>
        <w:t xml:space="preserve">Fig </w:t>
      </w:r>
      <w:r w:rsidR="00A92C0A">
        <w:rPr>
          <w:b/>
          <w:bCs/>
        </w:rPr>
        <w:t>5</w:t>
      </w:r>
      <w:r w:rsidR="00A92C0A" w:rsidRPr="00957CE2">
        <w:rPr>
          <w:b/>
          <w:bCs/>
        </w:rPr>
        <w:t xml:space="preserve">. Change in PHI </w:t>
      </w:r>
      <w:r w:rsidR="00A92C0A">
        <w:rPr>
          <w:b/>
          <w:bCs/>
        </w:rPr>
        <w:t>agency - self</w:t>
      </w:r>
      <w:r w:rsidR="00A92C0A" w:rsidRPr="00957CE2">
        <w:rPr>
          <w:b/>
          <w:bCs/>
        </w:rPr>
        <w:t xml:space="preserve"> response after NAB (NAB – placebo difference score) in healthy volunteers (n = 32) on the a) 15 cm 0 ms, b) 15 cm 500 ms, c) 30 cm 0 ms, and d) 30 cm 500 ms conditions.</w:t>
      </w:r>
      <w:r w:rsidR="00A92C0A">
        <w:t xml:space="preserve"> Data are presented as change in individual agency - self responses on the PHI against density of responses, with ‘sm.density.compare’ KDE comparisons of our cohort with (n=32; ‘BOTH DOSES’) vs. without (n=28; ‘SINGLE DOSE’) those participants who were administered 2 mg NAB. Cyan shading is representative of the 95% null hypothesis confidence interval generated between the two compared distributions. </w:t>
      </w:r>
    </w:p>
    <w:p w14:paraId="30258C60" w14:textId="77777777" w:rsidR="00A92C0A" w:rsidRDefault="00A92C0A" w:rsidP="00A92C0A"/>
    <w:p w14:paraId="2B870D67" w14:textId="77777777" w:rsidR="00A92C0A" w:rsidRDefault="00A92C0A" w:rsidP="00A92C0A">
      <w:r>
        <w:t xml:space="preserve">Significance values for ‘sm.density.compare’ KDE comparisons: </w:t>
      </w:r>
    </w:p>
    <w:p w14:paraId="7719E9AD" w14:textId="77777777" w:rsidR="00A92C0A" w:rsidRDefault="00A92C0A" w:rsidP="00A92C0A">
      <w:r>
        <w:t>a) nonsignificant (p = 0.99)</w:t>
      </w:r>
    </w:p>
    <w:p w14:paraId="38269A11" w14:textId="77777777" w:rsidR="00A92C0A" w:rsidRDefault="00A92C0A" w:rsidP="00A92C0A">
      <w:r>
        <w:t>b) nonsignificant (p = 0.97)</w:t>
      </w:r>
    </w:p>
    <w:p w14:paraId="3BF160B5" w14:textId="77777777" w:rsidR="00A92C0A" w:rsidRDefault="00A92C0A" w:rsidP="00A92C0A">
      <w:r>
        <w:t>c) nonsignificant (p = 0.99)</w:t>
      </w:r>
    </w:p>
    <w:p w14:paraId="3617D420" w14:textId="77777777" w:rsidR="00A92C0A" w:rsidRDefault="00A92C0A" w:rsidP="00A92C0A">
      <w:r>
        <w:t>d) nonsignificant (p = 0.99)</w:t>
      </w:r>
    </w:p>
    <w:p w14:paraId="4B319755" w14:textId="77777777" w:rsidR="00A92C0A" w:rsidRDefault="00A92C0A" w:rsidP="00A92C0A">
      <w:r>
        <w:br w:type="page"/>
      </w:r>
    </w:p>
    <w:p w14:paraId="48876B33" w14:textId="77777777" w:rsidR="00A92C0A" w:rsidRDefault="00A92C0A" w:rsidP="00A92C0A">
      <w:r>
        <w:rPr>
          <w:noProof/>
        </w:rPr>
        <w:lastRenderedPageBreak/>
        <w:drawing>
          <wp:inline distT="0" distB="0" distL="0" distR="0" wp14:anchorId="5AE6EE20" wp14:editId="684A2B46">
            <wp:extent cx="2846705" cy="2312035"/>
            <wp:effectExtent l="0" t="0" r="0" b="0"/>
            <wp:docPr id="29" name="Picture 29"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r>
        <w:rPr>
          <w:noProof/>
        </w:rPr>
        <w:drawing>
          <wp:inline distT="0" distB="0" distL="0" distR="0" wp14:anchorId="006AFA9E" wp14:editId="231D3F3D">
            <wp:extent cx="2846705" cy="2312035"/>
            <wp:effectExtent l="0" t="0" r="0" b="0"/>
            <wp:docPr id="30" name="Picture 30"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r>
        <w:rPr>
          <w:noProof/>
        </w:rPr>
        <w:drawing>
          <wp:inline distT="0" distB="0" distL="0" distR="0" wp14:anchorId="340FD7B6" wp14:editId="5ED32A35">
            <wp:extent cx="2846705" cy="2312035"/>
            <wp:effectExtent l="0" t="0" r="0" b="0"/>
            <wp:docPr id="31" name="Picture 31"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r>
        <w:rPr>
          <w:noProof/>
        </w:rPr>
        <w:drawing>
          <wp:inline distT="0" distB="0" distL="0" distR="0" wp14:anchorId="66072794" wp14:editId="3B8645B6">
            <wp:extent cx="2846705" cy="2312035"/>
            <wp:effectExtent l="0" t="0" r="0" b="0"/>
            <wp:docPr id="32" name="Picture 32"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p>
    <w:p w14:paraId="0E285CC5" w14:textId="011E76C3" w:rsidR="00A92C0A" w:rsidRDefault="00D70E46" w:rsidP="00A92C0A">
      <w:r>
        <w:rPr>
          <w:b/>
          <w:bCs/>
        </w:rPr>
        <w:t xml:space="preserve">Fig </w:t>
      </w:r>
      <w:r w:rsidR="00A92C0A">
        <w:rPr>
          <w:b/>
          <w:bCs/>
        </w:rPr>
        <w:t>6</w:t>
      </w:r>
      <w:r w:rsidR="00A92C0A" w:rsidRPr="00957CE2">
        <w:rPr>
          <w:b/>
          <w:bCs/>
        </w:rPr>
        <w:t xml:space="preserve">. Change in PHI </w:t>
      </w:r>
      <w:r w:rsidR="00A92C0A">
        <w:rPr>
          <w:b/>
          <w:bCs/>
        </w:rPr>
        <w:t>loss of agency - self</w:t>
      </w:r>
      <w:r w:rsidR="00A92C0A" w:rsidRPr="00957CE2">
        <w:rPr>
          <w:b/>
          <w:bCs/>
        </w:rPr>
        <w:t xml:space="preserve"> response after NAB (NAB – placebo difference score) in healthy volunteers (n = 32) on the a) 15 cm 0 ms, b) 15 cm 500 ms, c) 30 cm 0 ms, and d) 30 cm 500 ms conditions.</w:t>
      </w:r>
      <w:r w:rsidR="00A92C0A">
        <w:t xml:space="preserve"> Data are presented as change in individual loss of agency - self responses on the PHI against density of responses, with ‘sm.density.compare’ KDE comparisons of our cohort with (n=32; ‘BOTH DOSES’) vs. without (n=28; ‘SINGLE DOSE’) those participants who were administered 2 mg NAB. Cyan shading is representative of the 95% null hypothesis confidence interval generated between the two compared distributions. </w:t>
      </w:r>
    </w:p>
    <w:p w14:paraId="3D7BB1DB" w14:textId="77777777" w:rsidR="00A92C0A" w:rsidRDefault="00A92C0A" w:rsidP="00A92C0A"/>
    <w:p w14:paraId="4D62F28D" w14:textId="77777777" w:rsidR="00A92C0A" w:rsidRDefault="00A92C0A" w:rsidP="00A92C0A">
      <w:r>
        <w:t xml:space="preserve">Significance values for ‘sm.density.compare’ KDE comparisons: </w:t>
      </w:r>
    </w:p>
    <w:p w14:paraId="67FFFCD0" w14:textId="77777777" w:rsidR="00A92C0A" w:rsidRDefault="00A92C0A" w:rsidP="00A92C0A">
      <w:r>
        <w:t>a) nonsignificant (p = 0.98)</w:t>
      </w:r>
    </w:p>
    <w:p w14:paraId="62929F7C" w14:textId="77777777" w:rsidR="00A92C0A" w:rsidRDefault="00A92C0A" w:rsidP="00A92C0A">
      <w:r>
        <w:t>b) nonsignificant (p = 0.96)</w:t>
      </w:r>
    </w:p>
    <w:p w14:paraId="2DFD55C7" w14:textId="77777777" w:rsidR="00A92C0A" w:rsidRDefault="00A92C0A" w:rsidP="00A92C0A">
      <w:r>
        <w:t>c) nonsignificant (p = 0.99)</w:t>
      </w:r>
    </w:p>
    <w:p w14:paraId="6AD08530" w14:textId="77777777" w:rsidR="00A92C0A" w:rsidRDefault="00A92C0A" w:rsidP="00A92C0A">
      <w:r>
        <w:t>d) nonsignificant (p = 0.99)</w:t>
      </w:r>
    </w:p>
    <w:p w14:paraId="5C9270BB" w14:textId="77777777" w:rsidR="00A92C0A" w:rsidRDefault="00A92C0A" w:rsidP="00A92C0A">
      <w:r>
        <w:br w:type="page"/>
      </w:r>
    </w:p>
    <w:p w14:paraId="78FB9E28" w14:textId="77777777" w:rsidR="00A92C0A" w:rsidRDefault="00A92C0A" w:rsidP="00A92C0A">
      <w:r>
        <w:rPr>
          <w:noProof/>
        </w:rPr>
        <w:lastRenderedPageBreak/>
        <w:drawing>
          <wp:inline distT="0" distB="0" distL="0" distR="0" wp14:anchorId="292D3501" wp14:editId="465731B1">
            <wp:extent cx="28224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1A1A3456" wp14:editId="7A568355">
            <wp:extent cx="2822400" cy="2286000"/>
            <wp:effectExtent l="0" t="0" r="0" b="0"/>
            <wp:docPr id="18" name="Picture 18"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63F947A4" wp14:editId="6D3E50D7">
            <wp:extent cx="2822400" cy="2286000"/>
            <wp:effectExtent l="0" t="0" r="0" b="0"/>
            <wp:docPr id="19" name="Picture 19"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r>
        <w:rPr>
          <w:noProof/>
        </w:rPr>
        <w:drawing>
          <wp:inline distT="0" distB="0" distL="0" distR="0" wp14:anchorId="0AB04863" wp14:editId="27D5B03E">
            <wp:extent cx="2822400" cy="2286000"/>
            <wp:effectExtent l="0" t="0" r="0" b="0"/>
            <wp:docPr id="20" name="Picture 20"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2400" cy="2286000"/>
                    </a:xfrm>
                    <a:prstGeom prst="rect">
                      <a:avLst/>
                    </a:prstGeom>
                    <a:noFill/>
                    <a:ln>
                      <a:noFill/>
                    </a:ln>
                  </pic:spPr>
                </pic:pic>
              </a:graphicData>
            </a:graphic>
          </wp:inline>
        </w:drawing>
      </w:r>
    </w:p>
    <w:p w14:paraId="67EF57C5" w14:textId="490C47BF" w:rsidR="00A92C0A" w:rsidRDefault="00D70E46" w:rsidP="00A92C0A">
      <w:r>
        <w:rPr>
          <w:b/>
          <w:bCs/>
        </w:rPr>
        <w:t xml:space="preserve">Fig </w:t>
      </w:r>
      <w:r w:rsidR="00A92C0A">
        <w:rPr>
          <w:b/>
          <w:bCs/>
        </w:rPr>
        <w:t>7</w:t>
      </w:r>
      <w:r w:rsidR="00A92C0A" w:rsidRPr="00957CE2">
        <w:rPr>
          <w:b/>
          <w:bCs/>
        </w:rPr>
        <w:t xml:space="preserve">. Change in PHI </w:t>
      </w:r>
      <w:r w:rsidR="00A92C0A">
        <w:rPr>
          <w:b/>
          <w:bCs/>
        </w:rPr>
        <w:t>embodiment</w:t>
      </w:r>
      <w:r w:rsidR="00A92C0A" w:rsidRPr="00957CE2">
        <w:rPr>
          <w:b/>
          <w:bCs/>
        </w:rPr>
        <w:t xml:space="preserve"> response after NAB (NAB – placebo difference score) in healthy volunteers (n = 32) on the a) 15 cm 0 ms, b) 15 cm 500 ms, c) 30 cm 0 ms, and d) 30 cm 500 ms conditions.</w:t>
      </w:r>
      <w:r w:rsidR="00A92C0A">
        <w:t xml:space="preserve"> Data are presented as change in individual embodiment responses on the PHI against density of responses, with ‘sm.density.compare’ KDE comparisons of our cohort with (n=32; ‘BOTH DOSES’) vs. without (n=28; ‘SINGLE DOSE’) those participants who were administered 2 mg NAB. Cyan shading is representative of the 95% null hypothesis confidence interval generated between the two compared distributions. </w:t>
      </w:r>
    </w:p>
    <w:p w14:paraId="6407087D" w14:textId="77777777" w:rsidR="00A92C0A" w:rsidRDefault="00A92C0A" w:rsidP="00A92C0A"/>
    <w:p w14:paraId="7CDDA123" w14:textId="77777777" w:rsidR="00A92C0A" w:rsidRDefault="00A92C0A" w:rsidP="00A92C0A">
      <w:r>
        <w:t xml:space="preserve">Significance values for ‘sm.density.compare’ KDE comparisons: </w:t>
      </w:r>
    </w:p>
    <w:p w14:paraId="5D7BB3F9" w14:textId="77777777" w:rsidR="00A92C0A" w:rsidRDefault="00A92C0A" w:rsidP="00A92C0A">
      <w:r>
        <w:t>a) nonsignificant (p = 0.99)</w:t>
      </w:r>
    </w:p>
    <w:p w14:paraId="6DB445D3" w14:textId="77777777" w:rsidR="00A92C0A" w:rsidRDefault="00A92C0A" w:rsidP="00A92C0A">
      <w:r>
        <w:t>b) nonsignificant (p = 0.99)</w:t>
      </w:r>
    </w:p>
    <w:p w14:paraId="37E79ED9" w14:textId="77777777" w:rsidR="00A92C0A" w:rsidRDefault="00A92C0A" w:rsidP="00A92C0A">
      <w:r>
        <w:t>c) nonsignificant (p = 0.99)</w:t>
      </w:r>
    </w:p>
    <w:p w14:paraId="4BC5B396" w14:textId="77777777" w:rsidR="00A92C0A" w:rsidRDefault="00A92C0A" w:rsidP="00A92C0A">
      <w:r>
        <w:t>d) nonsignificant (p = 0.99)</w:t>
      </w:r>
    </w:p>
    <w:p w14:paraId="7A8769A4" w14:textId="77777777" w:rsidR="00A92C0A" w:rsidRDefault="00A92C0A" w:rsidP="00A92C0A">
      <w:r>
        <w:br w:type="page"/>
      </w:r>
    </w:p>
    <w:p w14:paraId="37ECA4DA" w14:textId="77777777" w:rsidR="00A92C0A" w:rsidRDefault="00A92C0A" w:rsidP="00A92C0A">
      <w:r>
        <w:rPr>
          <w:noProof/>
        </w:rPr>
        <w:lastRenderedPageBreak/>
        <w:drawing>
          <wp:inline distT="0" distB="0" distL="0" distR="0" wp14:anchorId="4BD70FCB" wp14:editId="1485AD59">
            <wp:extent cx="2846705" cy="2312035"/>
            <wp:effectExtent l="0" t="0" r="0" b="0"/>
            <wp:docPr id="25" name="Picture 25"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r>
        <w:rPr>
          <w:noProof/>
        </w:rPr>
        <w:drawing>
          <wp:inline distT="0" distB="0" distL="0" distR="0" wp14:anchorId="6757F790" wp14:editId="34C12D0C">
            <wp:extent cx="2846705" cy="2312035"/>
            <wp:effectExtent l="0" t="0" r="0" b="0"/>
            <wp:docPr id="26" name="Picture 26" descr="A blue and red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r>
        <w:rPr>
          <w:noProof/>
        </w:rPr>
        <w:drawing>
          <wp:inline distT="0" distB="0" distL="0" distR="0" wp14:anchorId="71EA081D" wp14:editId="3A4629CF">
            <wp:extent cx="2846705" cy="2312035"/>
            <wp:effectExtent l="0" t="0" r="0" b="0"/>
            <wp:docPr id="27" name="Picture 27"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r>
        <w:rPr>
          <w:noProof/>
        </w:rPr>
        <w:drawing>
          <wp:inline distT="0" distB="0" distL="0" distR="0" wp14:anchorId="30BECBFB" wp14:editId="22A43799">
            <wp:extent cx="2846705" cy="2312035"/>
            <wp:effectExtent l="0" t="0" r="0" b="0"/>
            <wp:docPr id="28" name="Picture 28"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6705" cy="2312035"/>
                    </a:xfrm>
                    <a:prstGeom prst="rect">
                      <a:avLst/>
                    </a:prstGeom>
                    <a:noFill/>
                    <a:ln>
                      <a:noFill/>
                    </a:ln>
                  </pic:spPr>
                </pic:pic>
              </a:graphicData>
            </a:graphic>
          </wp:inline>
        </w:drawing>
      </w:r>
    </w:p>
    <w:p w14:paraId="0C7D04CF" w14:textId="2793C230" w:rsidR="00A92C0A" w:rsidRDefault="00D70E46" w:rsidP="00A92C0A">
      <w:r>
        <w:rPr>
          <w:b/>
          <w:bCs/>
        </w:rPr>
        <w:t xml:space="preserve">Fig </w:t>
      </w:r>
      <w:r w:rsidR="00A92C0A">
        <w:rPr>
          <w:b/>
          <w:bCs/>
        </w:rPr>
        <w:t>8</w:t>
      </w:r>
      <w:r w:rsidR="00A92C0A" w:rsidRPr="00957CE2">
        <w:rPr>
          <w:b/>
          <w:bCs/>
        </w:rPr>
        <w:t xml:space="preserve">. Change in PHI </w:t>
      </w:r>
      <w:r w:rsidR="00A92C0A">
        <w:rPr>
          <w:b/>
          <w:bCs/>
        </w:rPr>
        <w:t>disembodiment</w:t>
      </w:r>
      <w:r w:rsidR="00A92C0A" w:rsidRPr="00957CE2">
        <w:rPr>
          <w:b/>
          <w:bCs/>
        </w:rPr>
        <w:t xml:space="preserve"> response after NAB (NAB – placebo difference score) in healthy volunteers (n = 32) on the a) 15 cm 0 ms, b) 15 cm 500 ms, c) 30 cm 0 ms, and d) 30 cm 500 ms conditions.</w:t>
      </w:r>
      <w:r w:rsidR="00A92C0A">
        <w:t xml:space="preserve"> Data are presented as change in individual disembodiment responses on the PHI against density of responses, with ‘sm.density.compare’ KDE comparisons of our cohort with (n=32; ‘BOTH DOSES’) vs. without (n=28; ‘SINGLE DOSE’) those participants who were administered 2 mg NAB. Cyan shading is representative of the 95% null hypothesis confidence interval generated between the two compared distributions. </w:t>
      </w:r>
    </w:p>
    <w:p w14:paraId="332E22DC" w14:textId="77777777" w:rsidR="00A92C0A" w:rsidRDefault="00A92C0A" w:rsidP="00A92C0A"/>
    <w:p w14:paraId="0BFC2B77" w14:textId="77777777" w:rsidR="00A92C0A" w:rsidRDefault="00A92C0A" w:rsidP="00A92C0A">
      <w:r>
        <w:t xml:space="preserve">Significance values for ‘sm.density.compare’ KDE comparisons: </w:t>
      </w:r>
    </w:p>
    <w:p w14:paraId="641C2A07" w14:textId="77777777" w:rsidR="00A92C0A" w:rsidRDefault="00A92C0A" w:rsidP="00A92C0A">
      <w:r>
        <w:t>a) nonsignificant (p = 0.99)</w:t>
      </w:r>
    </w:p>
    <w:p w14:paraId="2785386B" w14:textId="77777777" w:rsidR="00A92C0A" w:rsidRDefault="00A92C0A" w:rsidP="00A92C0A">
      <w:r>
        <w:t>b) nonsignificant (p = 0.99)</w:t>
      </w:r>
    </w:p>
    <w:p w14:paraId="3CD22D99" w14:textId="77777777" w:rsidR="00A92C0A" w:rsidRDefault="00A92C0A" w:rsidP="00A92C0A">
      <w:r>
        <w:t>c) nonsignificant (p = 0.99)</w:t>
      </w:r>
    </w:p>
    <w:p w14:paraId="662C206B" w14:textId="77777777" w:rsidR="00A92C0A" w:rsidRDefault="00A92C0A" w:rsidP="00A92C0A">
      <w:r>
        <w:t>d) nonsignificant (p = 0.93)</w:t>
      </w:r>
    </w:p>
    <w:p w14:paraId="3FDA34BF" w14:textId="77777777" w:rsidR="001C5E88" w:rsidRDefault="001C5E88">
      <w:r>
        <w:br w:type="page"/>
      </w:r>
    </w:p>
    <w:p w14:paraId="26E93655" w14:textId="56D3F820" w:rsidR="007C3CCD" w:rsidRDefault="001C5E88" w:rsidP="007C3CCD">
      <w:r>
        <w:rPr>
          <w:noProof/>
        </w:rPr>
        <w:lastRenderedPageBreak/>
        <w:drawing>
          <wp:inline distT="0" distB="0" distL="0" distR="0" wp14:anchorId="05D48159" wp14:editId="134827EF">
            <wp:extent cx="2849880" cy="230378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9880" cy="2303780"/>
                    </a:xfrm>
                    <a:prstGeom prst="rect">
                      <a:avLst/>
                    </a:prstGeom>
                    <a:noFill/>
                    <a:ln>
                      <a:noFill/>
                    </a:ln>
                  </pic:spPr>
                </pic:pic>
              </a:graphicData>
            </a:graphic>
          </wp:inline>
        </w:drawing>
      </w:r>
      <w:r>
        <w:rPr>
          <w:noProof/>
        </w:rPr>
        <w:drawing>
          <wp:inline distT="0" distB="0" distL="0" distR="0" wp14:anchorId="5038E8C4" wp14:editId="7E80AC42">
            <wp:extent cx="2849880" cy="2303780"/>
            <wp:effectExtent l="0" t="0" r="762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9880" cy="2303780"/>
                    </a:xfrm>
                    <a:prstGeom prst="rect">
                      <a:avLst/>
                    </a:prstGeom>
                    <a:noFill/>
                    <a:ln>
                      <a:noFill/>
                    </a:ln>
                  </pic:spPr>
                </pic:pic>
              </a:graphicData>
            </a:graphic>
          </wp:inline>
        </w:drawing>
      </w:r>
      <w:r>
        <w:rPr>
          <w:noProof/>
        </w:rPr>
        <w:drawing>
          <wp:inline distT="0" distB="0" distL="0" distR="0" wp14:anchorId="58A654F2" wp14:editId="04954080">
            <wp:extent cx="2849880" cy="2303780"/>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9880" cy="2303780"/>
                    </a:xfrm>
                    <a:prstGeom prst="rect">
                      <a:avLst/>
                    </a:prstGeom>
                    <a:noFill/>
                    <a:ln>
                      <a:noFill/>
                    </a:ln>
                  </pic:spPr>
                </pic:pic>
              </a:graphicData>
            </a:graphic>
          </wp:inline>
        </w:drawing>
      </w:r>
      <w:r>
        <w:rPr>
          <w:noProof/>
        </w:rPr>
        <w:drawing>
          <wp:inline distT="0" distB="0" distL="0" distR="0" wp14:anchorId="517AADF0" wp14:editId="3334E633">
            <wp:extent cx="2849880" cy="2303780"/>
            <wp:effectExtent l="0" t="0" r="762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9880" cy="2303780"/>
                    </a:xfrm>
                    <a:prstGeom prst="rect">
                      <a:avLst/>
                    </a:prstGeom>
                    <a:noFill/>
                    <a:ln>
                      <a:noFill/>
                    </a:ln>
                  </pic:spPr>
                </pic:pic>
              </a:graphicData>
            </a:graphic>
          </wp:inline>
        </w:drawing>
      </w:r>
    </w:p>
    <w:p w14:paraId="1CE2B7D9" w14:textId="7FEC13DE" w:rsidR="001C5E88" w:rsidRDefault="00D70E46" w:rsidP="007C3CCD">
      <w:r>
        <w:rPr>
          <w:b/>
          <w:bCs/>
        </w:rPr>
        <w:t xml:space="preserve">Fig </w:t>
      </w:r>
      <w:r w:rsidR="001C5E88" w:rsidRPr="001C5E88">
        <w:rPr>
          <w:b/>
          <w:bCs/>
        </w:rPr>
        <w:t>9. PHI a) embodiment, b) agency – self, c) disembodiment, and d) loss in agency – self response on placebo in the 15 cm 0 ms control condition in healthy volunteers (n = 32).</w:t>
      </w:r>
      <w:r w:rsidR="001C5E88">
        <w:t xml:space="preserve"> Data are presented as individual PHI component responses against density of responses, comparing our observed component data against a null hypothesis distribution (mean of 0 &amp; standard deviation of the component scores in question). Cyan shading is representative of the 95% null hypothesis confidence interval generated between the two compared distributions.</w:t>
      </w:r>
    </w:p>
    <w:p w14:paraId="7D10A6B8" w14:textId="25F705A3" w:rsidR="007C3CCD" w:rsidRDefault="007C3CCD" w:rsidP="007C3CCD"/>
    <w:p w14:paraId="1F46ED86" w14:textId="2FF7718E" w:rsidR="001C5E88" w:rsidRDefault="001C5E88" w:rsidP="001C5E88">
      <w:r>
        <w:t xml:space="preserve">Significance values for ‘sm.density.compare’ KDE comparisons: </w:t>
      </w:r>
    </w:p>
    <w:p w14:paraId="42CC1480" w14:textId="0E6ACEEC" w:rsidR="001C5E88" w:rsidRDefault="001C5E88" w:rsidP="001C5E88">
      <w:r>
        <w:t>a) significant (p &lt; 0.001)</w:t>
      </w:r>
    </w:p>
    <w:p w14:paraId="1670FB04" w14:textId="41DD0319" w:rsidR="001C5E88" w:rsidRDefault="001C5E88" w:rsidP="001C5E88">
      <w:r>
        <w:t>b) significant (p &lt; 0.001)</w:t>
      </w:r>
    </w:p>
    <w:p w14:paraId="12C5806C" w14:textId="11BD4246" w:rsidR="001C5E88" w:rsidRDefault="001C5E88" w:rsidP="001C5E88">
      <w:r>
        <w:t>c) significant (p &lt; 0.001)</w:t>
      </w:r>
    </w:p>
    <w:p w14:paraId="13F6D85E" w14:textId="5DC3E1CF" w:rsidR="001C5E88" w:rsidRDefault="001C5E88" w:rsidP="001C5E88">
      <w:r>
        <w:t>d) significant (p &lt; 0.001)</w:t>
      </w:r>
    </w:p>
    <w:p w14:paraId="2027C12A" w14:textId="77777777" w:rsidR="001C5E88" w:rsidRDefault="001C5E88" w:rsidP="001C5E88"/>
    <w:p w14:paraId="109FFA63" w14:textId="1F4E0DFB" w:rsidR="00C11E43" w:rsidRDefault="00C11E43">
      <w:r>
        <w:br w:type="page"/>
      </w:r>
    </w:p>
    <w:p w14:paraId="107B1A12" w14:textId="582D4AE6" w:rsidR="001C5E88" w:rsidRDefault="00C11E43" w:rsidP="007C3CCD">
      <w:r>
        <w:rPr>
          <w:noProof/>
        </w:rPr>
        <w:lastRenderedPageBreak/>
        <w:drawing>
          <wp:inline distT="0" distB="0" distL="0" distR="0" wp14:anchorId="0BA5A0DE" wp14:editId="6C1914AD">
            <wp:extent cx="2849880" cy="2303780"/>
            <wp:effectExtent l="0" t="0" r="7620" b="1270"/>
            <wp:docPr id="12" name="Picture 12"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9880" cy="2303780"/>
                    </a:xfrm>
                    <a:prstGeom prst="rect">
                      <a:avLst/>
                    </a:prstGeom>
                    <a:noFill/>
                    <a:ln>
                      <a:noFill/>
                    </a:ln>
                  </pic:spPr>
                </pic:pic>
              </a:graphicData>
            </a:graphic>
          </wp:inline>
        </w:drawing>
      </w:r>
      <w:r>
        <w:rPr>
          <w:noProof/>
        </w:rPr>
        <w:drawing>
          <wp:inline distT="0" distB="0" distL="0" distR="0" wp14:anchorId="7DD8A1CF" wp14:editId="096C9ED6">
            <wp:extent cx="2849880" cy="2303780"/>
            <wp:effectExtent l="0" t="0" r="7620" b="1270"/>
            <wp:docPr id="38" name="Picture 38"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9880" cy="2303780"/>
                    </a:xfrm>
                    <a:prstGeom prst="rect">
                      <a:avLst/>
                    </a:prstGeom>
                    <a:noFill/>
                    <a:ln>
                      <a:noFill/>
                    </a:ln>
                  </pic:spPr>
                </pic:pic>
              </a:graphicData>
            </a:graphic>
          </wp:inline>
        </w:drawing>
      </w:r>
    </w:p>
    <w:p w14:paraId="2C935E6F" w14:textId="27AB666F" w:rsidR="00C11E43" w:rsidRPr="00C11E43" w:rsidRDefault="00D70E46" w:rsidP="00C11E43">
      <w:r>
        <w:rPr>
          <w:b/>
          <w:bCs/>
        </w:rPr>
        <w:t xml:space="preserve">Fig </w:t>
      </w:r>
      <w:r w:rsidR="00C11E43">
        <w:rPr>
          <w:b/>
          <w:bCs/>
        </w:rPr>
        <w:t xml:space="preserve">10. PHI embodiment responses after NAB in healthy volunteers (n = 32) comparing the effects of exceeding a) the TBW after the SBW, and b) the SBW after the TBW. </w:t>
      </w:r>
      <w:r w:rsidR="00C11E43">
        <w:t>Data are presented as individual embodiment responses against density of responses, comparing embodiment responses on a) the 30cm 500ms to the 30cm 0ms condition, and b) the 30cm 500ms to the 15cm 500ms condition. Cyan shading is representative of the 95% null hypothesis confidence interval generated between the two compared distributions.</w:t>
      </w:r>
    </w:p>
    <w:p w14:paraId="5C9F2DD9" w14:textId="5B2877A3" w:rsidR="00C11E43" w:rsidRDefault="00C11E43" w:rsidP="007C3CCD">
      <w:pPr>
        <w:rPr>
          <w:b/>
          <w:bCs/>
        </w:rPr>
      </w:pPr>
    </w:p>
    <w:p w14:paraId="3A8284AD" w14:textId="2EA09F4A" w:rsidR="00C11E43" w:rsidRDefault="00C11E43" w:rsidP="007C3CCD">
      <w:r>
        <w:t>Significance values for ‘sm.density.compare’ KDE comparisons:</w:t>
      </w:r>
    </w:p>
    <w:p w14:paraId="630BB525" w14:textId="096207F6" w:rsidR="00C11E43" w:rsidRDefault="00C11E43" w:rsidP="007C3CCD">
      <w:r>
        <w:t>a) nonsignificant (p = 0.6)</w:t>
      </w:r>
    </w:p>
    <w:p w14:paraId="5BC173BE" w14:textId="21DF9AE0" w:rsidR="00007D78" w:rsidRDefault="00C11E43" w:rsidP="007C3CCD">
      <w:r>
        <w:t>b) nonsignificant (p = 0.34)</w:t>
      </w:r>
    </w:p>
    <w:p w14:paraId="1A45495C" w14:textId="77777777" w:rsidR="00007D78" w:rsidRDefault="00007D78">
      <w:r>
        <w:br w:type="page"/>
      </w:r>
    </w:p>
    <w:p w14:paraId="1EB1B0FD" w14:textId="57BED404" w:rsidR="00C11E43" w:rsidRDefault="00007D78" w:rsidP="007C3CCD">
      <w:r>
        <w:rPr>
          <w:noProof/>
        </w:rPr>
        <w:lastRenderedPageBreak/>
        <w:drawing>
          <wp:inline distT="0" distB="0" distL="0" distR="0" wp14:anchorId="095798D2" wp14:editId="54B4B5D2">
            <wp:extent cx="5730875" cy="2604770"/>
            <wp:effectExtent l="0" t="0" r="317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0875" cy="2604770"/>
                    </a:xfrm>
                    <a:prstGeom prst="rect">
                      <a:avLst/>
                    </a:prstGeom>
                    <a:noFill/>
                    <a:ln>
                      <a:noFill/>
                    </a:ln>
                  </pic:spPr>
                </pic:pic>
              </a:graphicData>
            </a:graphic>
          </wp:inline>
        </w:drawing>
      </w:r>
    </w:p>
    <w:p w14:paraId="65CC1738" w14:textId="22708EE3" w:rsidR="00007D78" w:rsidRDefault="00D70E46" w:rsidP="00007D78">
      <w:r>
        <w:rPr>
          <w:b/>
          <w:bCs/>
        </w:rPr>
        <w:t xml:space="preserve">Fig </w:t>
      </w:r>
      <w:bookmarkStart w:id="0" w:name="_GoBack"/>
      <w:bookmarkEnd w:id="0"/>
      <w:r w:rsidR="00007D78">
        <w:rPr>
          <w:b/>
          <w:bCs/>
        </w:rPr>
        <w:t>11</w:t>
      </w:r>
      <w:r w:rsidR="00007D78" w:rsidRPr="001C5E88">
        <w:rPr>
          <w:b/>
          <w:bCs/>
        </w:rPr>
        <w:t>. PHI embodiment response</w:t>
      </w:r>
      <w:r w:rsidR="00007D78">
        <w:rPr>
          <w:b/>
          <w:bCs/>
        </w:rPr>
        <w:t>s</w:t>
      </w:r>
      <w:r w:rsidR="00007D78" w:rsidRPr="001C5E88">
        <w:rPr>
          <w:b/>
          <w:bCs/>
        </w:rPr>
        <w:t xml:space="preserve"> after</w:t>
      </w:r>
      <w:r w:rsidR="00007D78">
        <w:rPr>
          <w:b/>
          <w:bCs/>
        </w:rPr>
        <w:t xml:space="preserve"> NAB</w:t>
      </w:r>
      <w:r w:rsidR="00007D78" w:rsidRPr="001C5E88">
        <w:rPr>
          <w:b/>
          <w:bCs/>
        </w:rPr>
        <w:t xml:space="preserve"> in the 15 cm 0 ms control condition in healthy volunteers (n = 32)</w:t>
      </w:r>
      <w:r w:rsidR="00007D78">
        <w:rPr>
          <w:b/>
          <w:bCs/>
        </w:rPr>
        <w:t xml:space="preserve"> split by baseline embodiment responses</w:t>
      </w:r>
      <w:r w:rsidR="00007D78" w:rsidRPr="001C5E88">
        <w:rPr>
          <w:b/>
          <w:bCs/>
        </w:rPr>
        <w:t>.</w:t>
      </w:r>
      <w:r w:rsidR="00007D78">
        <w:t xml:space="preserve"> Data are presented as individual PHI embodiment responses in those who were ‘low’ at baseline (embodiment score of 0 or below), and ‘high’ at baseline (embodiment score greater than 0). </w:t>
      </w:r>
    </w:p>
    <w:p w14:paraId="4ED894AA" w14:textId="77777777" w:rsidR="00007D78" w:rsidRPr="00C11E43" w:rsidRDefault="00007D78" w:rsidP="007C3CCD"/>
    <w:sectPr w:rsidR="00007D78" w:rsidRPr="00C11E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C1ABC" w14:textId="77777777" w:rsidR="00162B70" w:rsidRDefault="00162B70" w:rsidP="001C5E88">
      <w:pPr>
        <w:spacing w:after="0" w:line="240" w:lineRule="auto"/>
      </w:pPr>
      <w:r>
        <w:separator/>
      </w:r>
    </w:p>
  </w:endnote>
  <w:endnote w:type="continuationSeparator" w:id="0">
    <w:p w14:paraId="74D14E7E" w14:textId="77777777" w:rsidR="00162B70" w:rsidRDefault="00162B70" w:rsidP="001C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87A8C" w14:textId="77777777" w:rsidR="00162B70" w:rsidRDefault="00162B70" w:rsidP="001C5E88">
      <w:pPr>
        <w:spacing w:after="0" w:line="240" w:lineRule="auto"/>
      </w:pPr>
      <w:r>
        <w:separator/>
      </w:r>
    </w:p>
  </w:footnote>
  <w:footnote w:type="continuationSeparator" w:id="0">
    <w:p w14:paraId="0F6DC384" w14:textId="77777777" w:rsidR="00162B70" w:rsidRDefault="00162B70" w:rsidP="001C5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AE120D"/>
    <w:multiLevelType w:val="hybridMultilevel"/>
    <w:tmpl w:val="995E2B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5EF200F"/>
    <w:multiLevelType w:val="hybridMultilevel"/>
    <w:tmpl w:val="89C26E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CE2"/>
    <w:rsid w:val="00007D78"/>
    <w:rsid w:val="0012777C"/>
    <w:rsid w:val="00162B70"/>
    <w:rsid w:val="001C5E88"/>
    <w:rsid w:val="00215475"/>
    <w:rsid w:val="0023261E"/>
    <w:rsid w:val="00285221"/>
    <w:rsid w:val="0029480F"/>
    <w:rsid w:val="003C2074"/>
    <w:rsid w:val="005D54DF"/>
    <w:rsid w:val="007C3CCD"/>
    <w:rsid w:val="00876D94"/>
    <w:rsid w:val="00957CE2"/>
    <w:rsid w:val="00986C0C"/>
    <w:rsid w:val="00A4002E"/>
    <w:rsid w:val="00A92C0A"/>
    <w:rsid w:val="00AF6052"/>
    <w:rsid w:val="00C11E43"/>
    <w:rsid w:val="00D70E46"/>
    <w:rsid w:val="00F042BB"/>
    <w:rsid w:val="00F53E30"/>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D7B70"/>
  <w15:chartTrackingRefBased/>
  <w15:docId w15:val="{7D61BA2F-6749-40A2-BF91-EFFA7CDE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C0C"/>
  </w:style>
  <w:style w:type="paragraph" w:styleId="Heading1">
    <w:name w:val="heading 1"/>
    <w:basedOn w:val="Normal"/>
    <w:next w:val="Normal"/>
    <w:link w:val="Heading1Char"/>
    <w:uiPriority w:val="9"/>
    <w:qFormat/>
    <w:rsid w:val="00986C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erJournal">
    <w:name w:val="Subheader Journal"/>
    <w:basedOn w:val="HeaderJournals"/>
    <w:link w:val="SubheaderJournalChar"/>
    <w:autoRedefine/>
    <w:qFormat/>
    <w:rsid w:val="00986C0C"/>
    <w:pPr>
      <w:outlineLvl w:val="1"/>
    </w:pPr>
    <w:rPr>
      <w:sz w:val="24"/>
    </w:rPr>
  </w:style>
  <w:style w:type="character" w:customStyle="1" w:styleId="SubheaderJournalChar">
    <w:name w:val="Subheader Journal Char"/>
    <w:basedOn w:val="HeaderJournalsChar"/>
    <w:link w:val="SubheaderJournal"/>
    <w:rsid w:val="00986C0C"/>
    <w:rPr>
      <w:rFonts w:ascii="Times New Roman" w:hAnsi="Times New Roman" w:cs="Times New Roman"/>
      <w:b/>
      <w:sz w:val="24"/>
    </w:rPr>
  </w:style>
  <w:style w:type="paragraph" w:customStyle="1" w:styleId="HeaderJournals">
    <w:name w:val="Header Journals"/>
    <w:basedOn w:val="Normal"/>
    <w:next w:val="Heading1"/>
    <w:link w:val="HeaderJournalsChar"/>
    <w:autoRedefine/>
    <w:qFormat/>
    <w:rsid w:val="00986C0C"/>
    <w:pPr>
      <w:spacing w:after="0" w:line="480" w:lineRule="auto"/>
      <w:ind w:firstLine="284"/>
      <w:outlineLvl w:val="0"/>
    </w:pPr>
    <w:rPr>
      <w:rFonts w:ascii="Times New Roman" w:hAnsi="Times New Roman" w:cs="Times New Roman"/>
      <w:b/>
      <w:sz w:val="28"/>
    </w:rPr>
  </w:style>
  <w:style w:type="character" w:customStyle="1" w:styleId="HeaderJournalsChar">
    <w:name w:val="Header Journals Char"/>
    <w:basedOn w:val="DefaultParagraphFont"/>
    <w:link w:val="HeaderJournals"/>
    <w:rsid w:val="00986C0C"/>
    <w:rPr>
      <w:rFonts w:ascii="Times New Roman" w:hAnsi="Times New Roman" w:cs="Times New Roman"/>
      <w:b/>
      <w:sz w:val="28"/>
    </w:rPr>
  </w:style>
  <w:style w:type="character" w:customStyle="1" w:styleId="Heading1Char">
    <w:name w:val="Heading 1 Char"/>
    <w:basedOn w:val="DefaultParagraphFont"/>
    <w:link w:val="Heading1"/>
    <w:uiPriority w:val="9"/>
    <w:rsid w:val="00986C0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57CE2"/>
    <w:pPr>
      <w:ind w:left="720"/>
      <w:contextualSpacing/>
    </w:pPr>
  </w:style>
  <w:style w:type="character" w:styleId="CommentReference">
    <w:name w:val="annotation reference"/>
    <w:basedOn w:val="DefaultParagraphFont"/>
    <w:uiPriority w:val="99"/>
    <w:semiHidden/>
    <w:unhideWhenUsed/>
    <w:rsid w:val="0023261E"/>
    <w:rPr>
      <w:sz w:val="16"/>
      <w:szCs w:val="16"/>
    </w:rPr>
  </w:style>
  <w:style w:type="paragraph" w:styleId="CommentText">
    <w:name w:val="annotation text"/>
    <w:basedOn w:val="Normal"/>
    <w:link w:val="CommentTextChar"/>
    <w:uiPriority w:val="99"/>
    <w:semiHidden/>
    <w:unhideWhenUsed/>
    <w:rsid w:val="0023261E"/>
    <w:pPr>
      <w:spacing w:line="240" w:lineRule="auto"/>
    </w:pPr>
    <w:rPr>
      <w:sz w:val="20"/>
      <w:szCs w:val="20"/>
    </w:rPr>
  </w:style>
  <w:style w:type="character" w:customStyle="1" w:styleId="CommentTextChar">
    <w:name w:val="Comment Text Char"/>
    <w:basedOn w:val="DefaultParagraphFont"/>
    <w:link w:val="CommentText"/>
    <w:uiPriority w:val="99"/>
    <w:semiHidden/>
    <w:rsid w:val="0023261E"/>
    <w:rPr>
      <w:sz w:val="20"/>
      <w:szCs w:val="20"/>
    </w:rPr>
  </w:style>
  <w:style w:type="paragraph" w:styleId="CommentSubject">
    <w:name w:val="annotation subject"/>
    <w:basedOn w:val="CommentText"/>
    <w:next w:val="CommentText"/>
    <w:link w:val="CommentSubjectChar"/>
    <w:uiPriority w:val="99"/>
    <w:semiHidden/>
    <w:unhideWhenUsed/>
    <w:rsid w:val="0023261E"/>
    <w:rPr>
      <w:b/>
      <w:bCs/>
    </w:rPr>
  </w:style>
  <w:style w:type="character" w:customStyle="1" w:styleId="CommentSubjectChar">
    <w:name w:val="Comment Subject Char"/>
    <w:basedOn w:val="CommentTextChar"/>
    <w:link w:val="CommentSubject"/>
    <w:uiPriority w:val="99"/>
    <w:semiHidden/>
    <w:rsid w:val="0023261E"/>
    <w:rPr>
      <w:b/>
      <w:bCs/>
      <w:sz w:val="20"/>
      <w:szCs w:val="20"/>
    </w:rPr>
  </w:style>
  <w:style w:type="paragraph" w:styleId="BalloonText">
    <w:name w:val="Balloon Text"/>
    <w:basedOn w:val="Normal"/>
    <w:link w:val="BalloonTextChar"/>
    <w:uiPriority w:val="99"/>
    <w:semiHidden/>
    <w:unhideWhenUsed/>
    <w:rsid w:val="002326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61E"/>
    <w:rPr>
      <w:rFonts w:ascii="Segoe UI" w:hAnsi="Segoe UI" w:cs="Segoe UI"/>
      <w:sz w:val="18"/>
      <w:szCs w:val="18"/>
    </w:rPr>
  </w:style>
  <w:style w:type="paragraph" w:styleId="Header">
    <w:name w:val="header"/>
    <w:basedOn w:val="Normal"/>
    <w:link w:val="HeaderChar"/>
    <w:uiPriority w:val="99"/>
    <w:unhideWhenUsed/>
    <w:rsid w:val="001C5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E88"/>
  </w:style>
  <w:style w:type="paragraph" w:styleId="Footer">
    <w:name w:val="footer"/>
    <w:basedOn w:val="Normal"/>
    <w:link w:val="FooterChar"/>
    <w:uiPriority w:val="99"/>
    <w:unhideWhenUsed/>
    <w:rsid w:val="001C5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9" Type="http://schemas.openxmlformats.org/officeDocument/2006/relationships/image" Target="media/image33.tiff"/><Relationship Id="rId3" Type="http://schemas.openxmlformats.org/officeDocument/2006/relationships/settings" Target="settings.xml"/><Relationship Id="rId21" Type="http://schemas.openxmlformats.org/officeDocument/2006/relationships/image" Target="media/image15.tiff"/><Relationship Id="rId34" Type="http://schemas.openxmlformats.org/officeDocument/2006/relationships/image" Target="media/image28.tiff"/><Relationship Id="rId42" Type="http://schemas.openxmlformats.org/officeDocument/2006/relationships/image" Target="media/image36.tiff"/><Relationship Id="rId47"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image" Target="media/image32.tif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41" Type="http://schemas.openxmlformats.org/officeDocument/2006/relationships/image" Target="media/image3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tiff"/><Relationship Id="rId40" Type="http://schemas.openxmlformats.org/officeDocument/2006/relationships/image" Target="media/image34.tiff"/><Relationship Id="rId45" Type="http://schemas.openxmlformats.org/officeDocument/2006/relationships/image" Target="media/image39.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image" Target="media/image30.tif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4" Type="http://schemas.openxmlformats.org/officeDocument/2006/relationships/image" Target="media/image38.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43" Type="http://schemas.openxmlformats.org/officeDocument/2006/relationships/image" Target="media/image3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1160</Words>
  <Characters>6617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Lim</dc:creator>
  <cp:keywords/>
  <dc:description/>
  <cp:lastModifiedBy>Mark Lim</cp:lastModifiedBy>
  <cp:revision>9</cp:revision>
  <dcterms:created xsi:type="dcterms:W3CDTF">2024-06-05T04:01:00Z</dcterms:created>
  <dcterms:modified xsi:type="dcterms:W3CDTF">2024-08-28T01:47:00Z</dcterms:modified>
</cp:coreProperties>
</file>