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83B7" w14:textId="08B6771D" w:rsidR="00337928" w:rsidRPr="00337928" w:rsidRDefault="00337928" w:rsidP="00337928">
      <w:pPr>
        <w:jc w:val="center"/>
        <w:rPr>
          <w:rFonts w:ascii="Times New Roman" w:hAnsi="Times New Roman" w:cs="Times New Roman"/>
          <w:b/>
          <w:bCs/>
        </w:rPr>
      </w:pPr>
      <w:r w:rsidRPr="00337928">
        <w:rPr>
          <w:rFonts w:ascii="Times New Roman" w:hAnsi="Times New Roman" w:cs="Times New Roman"/>
          <w:b/>
          <w:bCs/>
        </w:rPr>
        <w:t>Supporting Information</w:t>
      </w:r>
    </w:p>
    <w:p w14:paraId="5066D5C4" w14:textId="77777777" w:rsidR="00337928" w:rsidRPr="00337928" w:rsidRDefault="00337928">
      <w:pPr>
        <w:rPr>
          <w:rFonts w:ascii="Times New Roman" w:hAnsi="Times New Roman" w:cs="Times New Roman"/>
        </w:rPr>
      </w:pPr>
    </w:p>
    <w:p w14:paraId="4A514113" w14:textId="4D0E3E38" w:rsidR="00337928" w:rsidRDefault="00337928">
      <w:pPr>
        <w:rPr>
          <w:rFonts w:ascii="Times New Roman" w:hAnsi="Times New Roman" w:cs="Times New Roman"/>
          <w:b/>
          <w:bCs/>
          <w:color w:val="000000"/>
        </w:rPr>
      </w:pPr>
      <w:r w:rsidRPr="00337928">
        <w:rPr>
          <w:rFonts w:ascii="Times New Roman" w:hAnsi="Times New Roman" w:cs="Times New Roman"/>
          <w:b/>
          <w:bCs/>
          <w:color w:val="000000"/>
        </w:rPr>
        <w:t>S1: Preferred Reporting Items for Systematic reviews and Meta-Analyses extension for Scoping Reviews (PRISMA-</w:t>
      </w:r>
      <w:proofErr w:type="spellStart"/>
      <w:r w:rsidRPr="00337928">
        <w:rPr>
          <w:rFonts w:ascii="Times New Roman" w:hAnsi="Times New Roman" w:cs="Times New Roman"/>
          <w:b/>
          <w:bCs/>
          <w:color w:val="000000"/>
        </w:rPr>
        <w:t>ScR</w:t>
      </w:r>
      <w:proofErr w:type="spellEnd"/>
      <w:r w:rsidRPr="00337928">
        <w:rPr>
          <w:rFonts w:ascii="Times New Roman" w:hAnsi="Times New Roman" w:cs="Times New Roman"/>
          <w:b/>
          <w:bCs/>
          <w:color w:val="000000"/>
        </w:rPr>
        <w:t>) Checklist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9"/>
        <w:gridCol w:w="690"/>
        <w:gridCol w:w="4781"/>
        <w:gridCol w:w="1470"/>
      </w:tblGrid>
      <w:tr w:rsidR="00337928" w:rsidRPr="00337928" w14:paraId="739A253E"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4F81BD"/>
            <w:vAlign w:val="center"/>
            <w:hideMark/>
          </w:tcPr>
          <w:p w14:paraId="6D0A71EA"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color w:val="F2F2F2"/>
                <w:kern w:val="0"/>
                <w:sz w:val="20"/>
                <w:szCs w:val="20"/>
                <w:lang w:val="en-US" w:eastAsia="en-GB"/>
                <w14:ligatures w14:val="none"/>
              </w:rPr>
              <w:t>SECTION</w:t>
            </w:r>
            <w:r w:rsidRPr="00337928">
              <w:rPr>
                <w:rFonts w:ascii="Arial" w:eastAsia="Times New Roman" w:hAnsi="Arial" w:cs="Arial"/>
                <w:color w:val="F2F2F2"/>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4F81BD"/>
            <w:vAlign w:val="center"/>
            <w:hideMark/>
          </w:tcPr>
          <w:p w14:paraId="44C11B83"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color w:val="F2F2F2"/>
                <w:kern w:val="0"/>
                <w:sz w:val="20"/>
                <w:szCs w:val="20"/>
                <w:lang w:val="en-US" w:eastAsia="en-GB"/>
                <w14:ligatures w14:val="none"/>
              </w:rPr>
              <w:t>ITEM</w:t>
            </w:r>
            <w:r w:rsidRPr="00337928">
              <w:rPr>
                <w:rFonts w:ascii="Arial" w:eastAsia="Times New Roman" w:hAnsi="Arial" w:cs="Arial"/>
                <w:color w:val="F2F2F2"/>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4F81BD"/>
            <w:vAlign w:val="center"/>
            <w:hideMark/>
          </w:tcPr>
          <w:p w14:paraId="3F495405"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color w:val="F2F2F2"/>
                <w:kern w:val="0"/>
                <w:sz w:val="20"/>
                <w:szCs w:val="20"/>
                <w:lang w:val="en-US" w:eastAsia="en-GB"/>
                <w14:ligatures w14:val="none"/>
              </w:rPr>
              <w:t>PRISMA-</w:t>
            </w:r>
            <w:proofErr w:type="spellStart"/>
            <w:r w:rsidRPr="00337928">
              <w:rPr>
                <w:rFonts w:ascii="Arial" w:eastAsia="Times New Roman" w:hAnsi="Arial" w:cs="Arial"/>
                <w:b/>
                <w:bCs/>
                <w:color w:val="F2F2F2"/>
                <w:kern w:val="0"/>
                <w:sz w:val="20"/>
                <w:szCs w:val="20"/>
                <w:lang w:val="en-US" w:eastAsia="en-GB"/>
                <w14:ligatures w14:val="none"/>
              </w:rPr>
              <w:t>ScR</w:t>
            </w:r>
            <w:proofErr w:type="spellEnd"/>
            <w:r w:rsidRPr="00337928">
              <w:rPr>
                <w:rFonts w:ascii="Arial" w:eastAsia="Times New Roman" w:hAnsi="Arial" w:cs="Arial"/>
                <w:b/>
                <w:bCs/>
                <w:color w:val="F2F2F2"/>
                <w:kern w:val="0"/>
                <w:sz w:val="20"/>
                <w:szCs w:val="20"/>
                <w:lang w:val="en-US" w:eastAsia="en-GB"/>
                <w14:ligatures w14:val="none"/>
              </w:rPr>
              <w:t xml:space="preserve"> CHECKLIST ITEM</w:t>
            </w:r>
            <w:r w:rsidRPr="00337928">
              <w:rPr>
                <w:rFonts w:ascii="Arial" w:eastAsia="Times New Roman" w:hAnsi="Arial" w:cs="Arial"/>
                <w:color w:val="F2F2F2"/>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4F81BD"/>
            <w:vAlign w:val="center"/>
            <w:hideMark/>
          </w:tcPr>
          <w:p w14:paraId="7B291F13"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color w:val="F2F2F2"/>
                <w:kern w:val="0"/>
                <w:sz w:val="20"/>
                <w:szCs w:val="20"/>
                <w:lang w:val="en-US" w:eastAsia="en-GB"/>
                <w14:ligatures w14:val="none"/>
              </w:rPr>
              <w:t>REPORTED ON PAGE #</w:t>
            </w:r>
            <w:r w:rsidRPr="00337928">
              <w:rPr>
                <w:rFonts w:ascii="Arial" w:eastAsia="Times New Roman" w:hAnsi="Arial" w:cs="Arial"/>
                <w:color w:val="F2F2F2"/>
                <w:kern w:val="0"/>
                <w:sz w:val="20"/>
                <w:szCs w:val="20"/>
                <w:lang w:eastAsia="en-GB"/>
                <w14:ligatures w14:val="none"/>
              </w:rPr>
              <w:t> </w:t>
            </w:r>
          </w:p>
        </w:tc>
      </w:tr>
      <w:tr w:rsidR="00337928" w:rsidRPr="00337928" w14:paraId="6D4AE3AD" w14:textId="77777777" w:rsidTr="00337928">
        <w:trPr>
          <w:trHeight w:val="300"/>
        </w:trPr>
        <w:tc>
          <w:tcPr>
            <w:tcW w:w="9015" w:type="dxa"/>
            <w:gridSpan w:val="4"/>
            <w:tcBorders>
              <w:top w:val="single" w:sz="6" w:space="0" w:color="BFBFBF"/>
              <w:left w:val="single" w:sz="6" w:space="0" w:color="BFBFBF"/>
              <w:bottom w:val="single" w:sz="6" w:space="0" w:color="BFBFBF"/>
              <w:right w:val="single" w:sz="6" w:space="0" w:color="BFBFBF"/>
            </w:tcBorders>
            <w:shd w:val="clear" w:color="auto" w:fill="DBE5F1"/>
            <w:vAlign w:val="center"/>
            <w:hideMark/>
          </w:tcPr>
          <w:p w14:paraId="7B93B9C6"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kern w:val="0"/>
                <w:sz w:val="20"/>
                <w:szCs w:val="20"/>
                <w:lang w:val="en-US" w:eastAsia="en-GB"/>
                <w14:ligatures w14:val="none"/>
              </w:rPr>
              <w:t>TITLE</w:t>
            </w:r>
            <w:r w:rsidRPr="00337928">
              <w:rPr>
                <w:rFonts w:ascii="Arial" w:eastAsia="Times New Roman" w:hAnsi="Arial" w:cs="Arial"/>
                <w:kern w:val="0"/>
                <w:sz w:val="20"/>
                <w:szCs w:val="20"/>
                <w:lang w:eastAsia="en-GB"/>
                <w14:ligatures w14:val="none"/>
              </w:rPr>
              <w:t> </w:t>
            </w:r>
          </w:p>
        </w:tc>
      </w:tr>
      <w:tr w:rsidR="00337928" w:rsidRPr="00337928" w14:paraId="45E7CDC3"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D0D62B3"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Title</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5905ACC"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DF821FE"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Identify the report as a scoping review.</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3CFDF7"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w:t>
            </w:r>
            <w:r w:rsidRPr="00337928">
              <w:rPr>
                <w:rFonts w:ascii="Arial" w:eastAsia="Times New Roman" w:hAnsi="Arial" w:cs="Arial"/>
                <w:kern w:val="0"/>
                <w:sz w:val="20"/>
                <w:szCs w:val="20"/>
                <w:lang w:eastAsia="en-GB"/>
                <w14:ligatures w14:val="none"/>
              </w:rPr>
              <w:t> </w:t>
            </w:r>
          </w:p>
        </w:tc>
      </w:tr>
      <w:tr w:rsidR="00337928" w:rsidRPr="00337928" w14:paraId="31BEF503" w14:textId="77777777" w:rsidTr="00337928">
        <w:trPr>
          <w:trHeight w:val="300"/>
        </w:trPr>
        <w:tc>
          <w:tcPr>
            <w:tcW w:w="9015" w:type="dxa"/>
            <w:gridSpan w:val="4"/>
            <w:tcBorders>
              <w:top w:val="single" w:sz="6" w:space="0" w:color="BFBFBF"/>
              <w:left w:val="single" w:sz="6" w:space="0" w:color="BFBFBF"/>
              <w:bottom w:val="single" w:sz="6" w:space="0" w:color="BFBFBF"/>
              <w:right w:val="single" w:sz="6" w:space="0" w:color="BFBFBF"/>
            </w:tcBorders>
            <w:shd w:val="clear" w:color="auto" w:fill="DBE5F1"/>
            <w:vAlign w:val="center"/>
            <w:hideMark/>
          </w:tcPr>
          <w:p w14:paraId="68CD944B"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kern w:val="0"/>
                <w:sz w:val="20"/>
                <w:szCs w:val="20"/>
                <w:lang w:val="en-US" w:eastAsia="en-GB"/>
                <w14:ligatures w14:val="none"/>
              </w:rPr>
              <w:t>ABSTRACT</w:t>
            </w:r>
            <w:r w:rsidRPr="00337928">
              <w:rPr>
                <w:rFonts w:ascii="Arial" w:eastAsia="Times New Roman" w:hAnsi="Arial" w:cs="Arial"/>
                <w:kern w:val="0"/>
                <w:sz w:val="20"/>
                <w:szCs w:val="20"/>
                <w:lang w:eastAsia="en-GB"/>
                <w14:ligatures w14:val="none"/>
              </w:rPr>
              <w:t> </w:t>
            </w:r>
          </w:p>
        </w:tc>
      </w:tr>
      <w:tr w:rsidR="00337928" w:rsidRPr="00337928" w14:paraId="6D1B5E13"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CA3FEC"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Structured summary</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02ED51"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2</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57192F"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Provide a structured summary that includes (as applicable): background, objectives, eligibility criteria, sources of evidence, charting methods, results, and conclusions that relate to the review questions and objectives.</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6E1B54"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​​2​</w:t>
            </w:r>
            <w:r w:rsidRPr="00337928">
              <w:rPr>
                <w:rFonts w:ascii="Arial" w:eastAsia="Times New Roman" w:hAnsi="Arial" w:cs="Arial"/>
                <w:kern w:val="0"/>
                <w:sz w:val="20"/>
                <w:szCs w:val="20"/>
                <w:lang w:eastAsia="en-GB"/>
                <w14:ligatures w14:val="none"/>
              </w:rPr>
              <w:t> </w:t>
            </w:r>
          </w:p>
        </w:tc>
      </w:tr>
      <w:tr w:rsidR="00337928" w:rsidRPr="00337928" w14:paraId="46ACF171" w14:textId="77777777" w:rsidTr="00337928">
        <w:trPr>
          <w:trHeight w:val="300"/>
        </w:trPr>
        <w:tc>
          <w:tcPr>
            <w:tcW w:w="9015" w:type="dxa"/>
            <w:gridSpan w:val="4"/>
            <w:tcBorders>
              <w:top w:val="single" w:sz="6" w:space="0" w:color="BFBFBF"/>
              <w:left w:val="single" w:sz="6" w:space="0" w:color="BFBFBF"/>
              <w:bottom w:val="single" w:sz="6" w:space="0" w:color="BFBFBF"/>
              <w:right w:val="single" w:sz="6" w:space="0" w:color="BFBFBF"/>
            </w:tcBorders>
            <w:shd w:val="clear" w:color="auto" w:fill="DBE5F1"/>
            <w:vAlign w:val="center"/>
            <w:hideMark/>
          </w:tcPr>
          <w:p w14:paraId="4DF4E2C8"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kern w:val="0"/>
                <w:sz w:val="20"/>
                <w:szCs w:val="20"/>
                <w:lang w:val="en-US" w:eastAsia="en-GB"/>
                <w14:ligatures w14:val="none"/>
              </w:rPr>
              <w:t>INTRODUCTION</w:t>
            </w:r>
            <w:r w:rsidRPr="00337928">
              <w:rPr>
                <w:rFonts w:ascii="Arial" w:eastAsia="Times New Roman" w:hAnsi="Arial" w:cs="Arial"/>
                <w:kern w:val="0"/>
                <w:sz w:val="20"/>
                <w:szCs w:val="20"/>
                <w:lang w:eastAsia="en-GB"/>
                <w14:ligatures w14:val="none"/>
              </w:rPr>
              <w:t> </w:t>
            </w:r>
          </w:p>
        </w:tc>
      </w:tr>
      <w:tr w:rsidR="00337928" w:rsidRPr="00337928" w14:paraId="5F15D44B" w14:textId="77777777" w:rsidTr="00337928">
        <w:trPr>
          <w:trHeight w:val="525"/>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3B74D45"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Rationale</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A1C4C5F"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3</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AAABF8B"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Describe the rationale for the review in the context of what is already known. Explain why the review questions/objectives lend themselves to a scoping review approach.</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382E19B" w14:textId="6424F01D"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​​2-</w:t>
            </w:r>
            <w:r w:rsidR="005F2EA7">
              <w:rPr>
                <w:rFonts w:ascii="Arial" w:eastAsia="Times New Roman" w:hAnsi="Arial" w:cs="Arial"/>
                <w:kern w:val="0"/>
                <w:sz w:val="20"/>
                <w:szCs w:val="20"/>
                <w:lang w:val="en-US" w:eastAsia="en-GB"/>
                <w14:ligatures w14:val="none"/>
              </w:rPr>
              <w:t>7</w:t>
            </w:r>
          </w:p>
        </w:tc>
      </w:tr>
      <w:tr w:rsidR="00337928" w:rsidRPr="00337928" w14:paraId="18C73713" w14:textId="77777777" w:rsidTr="00337928">
        <w:trPr>
          <w:trHeight w:val="795"/>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7E2B0B"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Objectives</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46311D"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4</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1D729DB"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Provide an explicit statement of the questions and objectives being addressed with reference to their key elements (e.g., population or participants, concepts, and context) or other relevant key elements used to conceptualize the review questions and/or objectives.</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6DAE5E" w14:textId="643C92E8"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w:t>
            </w:r>
            <w:r w:rsidR="005F2EA7">
              <w:rPr>
                <w:rFonts w:ascii="Arial" w:eastAsia="Times New Roman" w:hAnsi="Arial" w:cs="Arial"/>
                <w:kern w:val="0"/>
                <w:sz w:val="20"/>
                <w:szCs w:val="20"/>
                <w:lang w:val="en-US" w:eastAsia="en-GB"/>
                <w14:ligatures w14:val="none"/>
              </w:rPr>
              <w:t>7-8</w:t>
            </w:r>
          </w:p>
        </w:tc>
      </w:tr>
      <w:tr w:rsidR="00337928" w:rsidRPr="00337928" w14:paraId="50B67897" w14:textId="77777777" w:rsidTr="00337928">
        <w:trPr>
          <w:trHeight w:val="300"/>
        </w:trPr>
        <w:tc>
          <w:tcPr>
            <w:tcW w:w="9015" w:type="dxa"/>
            <w:gridSpan w:val="4"/>
            <w:tcBorders>
              <w:top w:val="single" w:sz="6" w:space="0" w:color="BFBFBF"/>
              <w:left w:val="single" w:sz="6" w:space="0" w:color="BFBFBF"/>
              <w:bottom w:val="single" w:sz="6" w:space="0" w:color="BFBFBF"/>
              <w:right w:val="single" w:sz="6" w:space="0" w:color="BFBFBF"/>
            </w:tcBorders>
            <w:shd w:val="clear" w:color="auto" w:fill="DBE5F1"/>
            <w:vAlign w:val="center"/>
            <w:hideMark/>
          </w:tcPr>
          <w:p w14:paraId="2D988F19"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kern w:val="0"/>
                <w:sz w:val="20"/>
                <w:szCs w:val="20"/>
                <w:lang w:val="en-US" w:eastAsia="en-GB"/>
                <w14:ligatures w14:val="none"/>
              </w:rPr>
              <w:t>METHODS</w:t>
            </w:r>
            <w:r w:rsidRPr="00337928">
              <w:rPr>
                <w:rFonts w:ascii="Arial" w:eastAsia="Times New Roman" w:hAnsi="Arial" w:cs="Arial"/>
                <w:kern w:val="0"/>
                <w:sz w:val="20"/>
                <w:szCs w:val="20"/>
                <w:lang w:eastAsia="en-GB"/>
                <w14:ligatures w14:val="none"/>
              </w:rPr>
              <w:t> </w:t>
            </w:r>
          </w:p>
        </w:tc>
      </w:tr>
      <w:tr w:rsidR="00337928" w:rsidRPr="00337928" w14:paraId="37E7D8ED"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33D0FC7"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Protocol and registration</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892ED61"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5</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7A982E7"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Indicate whether a review protocol exists; state if and where it can be accessed (e.g., a Web address); and if available, provide registration information, including the registration number.</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0F882C"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​​8​</w:t>
            </w:r>
            <w:r w:rsidRPr="00337928">
              <w:rPr>
                <w:rFonts w:ascii="Arial" w:eastAsia="Times New Roman" w:hAnsi="Arial" w:cs="Arial"/>
                <w:kern w:val="0"/>
                <w:sz w:val="20"/>
                <w:szCs w:val="20"/>
                <w:lang w:eastAsia="en-GB"/>
                <w14:ligatures w14:val="none"/>
              </w:rPr>
              <w:t> </w:t>
            </w:r>
          </w:p>
        </w:tc>
      </w:tr>
      <w:tr w:rsidR="00337928" w:rsidRPr="00337928" w14:paraId="1E966E78"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79C6E0"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Eligibility criteria</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ECF63DA"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6</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5369249"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Specify characteristics of the sources of evidence used as eligibility criteria (e.g., years considered, language, and publication status), and provide a rationale.</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996F089"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​​9-10​</w:t>
            </w:r>
            <w:r w:rsidRPr="00337928">
              <w:rPr>
                <w:rFonts w:ascii="Arial" w:eastAsia="Times New Roman" w:hAnsi="Arial" w:cs="Arial"/>
                <w:kern w:val="0"/>
                <w:sz w:val="20"/>
                <w:szCs w:val="20"/>
                <w:lang w:eastAsia="en-GB"/>
                <w14:ligatures w14:val="none"/>
              </w:rPr>
              <w:t> </w:t>
            </w:r>
          </w:p>
        </w:tc>
      </w:tr>
      <w:tr w:rsidR="00337928" w:rsidRPr="00337928" w14:paraId="325EBF4F" w14:textId="77777777" w:rsidTr="00337928">
        <w:trPr>
          <w:trHeight w:val="255"/>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C18BC00"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Information sources*</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BF10DA4"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7</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9A5048C"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Describe all information sources in the search (e.g., databases with dates of coverage and contact with authors to identify additional sources), as well as the date the most recent search was executed.</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AC6300" w14:textId="1986EFDB"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 xml:space="preserve">​​8, </w:t>
            </w:r>
            <w:r w:rsidR="005F2EA7">
              <w:rPr>
                <w:rFonts w:ascii="Arial" w:eastAsia="Times New Roman" w:hAnsi="Arial" w:cs="Arial"/>
                <w:kern w:val="0"/>
                <w:sz w:val="20"/>
                <w:szCs w:val="20"/>
                <w:lang w:val="en-US" w:eastAsia="en-GB"/>
                <w14:ligatures w14:val="none"/>
              </w:rPr>
              <w:t>supplementary information</w:t>
            </w:r>
          </w:p>
        </w:tc>
      </w:tr>
      <w:tr w:rsidR="00337928" w:rsidRPr="00337928" w14:paraId="6A7071D4"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7DDF809"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Search</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9817645"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8</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6A2F86E"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Present the full electronic search strategy for at least 1 database, including any limits used, such that it could be repeated.</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2152C1" w14:textId="68466719"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w:t>
            </w:r>
            <w:r w:rsidR="005F2EA7">
              <w:rPr>
                <w:rFonts w:ascii="Arial" w:eastAsia="Times New Roman" w:hAnsi="Arial" w:cs="Arial"/>
                <w:kern w:val="0"/>
                <w:sz w:val="20"/>
                <w:szCs w:val="20"/>
                <w:lang w:val="en-US" w:eastAsia="en-GB"/>
                <w14:ligatures w14:val="none"/>
              </w:rPr>
              <w:t xml:space="preserve"> supplementary information</w:t>
            </w:r>
          </w:p>
        </w:tc>
      </w:tr>
      <w:tr w:rsidR="00337928" w:rsidRPr="00337928" w14:paraId="1AD1DA67"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6CBC94C"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Selection of sources of evidence†</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2F66F69"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9</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31CB9EE"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State the process for selecting sources of evidence (i.e., screening and eligibility) included in the scoping review.</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015AE70" w14:textId="3980E7ED"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w:t>
            </w:r>
            <w:r w:rsidR="005F2EA7">
              <w:rPr>
                <w:rFonts w:ascii="Arial" w:eastAsia="Times New Roman" w:hAnsi="Arial" w:cs="Arial"/>
                <w:kern w:val="0"/>
                <w:sz w:val="20"/>
                <w:szCs w:val="20"/>
                <w:lang w:val="en-US" w:eastAsia="en-GB"/>
                <w14:ligatures w14:val="none"/>
              </w:rPr>
              <w:t>10-12</w:t>
            </w:r>
          </w:p>
        </w:tc>
      </w:tr>
      <w:tr w:rsidR="00337928" w:rsidRPr="00337928" w14:paraId="2DEFEA94"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FB4617A"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Data charting process‡</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60C9123"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10</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28C374"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5DF2DE2" w14:textId="4E170028"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w:t>
            </w:r>
            <w:r w:rsidR="005F2EA7">
              <w:rPr>
                <w:rFonts w:ascii="Arial" w:eastAsia="Times New Roman" w:hAnsi="Arial" w:cs="Arial"/>
                <w:kern w:val="0"/>
                <w:sz w:val="20"/>
                <w:szCs w:val="20"/>
                <w:lang w:val="en-US" w:eastAsia="en-GB"/>
                <w14:ligatures w14:val="none"/>
              </w:rPr>
              <w:t>2-13</w:t>
            </w:r>
          </w:p>
        </w:tc>
      </w:tr>
      <w:tr w:rsidR="00337928" w:rsidRPr="00337928" w14:paraId="1954D019" w14:textId="77777777" w:rsidTr="00337928">
        <w:trPr>
          <w:trHeight w:val="255"/>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807016F"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Data items</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FCEFF13"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11</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31C707D"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List and define all variables for which data were sought and any assumptions and simplifications made.</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145D87" w14:textId="0E67932E"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w:t>
            </w:r>
            <w:r w:rsidR="005F2EA7">
              <w:rPr>
                <w:rFonts w:ascii="Arial" w:eastAsia="Times New Roman" w:hAnsi="Arial" w:cs="Arial"/>
                <w:kern w:val="0"/>
                <w:sz w:val="20"/>
                <w:szCs w:val="20"/>
                <w:lang w:val="en-US" w:eastAsia="en-GB"/>
                <w14:ligatures w14:val="none"/>
              </w:rPr>
              <w:t>10-12</w:t>
            </w:r>
          </w:p>
        </w:tc>
      </w:tr>
      <w:tr w:rsidR="00337928" w:rsidRPr="00337928" w14:paraId="4BFB4072"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C01091"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lastRenderedPageBreak/>
              <w:t>Critical appraisal of individual sources of evidence§</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4488171"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12</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C9A7BB5"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If done, provide a rationale for conducting a critical appraisal of included sources of evidence; describe the methods used and how this information was used in any data synthesis (if appropriate).</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D889650"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​​N/A​</w:t>
            </w:r>
            <w:r w:rsidRPr="00337928">
              <w:rPr>
                <w:rFonts w:ascii="Arial" w:eastAsia="Times New Roman" w:hAnsi="Arial" w:cs="Arial"/>
                <w:kern w:val="0"/>
                <w:sz w:val="20"/>
                <w:szCs w:val="20"/>
                <w:lang w:eastAsia="en-GB"/>
                <w14:ligatures w14:val="none"/>
              </w:rPr>
              <w:t> </w:t>
            </w:r>
          </w:p>
        </w:tc>
      </w:tr>
      <w:tr w:rsidR="00337928" w:rsidRPr="00337928" w14:paraId="700FA5B0"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0E436E6"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Synthesis of results</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E1AD518"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13</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66DD4C1"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Describe the methods of handling and summarizing the data that were charted.</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E87F003" w14:textId="2EA4C4E0"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​​13​</w:t>
            </w:r>
            <w:r w:rsidRPr="00337928">
              <w:rPr>
                <w:rFonts w:ascii="Arial" w:eastAsia="Times New Roman" w:hAnsi="Arial" w:cs="Arial"/>
                <w:kern w:val="0"/>
                <w:sz w:val="20"/>
                <w:szCs w:val="20"/>
                <w:lang w:eastAsia="en-GB"/>
                <w14:ligatures w14:val="none"/>
              </w:rPr>
              <w:t> </w:t>
            </w:r>
          </w:p>
        </w:tc>
      </w:tr>
      <w:tr w:rsidR="00337928" w:rsidRPr="00337928" w14:paraId="726F3E34" w14:textId="77777777" w:rsidTr="00337928">
        <w:trPr>
          <w:trHeight w:val="300"/>
        </w:trPr>
        <w:tc>
          <w:tcPr>
            <w:tcW w:w="9015" w:type="dxa"/>
            <w:gridSpan w:val="4"/>
            <w:tcBorders>
              <w:top w:val="single" w:sz="6" w:space="0" w:color="BFBFBF"/>
              <w:left w:val="single" w:sz="6" w:space="0" w:color="BFBFBF"/>
              <w:bottom w:val="single" w:sz="6" w:space="0" w:color="BFBFBF"/>
              <w:right w:val="single" w:sz="6" w:space="0" w:color="BFBFBF"/>
            </w:tcBorders>
            <w:shd w:val="clear" w:color="auto" w:fill="DBE5F1"/>
            <w:vAlign w:val="center"/>
            <w:hideMark/>
          </w:tcPr>
          <w:p w14:paraId="235441DB"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b/>
                <w:bCs/>
                <w:kern w:val="0"/>
                <w:sz w:val="20"/>
                <w:szCs w:val="20"/>
                <w:lang w:val="en-US" w:eastAsia="en-GB"/>
                <w14:ligatures w14:val="none"/>
              </w:rPr>
              <w:t>RESULTS</w:t>
            </w:r>
            <w:r w:rsidRPr="00337928">
              <w:rPr>
                <w:rFonts w:ascii="Arial" w:eastAsia="Times New Roman" w:hAnsi="Arial" w:cs="Arial"/>
                <w:kern w:val="0"/>
                <w:sz w:val="20"/>
                <w:szCs w:val="20"/>
                <w:lang w:eastAsia="en-GB"/>
                <w14:ligatures w14:val="none"/>
              </w:rPr>
              <w:t> </w:t>
            </w:r>
          </w:p>
        </w:tc>
      </w:tr>
      <w:tr w:rsidR="00337928" w:rsidRPr="00337928" w14:paraId="3325F891"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0B25451"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Selection of sources of evidence</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45971FB"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14</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67679C2"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Give numbers of sources of evidence screened, assessed for eligibility, and included in the review, with reasons for exclusions at each stage, ideally using a flow diagram.</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29DD91" w14:textId="6765F8E5"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w:t>
            </w:r>
            <w:r w:rsidR="005F2EA7">
              <w:rPr>
                <w:rFonts w:ascii="Arial" w:eastAsia="Times New Roman" w:hAnsi="Arial" w:cs="Arial"/>
                <w:kern w:val="0"/>
                <w:sz w:val="20"/>
                <w:szCs w:val="20"/>
                <w:lang w:val="en-US" w:eastAsia="en-GB"/>
                <w14:ligatures w14:val="none"/>
              </w:rPr>
              <w:t xml:space="preserve">Figure 2, </w:t>
            </w:r>
            <w:proofErr w:type="spellStart"/>
            <w:r w:rsidR="005F2EA7">
              <w:rPr>
                <w:rFonts w:ascii="Arial" w:eastAsia="Times New Roman" w:hAnsi="Arial" w:cs="Arial"/>
                <w:kern w:val="0"/>
                <w:sz w:val="20"/>
                <w:szCs w:val="20"/>
                <w:lang w:val="en-US" w:eastAsia="en-GB"/>
                <w14:ligatures w14:val="none"/>
              </w:rPr>
              <w:t>pg</w:t>
            </w:r>
            <w:proofErr w:type="spellEnd"/>
            <w:r w:rsidR="005F2EA7">
              <w:rPr>
                <w:rFonts w:ascii="Arial" w:eastAsia="Times New Roman" w:hAnsi="Arial" w:cs="Arial"/>
                <w:kern w:val="0"/>
                <w:sz w:val="20"/>
                <w:szCs w:val="20"/>
                <w:lang w:val="en-US" w:eastAsia="en-GB"/>
                <w14:ligatures w14:val="none"/>
              </w:rPr>
              <w:t xml:space="preserve"> 14</w:t>
            </w:r>
          </w:p>
        </w:tc>
      </w:tr>
      <w:tr w:rsidR="00337928" w:rsidRPr="00337928" w14:paraId="3203516F" w14:textId="77777777" w:rsidTr="00337928">
        <w:trPr>
          <w:trHeight w:val="300"/>
        </w:trPr>
        <w:tc>
          <w:tcPr>
            <w:tcW w:w="20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BD93F0" w14:textId="77777777" w:rsidR="00337928" w:rsidRPr="00337928" w:rsidRDefault="00337928" w:rsidP="00337928">
            <w:pPr>
              <w:spacing w:after="0" w:line="240" w:lineRule="auto"/>
              <w:ind w:left="180"/>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Characteristics of sources of evidence</w:t>
            </w:r>
            <w:r w:rsidRPr="00337928">
              <w:rPr>
                <w:rFonts w:ascii="Arial" w:eastAsia="Times New Roman" w:hAnsi="Arial" w:cs="Arial"/>
                <w:kern w:val="0"/>
                <w:sz w:val="20"/>
                <w:szCs w:val="20"/>
                <w:lang w:eastAsia="en-GB"/>
                <w14:ligatures w14:val="none"/>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DE1400B" w14:textId="77777777" w:rsidR="00337928" w:rsidRPr="00337928" w:rsidRDefault="00337928" w:rsidP="00337928">
            <w:pPr>
              <w:spacing w:after="0" w:line="240" w:lineRule="auto"/>
              <w:jc w:val="center"/>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15</w:t>
            </w:r>
            <w:r w:rsidRPr="00337928">
              <w:rPr>
                <w:rFonts w:ascii="Arial" w:eastAsia="Times New Roman" w:hAnsi="Arial" w:cs="Arial"/>
                <w:kern w:val="0"/>
                <w:sz w:val="20"/>
                <w:szCs w:val="20"/>
                <w:lang w:eastAsia="en-GB"/>
                <w14:ligatures w14:val="none"/>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562C860" w14:textId="77777777"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For each source of evidence, present characteristics for which data were charted and provide the citations.</w:t>
            </w:r>
            <w:r w:rsidRPr="00337928">
              <w:rPr>
                <w:rFonts w:ascii="Arial" w:eastAsia="Times New Roman" w:hAnsi="Arial" w:cs="Arial"/>
                <w:kern w:val="0"/>
                <w:sz w:val="20"/>
                <w:szCs w:val="20"/>
                <w:lang w:eastAsia="en-GB"/>
                <w14:ligatures w14:val="none"/>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9ADF7AC" w14:textId="018F6370" w:rsidR="00337928" w:rsidRPr="00337928" w:rsidRDefault="00337928" w:rsidP="00337928">
            <w:pPr>
              <w:spacing w:after="0" w:line="240" w:lineRule="auto"/>
              <w:textAlignment w:val="baseline"/>
              <w:rPr>
                <w:rFonts w:ascii="Segoe UI" w:eastAsia="Times New Roman" w:hAnsi="Segoe UI" w:cs="Segoe UI"/>
                <w:kern w:val="0"/>
                <w:sz w:val="18"/>
                <w:szCs w:val="18"/>
                <w:lang w:eastAsia="en-GB"/>
                <w14:ligatures w14:val="none"/>
              </w:rPr>
            </w:pPr>
            <w:r w:rsidRPr="00337928">
              <w:rPr>
                <w:rFonts w:ascii="Arial" w:eastAsia="Times New Roman" w:hAnsi="Arial" w:cs="Arial"/>
                <w:kern w:val="0"/>
                <w:sz w:val="20"/>
                <w:szCs w:val="20"/>
                <w:lang w:val="en-US" w:eastAsia="en-GB"/>
                <w14:ligatures w14:val="none"/>
              </w:rPr>
              <w:t>​​</w:t>
            </w:r>
            <w:r w:rsidR="005F2EA7">
              <w:rPr>
                <w:rFonts w:ascii="Arial" w:eastAsia="Times New Roman" w:hAnsi="Arial" w:cs="Arial"/>
                <w:kern w:val="0"/>
                <w:sz w:val="20"/>
                <w:szCs w:val="20"/>
                <w:lang w:val="en-US" w:eastAsia="en-GB"/>
                <w14:ligatures w14:val="none"/>
              </w:rPr>
              <w:t xml:space="preserve">Table 4, </w:t>
            </w:r>
            <w:proofErr w:type="spellStart"/>
            <w:r w:rsidR="005F2EA7">
              <w:rPr>
                <w:rFonts w:ascii="Arial" w:eastAsia="Times New Roman" w:hAnsi="Arial" w:cs="Arial"/>
                <w:kern w:val="0"/>
                <w:sz w:val="20"/>
                <w:szCs w:val="20"/>
                <w:lang w:val="en-US" w:eastAsia="en-GB"/>
                <w14:ligatures w14:val="none"/>
              </w:rPr>
              <w:t>pg</w:t>
            </w:r>
            <w:proofErr w:type="spellEnd"/>
            <w:r w:rsidR="005F2EA7">
              <w:rPr>
                <w:rFonts w:ascii="Arial" w:eastAsia="Times New Roman" w:hAnsi="Arial" w:cs="Arial"/>
                <w:kern w:val="0"/>
                <w:sz w:val="20"/>
                <w:szCs w:val="20"/>
                <w:lang w:val="en-US" w:eastAsia="en-GB"/>
                <w14:ligatures w14:val="none"/>
              </w:rPr>
              <w:t xml:space="preserve"> 16-26</w:t>
            </w:r>
          </w:p>
        </w:tc>
      </w:tr>
    </w:tbl>
    <w:p w14:paraId="248D2E28" w14:textId="77777777" w:rsidR="00337928" w:rsidRDefault="00337928">
      <w:pPr>
        <w:rPr>
          <w:rFonts w:ascii="Times New Roman" w:hAnsi="Times New Roman" w:cs="Times New Roman"/>
          <w:b/>
          <w:bCs/>
          <w:color w:val="000000"/>
        </w:rPr>
      </w:pPr>
    </w:p>
    <w:p w14:paraId="374CD00B" w14:textId="2B414386" w:rsidR="00337928" w:rsidRPr="00337928" w:rsidRDefault="00337928" w:rsidP="00337928">
      <w:pPr>
        <w:rPr>
          <w:rFonts w:ascii="Times New Roman" w:hAnsi="Times New Roman" w:cs="Times New Roman"/>
          <w:b/>
          <w:bCs/>
          <w:color w:val="000000"/>
        </w:rPr>
      </w:pPr>
      <w:r>
        <w:rPr>
          <w:rFonts w:ascii="Times New Roman" w:hAnsi="Times New Roman" w:cs="Times New Roman"/>
          <w:b/>
          <w:bCs/>
          <w:color w:val="000000"/>
        </w:rPr>
        <w:t>S2:</w:t>
      </w:r>
      <w:r w:rsidRPr="00337928">
        <w:t xml:space="preserve"> </w:t>
      </w:r>
      <w:r w:rsidRPr="00337928">
        <w:rPr>
          <w:rFonts w:ascii="Times New Roman" w:hAnsi="Times New Roman" w:cs="Times New Roman"/>
          <w:b/>
          <w:bCs/>
          <w:color w:val="000000"/>
        </w:rPr>
        <w:t>Full Search Strategies</w:t>
      </w:r>
      <w:r>
        <w:rPr>
          <w:rFonts w:ascii="Times New Roman" w:hAnsi="Times New Roman" w:cs="Times New Roman"/>
          <w:b/>
          <w:bCs/>
          <w:color w:val="000000"/>
        </w:rPr>
        <w:t xml:space="preserve">. </w:t>
      </w:r>
      <w:r w:rsidRPr="00337928">
        <w:rPr>
          <w:rStyle w:val="normaltextrun"/>
          <w:rFonts w:ascii="Times New Roman" w:hAnsi="Times New Roman" w:cs="Times New Roman"/>
        </w:rPr>
        <w:t>Initial searches run on 15.01.2021, 1970-2021 date filters used</w:t>
      </w:r>
      <w:r w:rsidRPr="00337928">
        <w:rPr>
          <w:rStyle w:val="normaltextrun"/>
          <w:rFonts w:ascii="Times New Roman" w:eastAsiaTheme="majorEastAsia" w:hAnsi="Times New Roman" w:cs="Times New Roman"/>
        </w:rPr>
        <w:t xml:space="preserve">. </w:t>
      </w:r>
      <w:r w:rsidRPr="00337928">
        <w:rPr>
          <w:rStyle w:val="normaltextrun"/>
          <w:rFonts w:ascii="Times New Roman" w:hAnsi="Times New Roman" w:cs="Times New Roman"/>
        </w:rPr>
        <w:t>Updated searches run on 12.09.2022, 2021-2022 date filters used</w:t>
      </w:r>
      <w:r>
        <w:rPr>
          <w:rStyle w:val="normaltextrun"/>
        </w:rPr>
        <w:t>.</w:t>
      </w:r>
    </w:p>
    <w:p w14:paraId="18D60E57" w14:textId="77777777" w:rsidR="00337928" w:rsidRDefault="00337928" w:rsidP="00337928">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66F0D900"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i/>
          <w:iCs/>
        </w:rPr>
        <w:t>PsychINFO</w:t>
      </w:r>
      <w:proofErr w:type="spellEnd"/>
      <w:r>
        <w:rPr>
          <w:rStyle w:val="normaltextrun"/>
          <w:rFonts w:eastAsiaTheme="majorEastAsia"/>
          <w:b/>
          <w:bCs/>
          <w:i/>
          <w:iCs/>
        </w:rPr>
        <w:t xml:space="preserve"> (all databases): </w:t>
      </w:r>
      <w:r>
        <w:rPr>
          <w:rStyle w:val="eop"/>
          <w:rFonts w:eastAsiaTheme="majorEastAsia"/>
        </w:rPr>
        <w:t> </w:t>
      </w:r>
    </w:p>
    <w:p w14:paraId="40C1B416"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22676B9"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hd w:val="clear" w:color="auto" w:fill="FFFFFF"/>
        </w:rPr>
        <w:t>  </w:t>
      </w:r>
      <w:r>
        <w:rPr>
          <w:rStyle w:val="normaltextrun"/>
          <w:rFonts w:eastAsiaTheme="majorEastAsia"/>
        </w:rPr>
        <w:t>(((</w:t>
      </w:r>
      <w:r>
        <w:rPr>
          <w:rStyle w:val="normaltextrun"/>
          <w:rFonts w:eastAsiaTheme="majorEastAsia"/>
          <w:b/>
          <w:bCs/>
        </w:rPr>
        <w:t>Any Field</w:t>
      </w:r>
      <w:r>
        <w:rPr>
          <w:rStyle w:val="normaltextrun"/>
          <w:rFonts w:eastAsiaTheme="majorEastAsia"/>
        </w:rPr>
        <w:t>: ("compassion fatigue"))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("secondary traumatic stress"))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(burnout))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(burn-out))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("vicarious trauma"))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("occupational stress")) </w:t>
      </w:r>
      <w:r>
        <w:rPr>
          <w:rStyle w:val="normaltextrun"/>
          <w:rFonts w:eastAsiaTheme="majorEastAsia"/>
          <w:i/>
          <w:iCs/>
        </w:rPr>
        <w:t>OR</w:t>
      </w:r>
      <w:r>
        <w:rPr>
          <w:rStyle w:val="normaltextrun"/>
          <w:rFonts w:eastAsiaTheme="majorEastAsia"/>
        </w:rPr>
        <w:t> (</w:t>
      </w:r>
      <w:proofErr w:type="spellStart"/>
      <w:r>
        <w:rPr>
          <w:rStyle w:val="normaltextrun"/>
          <w:rFonts w:eastAsiaTheme="majorEastAsia"/>
          <w:b/>
          <w:bCs/>
        </w:rPr>
        <w:t>IndexTermsFilt</w:t>
      </w:r>
      <w:proofErr w:type="spellEnd"/>
      <w:r>
        <w:rPr>
          <w:rStyle w:val="normaltextrun"/>
          <w:rFonts w:eastAsiaTheme="majorEastAsia"/>
        </w:rPr>
        <w:t>: ("Occupational Stress") </w:t>
      </w:r>
      <w:r>
        <w:rPr>
          <w:rStyle w:val="normaltextrun"/>
          <w:rFonts w:eastAsiaTheme="majorEastAsia"/>
          <w:i/>
          <w:iCs/>
        </w:rPr>
        <w:t>OR</w:t>
      </w:r>
      <w:r>
        <w:rPr>
          <w:rStyle w:val="normaltextrun"/>
          <w:rFonts w:eastAsiaTheme="majorEastAsia"/>
        </w:rPr>
        <w:t> </w:t>
      </w:r>
      <w:proofErr w:type="spellStart"/>
      <w:r>
        <w:rPr>
          <w:rStyle w:val="normaltextrun"/>
          <w:rFonts w:eastAsiaTheme="majorEastAsia"/>
          <w:b/>
          <w:bCs/>
        </w:rPr>
        <w:t>IndexTermsFilt</w:t>
      </w:r>
      <w:proofErr w:type="spellEnd"/>
      <w:r>
        <w:rPr>
          <w:rStyle w:val="normaltextrun"/>
          <w:rFonts w:eastAsiaTheme="majorEastAsia"/>
        </w:rPr>
        <w:t>: ("Compassion Fatigue"))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("compassion stress"))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"secondary trauma"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"secondary traumatisation" </w:t>
      </w:r>
      <w:r>
        <w:rPr>
          <w:rStyle w:val="normaltextrun"/>
          <w:rFonts w:eastAsiaTheme="majorEastAsia"/>
          <w:i/>
          <w:iCs/>
        </w:rPr>
        <w:t>OR</w:t>
      </w:r>
      <w:r>
        <w:rPr>
          <w:rStyle w:val="normaltextrun"/>
          <w:rFonts w:eastAsiaTheme="majorEastAsia"/>
        </w:rPr>
        <w:t> </w:t>
      </w:r>
      <w:r>
        <w:rPr>
          <w:rStyle w:val="normaltextrun"/>
          <w:rFonts w:eastAsiaTheme="majorEastAsia"/>
          <w:b/>
          <w:bCs/>
        </w:rPr>
        <w:t>Any Field</w:t>
      </w:r>
      <w:r>
        <w:rPr>
          <w:rStyle w:val="normaltextrun"/>
          <w:rFonts w:eastAsiaTheme="majorEastAsia"/>
        </w:rPr>
        <w:t>: "secondary traumatization") </w:t>
      </w:r>
      <w:r>
        <w:rPr>
          <w:rStyle w:val="normaltextrun"/>
          <w:rFonts w:eastAsiaTheme="majorEastAsia"/>
          <w:i/>
          <w:iCs/>
        </w:rPr>
        <w:t>AND</w:t>
      </w:r>
      <w:r>
        <w:rPr>
          <w:rStyle w:val="normaltextrun"/>
          <w:rFonts w:eastAsiaTheme="majorEastAsia"/>
        </w:rPr>
        <w:t> ((</w:t>
      </w:r>
      <w:r>
        <w:rPr>
          <w:rStyle w:val="normaltextrun"/>
          <w:rFonts w:eastAsiaTheme="majorEastAsia"/>
          <w:b/>
          <w:bCs/>
        </w:rPr>
        <w:t>Year</w:t>
      </w:r>
      <w:r>
        <w:rPr>
          <w:rStyle w:val="normaltextrun"/>
          <w:rFonts w:eastAsiaTheme="majorEastAsia"/>
        </w:rPr>
        <w:t>: [1970 TO 2021]))) </w:t>
      </w:r>
      <w:r>
        <w:rPr>
          <w:rStyle w:val="normaltextrun"/>
          <w:rFonts w:eastAsiaTheme="majorEastAsia"/>
          <w:i/>
          <w:iCs/>
        </w:rPr>
        <w:t>AND</w:t>
      </w:r>
      <w:r>
        <w:rPr>
          <w:rStyle w:val="normaltextrun"/>
          <w:rFonts w:eastAsiaTheme="majorEastAsia"/>
        </w:rPr>
        <w:t> (((</w:t>
      </w:r>
      <w:proofErr w:type="spellStart"/>
      <w:r>
        <w:rPr>
          <w:rStyle w:val="normaltextrun"/>
          <w:rFonts w:eastAsiaTheme="majorEastAsia"/>
        </w:rPr>
        <w:t>AnyField</w:t>
      </w:r>
      <w:proofErr w:type="spellEnd"/>
      <w:r>
        <w:rPr>
          <w:rStyle w:val="normaltextrun"/>
          <w:rFonts w:eastAsiaTheme="majorEastAsia"/>
        </w:rPr>
        <w:t>:(psychotherapist*)) OR (</w:t>
      </w:r>
      <w:proofErr w:type="spellStart"/>
      <w:r>
        <w:rPr>
          <w:rStyle w:val="normaltextrun"/>
          <w:rFonts w:eastAsiaTheme="majorEastAsia"/>
        </w:rPr>
        <w:t>AnyField</w:t>
      </w:r>
      <w:proofErr w:type="spellEnd"/>
      <w:r>
        <w:rPr>
          <w:rStyle w:val="normaltextrun"/>
          <w:rFonts w:eastAsiaTheme="majorEastAsia"/>
        </w:rPr>
        <w:t>:("forensic nurse")) OR (</w:t>
      </w:r>
      <w:proofErr w:type="spellStart"/>
      <w:r>
        <w:rPr>
          <w:rStyle w:val="normaltextrun"/>
          <w:rFonts w:eastAsiaTheme="majorEastAsia"/>
        </w:rPr>
        <w:t>AnyField</w:t>
      </w:r>
      <w:proofErr w:type="spellEnd"/>
      <w:r>
        <w:rPr>
          <w:rStyle w:val="normaltextrun"/>
          <w:rFonts w:eastAsiaTheme="majorEastAsia"/>
        </w:rPr>
        <w:t>:("forensic psychologist")) OR (</w:t>
      </w:r>
      <w:proofErr w:type="spellStart"/>
      <w:r>
        <w:rPr>
          <w:rStyle w:val="normaltextrun"/>
          <w:rFonts w:eastAsiaTheme="majorEastAsia"/>
        </w:rPr>
        <w:t>AnyField</w:t>
      </w:r>
      <w:proofErr w:type="spellEnd"/>
      <w:r>
        <w:rPr>
          <w:rStyle w:val="normaltextrun"/>
          <w:rFonts w:eastAsiaTheme="majorEastAsia"/>
        </w:rPr>
        <w:t>:("forensic psychiatrist")) OR (</w:t>
      </w:r>
      <w:proofErr w:type="spellStart"/>
      <w:r>
        <w:rPr>
          <w:rStyle w:val="normaltextrun"/>
          <w:rFonts w:eastAsiaTheme="majorEastAsia"/>
        </w:rPr>
        <w:t>AnyField</w:t>
      </w:r>
      <w:proofErr w:type="spellEnd"/>
      <w:r>
        <w:rPr>
          <w:rStyle w:val="normaltextrun"/>
          <w:rFonts w:eastAsiaTheme="majorEastAsia"/>
        </w:rPr>
        <w:t>:(therapist*)) OR (</w:t>
      </w:r>
      <w:proofErr w:type="spellStart"/>
      <w:r>
        <w:rPr>
          <w:rStyle w:val="normaltextrun"/>
          <w:rFonts w:eastAsiaTheme="majorEastAsia"/>
        </w:rPr>
        <w:t>AnyField</w:t>
      </w:r>
      <w:proofErr w:type="spellEnd"/>
      <w:r>
        <w:rPr>
          <w:rStyle w:val="normaltextrun"/>
          <w:rFonts w:eastAsiaTheme="majorEastAsia"/>
        </w:rPr>
        <w:t>:("support time and recovery worker")) OR (</w:t>
      </w:r>
      <w:proofErr w:type="spellStart"/>
      <w:r>
        <w:rPr>
          <w:rStyle w:val="normaltextrun"/>
          <w:rFonts w:eastAsiaTheme="majorEastAsia"/>
        </w:rPr>
        <w:t>AnyField</w:t>
      </w:r>
      <w:proofErr w:type="spellEnd"/>
      <w:r>
        <w:rPr>
          <w:rStyle w:val="normaltextrun"/>
          <w:rFonts w:eastAsiaTheme="majorEastAsia"/>
        </w:rPr>
        <w:t>:("mental health employee")) OR (</w:t>
      </w:r>
      <w:proofErr w:type="spellStart"/>
      <w:r>
        <w:rPr>
          <w:rStyle w:val="normaltextrun"/>
          <w:rFonts w:eastAsiaTheme="majorEastAsia"/>
        </w:rPr>
        <w:t>AnyField</w:t>
      </w:r>
      <w:proofErr w:type="spellEnd"/>
      <w:r>
        <w:rPr>
          <w:rStyle w:val="normaltextrun"/>
          <w:rFonts w:eastAsiaTheme="majorEastAsia"/>
        </w:rPr>
        <w:t>:(counsellor*)) OR (</w:t>
      </w:r>
      <w:proofErr w:type="spellStart"/>
      <w:r>
        <w:rPr>
          <w:rStyle w:val="normaltextrun"/>
          <w:rFonts w:eastAsiaTheme="majorEastAsia"/>
        </w:rPr>
        <w:t>AnyField</w:t>
      </w:r>
      <w:proofErr w:type="spellEnd"/>
      <w:r>
        <w:rPr>
          <w:rStyle w:val="normaltextrun"/>
          <w:rFonts w:eastAsiaTheme="majorEastAsia"/>
        </w:rPr>
        <w:t>:("counselling psychologist")) OR (</w:t>
      </w:r>
      <w:proofErr w:type="spellStart"/>
      <w:r>
        <w:rPr>
          <w:rStyle w:val="normaltextrun"/>
          <w:rFonts w:eastAsiaTheme="majorEastAsia"/>
        </w:rPr>
        <w:t>AnyField</w:t>
      </w:r>
      <w:proofErr w:type="spellEnd"/>
      <w:r>
        <w:rPr>
          <w:rStyle w:val="normaltextrun"/>
          <w:rFonts w:eastAsiaTheme="majorEastAsia"/>
        </w:rPr>
        <w:t>:("family therapist")) OR (</w:t>
      </w:r>
      <w:proofErr w:type="spellStart"/>
      <w:r>
        <w:rPr>
          <w:rStyle w:val="normaltextrun"/>
          <w:rFonts w:eastAsiaTheme="majorEastAsia"/>
        </w:rPr>
        <w:t>AnyField</w:t>
      </w:r>
      <w:proofErr w:type="spellEnd"/>
      <w:r>
        <w:rPr>
          <w:rStyle w:val="normaltextrun"/>
          <w:rFonts w:eastAsiaTheme="majorEastAsia"/>
        </w:rPr>
        <w:t>:(</w:t>
      </w:r>
      <w:proofErr w:type="spellStart"/>
      <w:r>
        <w:rPr>
          <w:rStyle w:val="normaltextrun"/>
          <w:rFonts w:eastAsiaTheme="majorEastAsia"/>
        </w:rPr>
        <w:t>counselor</w:t>
      </w:r>
      <w:proofErr w:type="spellEnd"/>
      <w:r>
        <w:rPr>
          <w:rStyle w:val="normaltextrun"/>
          <w:rFonts w:eastAsiaTheme="majorEastAsia"/>
        </w:rPr>
        <w:t>)) OR (</w:t>
      </w:r>
      <w:proofErr w:type="spellStart"/>
      <w:r>
        <w:rPr>
          <w:rStyle w:val="normaltextrun"/>
          <w:rFonts w:eastAsiaTheme="majorEastAsia"/>
        </w:rPr>
        <w:t>AnyField</w:t>
      </w:r>
      <w:proofErr w:type="spellEnd"/>
      <w:r>
        <w:rPr>
          <w:rStyle w:val="normaltextrun"/>
          <w:rFonts w:eastAsiaTheme="majorEastAsia"/>
        </w:rPr>
        <w:t>:("mental health support worker")) OR (</w:t>
      </w:r>
      <w:proofErr w:type="spellStart"/>
      <w:r>
        <w:rPr>
          <w:rStyle w:val="normaltextrun"/>
          <w:rFonts w:eastAsiaTheme="majorEastAsia"/>
        </w:rPr>
        <w:t>AnyField</w:t>
      </w:r>
      <w:proofErr w:type="spellEnd"/>
      <w:r>
        <w:rPr>
          <w:rStyle w:val="normaltextrun"/>
          <w:rFonts w:eastAsiaTheme="majorEastAsia"/>
        </w:rPr>
        <w:t>:("mental health social worker")) OR (</w:t>
      </w:r>
      <w:proofErr w:type="spellStart"/>
      <w:r>
        <w:rPr>
          <w:rStyle w:val="normaltextrun"/>
          <w:rFonts w:eastAsiaTheme="majorEastAsia"/>
        </w:rPr>
        <w:t>IndexTermsFilt</w:t>
      </w:r>
      <w:proofErr w:type="spellEnd"/>
      <w:r>
        <w:rPr>
          <w:rStyle w:val="normaltextrun"/>
          <w:rFonts w:eastAsiaTheme="majorEastAsia"/>
        </w:rPr>
        <w:t>:("Mental Health Personnel")) OR (</w:t>
      </w:r>
      <w:proofErr w:type="spellStart"/>
      <w:r>
        <w:rPr>
          <w:rStyle w:val="normaltextrun"/>
          <w:rFonts w:eastAsiaTheme="majorEastAsia"/>
        </w:rPr>
        <w:t>IndexTermsFilt</w:t>
      </w:r>
      <w:proofErr w:type="spellEnd"/>
      <w:r>
        <w:rPr>
          <w:rStyle w:val="normaltextrun"/>
          <w:rFonts w:eastAsiaTheme="majorEastAsia"/>
        </w:rPr>
        <w:t>:("</w:t>
      </w:r>
      <w:proofErr w:type="spellStart"/>
      <w:r>
        <w:rPr>
          <w:rStyle w:val="normaltextrun"/>
          <w:rFonts w:eastAsiaTheme="majorEastAsia"/>
        </w:rPr>
        <w:t>Counselors</w:t>
      </w:r>
      <w:proofErr w:type="spellEnd"/>
      <w:r>
        <w:rPr>
          <w:rStyle w:val="normaltextrun"/>
          <w:rFonts w:eastAsiaTheme="majorEastAsia"/>
        </w:rPr>
        <w:t xml:space="preserve">") OR </w:t>
      </w:r>
      <w:proofErr w:type="spellStart"/>
      <w:r>
        <w:rPr>
          <w:rStyle w:val="normaltextrun"/>
          <w:rFonts w:eastAsiaTheme="majorEastAsia"/>
        </w:rPr>
        <w:t>OR</w:t>
      </w:r>
      <w:proofErr w:type="spellEnd"/>
      <w:r>
        <w:rPr>
          <w:rStyle w:val="normaltextrun"/>
          <w:rFonts w:eastAsiaTheme="majorEastAsia"/>
        </w:rPr>
        <w:t xml:space="preserve"> (</w:t>
      </w:r>
      <w:proofErr w:type="spellStart"/>
      <w:r>
        <w:rPr>
          <w:rStyle w:val="normaltextrun"/>
          <w:rFonts w:eastAsiaTheme="majorEastAsia"/>
        </w:rPr>
        <w:t>AnyField</w:t>
      </w:r>
      <w:proofErr w:type="spellEnd"/>
      <w:r>
        <w:rPr>
          <w:rStyle w:val="normaltextrun"/>
          <w:rFonts w:eastAsiaTheme="majorEastAsia"/>
        </w:rPr>
        <w:t>:("mental health care provider")) OR (</w:t>
      </w:r>
      <w:proofErr w:type="spellStart"/>
      <w:r>
        <w:rPr>
          <w:rStyle w:val="normaltextrun"/>
          <w:rFonts w:eastAsiaTheme="majorEastAsia"/>
        </w:rPr>
        <w:t>AnyField</w:t>
      </w:r>
      <w:proofErr w:type="spellEnd"/>
      <w:r>
        <w:rPr>
          <w:rStyle w:val="normaltextrun"/>
          <w:rFonts w:eastAsiaTheme="majorEastAsia"/>
        </w:rPr>
        <w:t>:("mental health personnel")) OR (</w:t>
      </w:r>
      <w:proofErr w:type="spellStart"/>
      <w:r>
        <w:rPr>
          <w:rStyle w:val="normaltextrun"/>
          <w:rFonts w:eastAsiaTheme="majorEastAsia"/>
        </w:rPr>
        <w:t>AnyField</w:t>
      </w:r>
      <w:proofErr w:type="spellEnd"/>
      <w:r>
        <w:rPr>
          <w:rStyle w:val="normaltextrun"/>
          <w:rFonts w:eastAsiaTheme="majorEastAsia"/>
        </w:rPr>
        <w:t>:("mental health nurse")) OR (</w:t>
      </w:r>
      <w:proofErr w:type="spellStart"/>
      <w:r>
        <w:rPr>
          <w:rStyle w:val="normaltextrun"/>
          <w:rFonts w:eastAsiaTheme="majorEastAsia"/>
        </w:rPr>
        <w:t>AnyField</w:t>
      </w:r>
      <w:proofErr w:type="spellEnd"/>
      <w:r>
        <w:rPr>
          <w:rStyle w:val="normaltextrun"/>
          <w:rFonts w:eastAsiaTheme="majorEastAsia"/>
        </w:rPr>
        <w:t>:("mental health service")) OR (</w:t>
      </w:r>
      <w:proofErr w:type="spellStart"/>
      <w:r>
        <w:rPr>
          <w:rStyle w:val="normaltextrun"/>
          <w:rFonts w:eastAsiaTheme="majorEastAsia"/>
        </w:rPr>
        <w:t>AnyField</w:t>
      </w:r>
      <w:proofErr w:type="spellEnd"/>
      <w:r>
        <w:rPr>
          <w:rStyle w:val="normaltextrun"/>
          <w:rFonts w:eastAsiaTheme="majorEastAsia"/>
        </w:rPr>
        <w:t>:("mental health service provider")) OR (</w:t>
      </w:r>
      <w:proofErr w:type="spellStart"/>
      <w:r>
        <w:rPr>
          <w:rStyle w:val="normaltextrun"/>
          <w:rFonts w:eastAsiaTheme="majorEastAsia"/>
        </w:rPr>
        <w:t>AnyField</w:t>
      </w:r>
      <w:proofErr w:type="spellEnd"/>
      <w:r>
        <w:rPr>
          <w:rStyle w:val="normaltextrun"/>
          <w:rFonts w:eastAsiaTheme="majorEastAsia"/>
        </w:rPr>
        <w:t>:("mental health professional")) OR (</w:t>
      </w:r>
      <w:proofErr w:type="spellStart"/>
      <w:r>
        <w:rPr>
          <w:rStyle w:val="normaltextrun"/>
          <w:rFonts w:eastAsiaTheme="majorEastAsia"/>
        </w:rPr>
        <w:t>AnyField</w:t>
      </w:r>
      <w:proofErr w:type="spellEnd"/>
      <w:r>
        <w:rPr>
          <w:rStyle w:val="normaltextrun"/>
          <w:rFonts w:eastAsiaTheme="majorEastAsia"/>
        </w:rPr>
        <w:t>:(psychologist*)) OR (</w:t>
      </w:r>
      <w:proofErr w:type="spellStart"/>
      <w:r>
        <w:rPr>
          <w:rStyle w:val="normaltextrun"/>
          <w:rFonts w:eastAsiaTheme="majorEastAsia"/>
        </w:rPr>
        <w:t>AnyField</w:t>
      </w:r>
      <w:proofErr w:type="spellEnd"/>
      <w:r>
        <w:rPr>
          <w:rStyle w:val="normaltextrun"/>
          <w:rFonts w:eastAsiaTheme="majorEastAsia"/>
        </w:rPr>
        <w:t>:("mental health worker"))) AND ((</w:t>
      </w:r>
      <w:proofErr w:type="spellStart"/>
      <w:r>
        <w:rPr>
          <w:rStyle w:val="normaltextrun"/>
          <w:rFonts w:eastAsiaTheme="majorEastAsia"/>
        </w:rPr>
        <w:t>PublicationYear</w:t>
      </w:r>
      <w:proofErr w:type="spellEnd"/>
      <w:r>
        <w:rPr>
          <w:rStyle w:val="normaltextrun"/>
          <w:rFonts w:eastAsiaTheme="majorEastAsia"/>
        </w:rPr>
        <w:t xml:space="preserve">:[1970 TO 2021] OR </w:t>
      </w:r>
      <w:proofErr w:type="spellStart"/>
      <w:r>
        <w:rPr>
          <w:rStyle w:val="normaltextrun"/>
          <w:rFonts w:eastAsiaTheme="majorEastAsia"/>
        </w:rPr>
        <w:t>TestYear</w:t>
      </w:r>
      <w:proofErr w:type="spellEnd"/>
      <w:r>
        <w:rPr>
          <w:rStyle w:val="normaltextrun"/>
          <w:rFonts w:eastAsiaTheme="majorEastAsia"/>
        </w:rPr>
        <w:t>:[1970 TO 2021])))</w:t>
      </w:r>
      <w:r>
        <w:rPr>
          <w:rStyle w:val="eop"/>
          <w:rFonts w:eastAsiaTheme="majorEastAsia"/>
        </w:rPr>
        <w:t> </w:t>
      </w:r>
    </w:p>
    <w:p w14:paraId="78A58307"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333333"/>
        </w:rPr>
        <w:t> </w:t>
      </w:r>
    </w:p>
    <w:p w14:paraId="00A08BFF"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i/>
          <w:iCs/>
          <w:u w:val="single"/>
        </w:rPr>
        <w:t>Pubmed</w:t>
      </w:r>
      <w:proofErr w:type="spellEnd"/>
      <w:r>
        <w:rPr>
          <w:rStyle w:val="eop"/>
          <w:rFonts w:eastAsiaTheme="majorEastAsia"/>
        </w:rPr>
        <w:t> </w:t>
      </w:r>
    </w:p>
    <w:p w14:paraId="2A277135"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62EC13E"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Mesh search:</w:t>
      </w:r>
      <w:r>
        <w:rPr>
          <w:rStyle w:val="eop"/>
          <w:rFonts w:eastAsiaTheme="majorEastAsia"/>
        </w:rPr>
        <w:t> </w:t>
      </w:r>
    </w:p>
    <w:p w14:paraId="0AB83557"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7E30340"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("social work, psychiatric"[</w:t>
      </w:r>
      <w:proofErr w:type="spellStart"/>
      <w:r>
        <w:rPr>
          <w:rStyle w:val="normaltextrun"/>
          <w:rFonts w:eastAsiaTheme="majorEastAsia"/>
        </w:rPr>
        <w:t>MeSH</w:t>
      </w:r>
      <w:proofErr w:type="spellEnd"/>
      <w:r>
        <w:rPr>
          <w:rStyle w:val="normaltextrun"/>
          <w:rFonts w:eastAsiaTheme="majorEastAsia"/>
        </w:rPr>
        <w:t xml:space="preserve"> Major Topic] OR "social work, psychiatric"[</w:t>
      </w:r>
      <w:proofErr w:type="spellStart"/>
      <w:r>
        <w:rPr>
          <w:rStyle w:val="normaltextrun"/>
          <w:rFonts w:eastAsiaTheme="majorEastAsia"/>
        </w:rPr>
        <w:t>MeSH</w:t>
      </w:r>
      <w:proofErr w:type="spellEnd"/>
      <w:r>
        <w:rPr>
          <w:rStyle w:val="normaltextrun"/>
          <w:rFonts w:eastAsiaTheme="majorEastAsia"/>
        </w:rPr>
        <w:t xml:space="preserve"> Major Topic] OR "emergency services, psychiatric"[</w:t>
      </w:r>
      <w:proofErr w:type="spellStart"/>
      <w:r>
        <w:rPr>
          <w:rStyle w:val="normaltextrun"/>
          <w:rFonts w:eastAsiaTheme="majorEastAsia"/>
        </w:rPr>
        <w:t>MeSH</w:t>
      </w:r>
      <w:proofErr w:type="spellEnd"/>
      <w:r>
        <w:rPr>
          <w:rStyle w:val="normaltextrun"/>
          <w:rFonts w:eastAsiaTheme="majorEastAsia"/>
        </w:rPr>
        <w:t xml:space="preserve"> Major Topic] OR "psychiatric nursing"[</w:t>
      </w:r>
      <w:proofErr w:type="spellStart"/>
      <w:r>
        <w:rPr>
          <w:rStyle w:val="normaltextrun"/>
          <w:rFonts w:eastAsiaTheme="majorEastAsia"/>
        </w:rPr>
        <w:t>MeSH</w:t>
      </w:r>
      <w:proofErr w:type="spellEnd"/>
      <w:r>
        <w:rPr>
          <w:rStyle w:val="normaltextrun"/>
          <w:rFonts w:eastAsiaTheme="majorEastAsia"/>
        </w:rPr>
        <w:t xml:space="preserve"> Major Topic] OR "health personnel/psychology"[</w:t>
      </w:r>
      <w:proofErr w:type="spellStart"/>
      <w:r>
        <w:rPr>
          <w:rStyle w:val="normaltextrun"/>
          <w:rFonts w:eastAsiaTheme="majorEastAsia"/>
        </w:rPr>
        <w:t>MeSH</w:t>
      </w:r>
      <w:proofErr w:type="spellEnd"/>
      <w:r>
        <w:rPr>
          <w:rStyle w:val="normaltextrun"/>
          <w:rFonts w:eastAsiaTheme="majorEastAsia"/>
        </w:rPr>
        <w:t xml:space="preserve"> Major Topic]) AND "burnout, professional/prevention and control"[</w:t>
      </w:r>
      <w:proofErr w:type="spellStart"/>
      <w:r>
        <w:rPr>
          <w:rStyle w:val="normaltextrun"/>
          <w:rFonts w:eastAsiaTheme="majorEastAsia"/>
        </w:rPr>
        <w:t>MeSH</w:t>
      </w:r>
      <w:proofErr w:type="spellEnd"/>
      <w:r>
        <w:rPr>
          <w:rStyle w:val="normaltextrun"/>
          <w:rFonts w:eastAsiaTheme="majorEastAsia"/>
        </w:rPr>
        <w:t xml:space="preserve"> Major Topic] OR "compassion fatigue/prevention and control"[</w:t>
      </w:r>
      <w:proofErr w:type="spellStart"/>
      <w:r>
        <w:rPr>
          <w:rStyle w:val="normaltextrun"/>
          <w:rFonts w:eastAsiaTheme="majorEastAsia"/>
        </w:rPr>
        <w:t>MeSH</w:t>
      </w:r>
      <w:proofErr w:type="spellEnd"/>
      <w:r>
        <w:rPr>
          <w:rStyle w:val="normaltextrun"/>
          <w:rFonts w:eastAsiaTheme="majorEastAsia"/>
        </w:rPr>
        <w:t xml:space="preserve"> Major Topic]) </w:t>
      </w:r>
      <w:r>
        <w:rPr>
          <w:rStyle w:val="eop"/>
          <w:rFonts w:eastAsiaTheme="majorEastAsia"/>
        </w:rPr>
        <w:t> </w:t>
      </w:r>
    </w:p>
    <w:p w14:paraId="3B009461"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04916D2"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lastRenderedPageBreak/>
        <w:t>Keyword search:</w:t>
      </w:r>
      <w:r>
        <w:rPr>
          <w:rStyle w:val="normaltextrun"/>
          <w:rFonts w:eastAsiaTheme="majorEastAsia"/>
          <w:shd w:val="clear" w:color="auto" w:fill="FFFF00"/>
        </w:rPr>
        <w:t> </w:t>
      </w:r>
      <w:r>
        <w:rPr>
          <w:rStyle w:val="eop"/>
          <w:rFonts w:eastAsiaTheme="majorEastAsia"/>
        </w:rPr>
        <w:t> </w:t>
      </w:r>
    </w:p>
    <w:p w14:paraId="2EFD3801"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35A3D4E"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("psychotherapist*"[Title/Abstract] OR "forensic </w:t>
      </w:r>
      <w:proofErr w:type="spellStart"/>
      <w:r>
        <w:rPr>
          <w:rStyle w:val="normaltextrun"/>
          <w:rFonts w:eastAsiaTheme="majorEastAsia"/>
        </w:rPr>
        <w:t>nurs</w:t>
      </w:r>
      <w:proofErr w:type="spellEnd"/>
      <w:r>
        <w:rPr>
          <w:rStyle w:val="normaltextrun"/>
          <w:rFonts w:eastAsiaTheme="majorEastAsia"/>
        </w:rPr>
        <w:t>*"[Title/Abstract] OR "forensic psychologist*"[Title/Abstract] OR "forensic psychiatrist*"[Title/Abstract] OR "therapist*"[Title/Abstract] OR "mental health employee*"[Title/Abstract] OR "counsellor*"[Title/Abstract] OR "counselling psychologist*"[Title/Abstract] OR "family therapist*"[Title/Abstract] OR "</w:t>
      </w:r>
      <w:proofErr w:type="spellStart"/>
      <w:r>
        <w:rPr>
          <w:rStyle w:val="normaltextrun"/>
          <w:rFonts w:eastAsiaTheme="majorEastAsia"/>
        </w:rPr>
        <w:t>counselor</w:t>
      </w:r>
      <w:proofErr w:type="spellEnd"/>
      <w:r>
        <w:rPr>
          <w:rStyle w:val="normaltextrun"/>
          <w:rFonts w:eastAsiaTheme="majorEastAsia"/>
        </w:rPr>
        <w:t xml:space="preserve">*"[Title/Abstract] OR "mental health support worker*"[Title/Abstract] OR "mental health social worker*"[Title/Abstract] OR "mental health care provider*"[Title/Abstract] OR "mental health personnel"[Title/Abstract] OR "mental health </w:t>
      </w:r>
      <w:proofErr w:type="spellStart"/>
      <w:r>
        <w:rPr>
          <w:rStyle w:val="normaltextrun"/>
          <w:rFonts w:eastAsiaTheme="majorEastAsia"/>
        </w:rPr>
        <w:t>nurs</w:t>
      </w:r>
      <w:proofErr w:type="spellEnd"/>
      <w:r>
        <w:rPr>
          <w:rStyle w:val="normaltextrun"/>
          <w:rFonts w:eastAsiaTheme="majorEastAsia"/>
        </w:rPr>
        <w:t>*"[Title/Abstract] OR "mental health service*"[Title/Abstract] OR "mental health service provider*"[Title/Abstract] OR "mental health professional*"[Title/Abstract] OR "psychologist*"[Title/Abstract] OR "mental health worker"[Title/Abstract])) AND ("compassion fatigue"[Title/Abstract] OR "vicarious trauma"[Title/Abstract] OR "secondary traumatic stress"[Title/Abstract] OR "burnout"[Title/Abstract] OR "burn out"[Title/Abstract] OR "compassion stress"[Title/Abstract] OR "secondary trauma"[Title/Abstract] OR "secondary traumatisation"[Title/Abstract] OR "secondary traumatization"[Title/Abstract]) </w:t>
      </w:r>
      <w:r>
        <w:rPr>
          <w:rStyle w:val="eop"/>
          <w:rFonts w:eastAsiaTheme="majorEastAsia"/>
        </w:rPr>
        <w:t> </w:t>
      </w:r>
    </w:p>
    <w:p w14:paraId="77EEA2FD"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5B616B"/>
        </w:rPr>
        <w:t> </w:t>
      </w:r>
    </w:p>
    <w:p w14:paraId="18EFB2F5"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i/>
          <w:iCs/>
          <w:shd w:val="clear" w:color="auto" w:fill="FFFFFF"/>
        </w:rPr>
        <w:t>Embase</w:t>
      </w:r>
      <w:r>
        <w:rPr>
          <w:rStyle w:val="normaltextrun"/>
          <w:rFonts w:eastAsiaTheme="majorEastAsia"/>
          <w:i/>
          <w:iCs/>
          <w:shd w:val="clear" w:color="auto" w:fill="FFFFFF"/>
        </w:rPr>
        <w:t> </w:t>
      </w:r>
      <w:r>
        <w:rPr>
          <w:rStyle w:val="eop"/>
          <w:rFonts w:eastAsiaTheme="majorEastAsia"/>
        </w:rPr>
        <w:t> </w:t>
      </w:r>
    </w:p>
    <w:p w14:paraId="3EB11BF9"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B8AF76D" w14:textId="77777777" w:rsidR="00337928" w:rsidRDefault="00337928" w:rsidP="00337928">
      <w:pPr>
        <w:pStyle w:val="paragraph"/>
        <w:numPr>
          <w:ilvl w:val="0"/>
          <w:numId w:val="1"/>
        </w:numPr>
        <w:spacing w:before="0" w:beforeAutospacing="0" w:after="0" w:afterAutospacing="0"/>
        <w:ind w:left="1080" w:firstLine="0"/>
        <w:textAlignment w:val="baseline"/>
      </w:pPr>
      <w:r>
        <w:rPr>
          <w:rStyle w:val="normaltextrun"/>
          <w:rFonts w:eastAsiaTheme="majorEastAsia"/>
        </w:rPr>
        <w:t>#1 ('compassion fatigue'/exp OR 'compassion fatigue' OR 'compassion stress' OR 'vicarious trauma'/exp OR 'vicarious trauma' OR 'burnout'/exp OR burnout OR 'burn out'/exp OR 'burn out' OR 'secondary traumatic stress'/exp OR 'secondary traumatic stress' OR 'secondary trauma' OR 'secondary traumatisation' OR 'secondary traumatization') AND ([</w:t>
      </w:r>
      <w:proofErr w:type="spellStart"/>
      <w:r>
        <w:rPr>
          <w:rStyle w:val="normaltextrun"/>
          <w:rFonts w:eastAsiaTheme="majorEastAsia"/>
        </w:rPr>
        <w:t>embase</w:t>
      </w:r>
      <w:proofErr w:type="spellEnd"/>
      <w:r>
        <w:rPr>
          <w:rStyle w:val="normaltextrun"/>
          <w:rFonts w:eastAsiaTheme="majorEastAsia"/>
        </w:rPr>
        <w:t>]/</w:t>
      </w:r>
      <w:proofErr w:type="spellStart"/>
      <w:r>
        <w:rPr>
          <w:rStyle w:val="normaltextrun"/>
          <w:rFonts w:eastAsiaTheme="majorEastAsia"/>
        </w:rPr>
        <w:t>lim</w:t>
      </w:r>
      <w:proofErr w:type="spellEnd"/>
      <w:r>
        <w:rPr>
          <w:rStyle w:val="normaltextrun"/>
          <w:rFonts w:eastAsiaTheme="majorEastAsia"/>
        </w:rPr>
        <w:t xml:space="preserve"> OR [</w:t>
      </w:r>
      <w:proofErr w:type="spellStart"/>
      <w:r>
        <w:rPr>
          <w:rStyle w:val="normaltextrun"/>
          <w:rFonts w:eastAsiaTheme="majorEastAsia"/>
        </w:rPr>
        <w:t>embase</w:t>
      </w:r>
      <w:proofErr w:type="spellEnd"/>
      <w:r>
        <w:rPr>
          <w:rStyle w:val="normaltextrun"/>
          <w:rFonts w:eastAsiaTheme="majorEastAsia"/>
        </w:rPr>
        <w:t xml:space="preserve"> classic]/</w:t>
      </w:r>
      <w:proofErr w:type="spellStart"/>
      <w:r>
        <w:rPr>
          <w:rStyle w:val="normaltextrun"/>
          <w:rFonts w:eastAsiaTheme="majorEastAsia"/>
        </w:rPr>
        <w:t>lim</w:t>
      </w:r>
      <w:proofErr w:type="spellEnd"/>
      <w:r>
        <w:rPr>
          <w:rStyle w:val="normaltextrun"/>
          <w:rFonts w:eastAsiaTheme="majorEastAsia"/>
        </w:rPr>
        <w:t>) AND [1970-2021]/</w:t>
      </w:r>
      <w:proofErr w:type="spellStart"/>
      <w:r>
        <w:rPr>
          <w:rStyle w:val="normaltextrun"/>
          <w:rFonts w:eastAsiaTheme="majorEastAsia"/>
        </w:rPr>
        <w:t>pyEBS</w:t>
      </w:r>
      <w:proofErr w:type="spellEnd"/>
      <w:r>
        <w:rPr>
          <w:rStyle w:val="normaltextrun"/>
          <w:rFonts w:eastAsiaTheme="majorEastAsia"/>
        </w:rPr>
        <w:t xml:space="preserve"> &amp;amp; MHWs 08.01.212021-01-082021-01-0814187</w:t>
      </w:r>
      <w:r>
        <w:rPr>
          <w:rStyle w:val="eop"/>
          <w:rFonts w:eastAsiaTheme="majorEastAsia"/>
        </w:rPr>
        <w:t> </w:t>
      </w:r>
    </w:p>
    <w:p w14:paraId="0D42CD85" w14:textId="77777777" w:rsidR="00337928" w:rsidRDefault="00337928" w:rsidP="00337928">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56D30E47" w14:textId="77777777" w:rsidR="00337928" w:rsidRDefault="00337928" w:rsidP="00337928">
      <w:pPr>
        <w:pStyle w:val="paragraph"/>
        <w:numPr>
          <w:ilvl w:val="0"/>
          <w:numId w:val="2"/>
        </w:numPr>
        <w:spacing w:before="0" w:beforeAutospacing="0" w:after="0" w:afterAutospacing="0"/>
        <w:ind w:left="1080" w:firstLine="0"/>
        <w:textAlignment w:val="baseline"/>
      </w:pPr>
      <w:r>
        <w:rPr>
          <w:rStyle w:val="normaltextrun"/>
          <w:rFonts w:eastAsiaTheme="majorEastAsia"/>
        </w:rPr>
        <w:t>#2 ('vicarious trauma'/exp OR 'burnout'/exp OR 'professional burnout'/exp OR 'compassion fatigue'/exp OR 'secondary traumatic stress'/exp) AND ([</w:t>
      </w:r>
      <w:proofErr w:type="spellStart"/>
      <w:r>
        <w:rPr>
          <w:rStyle w:val="normaltextrun"/>
          <w:rFonts w:eastAsiaTheme="majorEastAsia"/>
        </w:rPr>
        <w:t>embase</w:t>
      </w:r>
      <w:proofErr w:type="spellEnd"/>
      <w:r>
        <w:rPr>
          <w:rStyle w:val="normaltextrun"/>
          <w:rFonts w:eastAsiaTheme="majorEastAsia"/>
        </w:rPr>
        <w:t>]/</w:t>
      </w:r>
      <w:proofErr w:type="spellStart"/>
      <w:r>
        <w:rPr>
          <w:rStyle w:val="normaltextrun"/>
          <w:rFonts w:eastAsiaTheme="majorEastAsia"/>
        </w:rPr>
        <w:t>lim</w:t>
      </w:r>
      <w:proofErr w:type="spellEnd"/>
      <w:r>
        <w:rPr>
          <w:rStyle w:val="normaltextrun"/>
          <w:rFonts w:eastAsiaTheme="majorEastAsia"/>
        </w:rPr>
        <w:t xml:space="preserve"> OR [</w:t>
      </w:r>
      <w:proofErr w:type="spellStart"/>
      <w:r>
        <w:rPr>
          <w:rStyle w:val="normaltextrun"/>
          <w:rFonts w:eastAsiaTheme="majorEastAsia"/>
        </w:rPr>
        <w:t>embase</w:t>
      </w:r>
      <w:proofErr w:type="spellEnd"/>
      <w:r>
        <w:rPr>
          <w:rStyle w:val="normaltextrun"/>
          <w:rFonts w:eastAsiaTheme="majorEastAsia"/>
        </w:rPr>
        <w:t xml:space="preserve"> classic]/</w:t>
      </w:r>
      <w:proofErr w:type="spellStart"/>
      <w:r>
        <w:rPr>
          <w:rStyle w:val="normaltextrun"/>
          <w:rFonts w:eastAsiaTheme="majorEastAsia"/>
        </w:rPr>
        <w:t>lim</w:t>
      </w:r>
      <w:proofErr w:type="spellEnd"/>
      <w:r>
        <w:rPr>
          <w:rStyle w:val="normaltextrun"/>
          <w:rFonts w:eastAsiaTheme="majorEastAsia"/>
        </w:rPr>
        <w:t>) AND [1970-2021]/</w:t>
      </w:r>
      <w:proofErr w:type="spellStart"/>
      <w:r>
        <w:rPr>
          <w:rStyle w:val="normaltextrun"/>
          <w:rFonts w:eastAsiaTheme="majorEastAsia"/>
        </w:rPr>
        <w:t>pyEBS</w:t>
      </w:r>
      <w:proofErr w:type="spellEnd"/>
      <w:r>
        <w:rPr>
          <w:rStyle w:val="normaltextrun"/>
          <w:rFonts w:eastAsiaTheme="majorEastAsia"/>
        </w:rPr>
        <w:t xml:space="preserve"> &amp;amp; MHWs 08.01.212021-01-082021-01-0811764</w:t>
      </w:r>
      <w:r>
        <w:rPr>
          <w:rStyle w:val="eop"/>
          <w:rFonts w:eastAsiaTheme="majorEastAsia"/>
        </w:rPr>
        <w:t> </w:t>
      </w:r>
    </w:p>
    <w:p w14:paraId="79D7A503" w14:textId="77777777" w:rsidR="00337928" w:rsidRDefault="00337928" w:rsidP="00337928">
      <w:pPr>
        <w:pStyle w:val="paragraph"/>
        <w:numPr>
          <w:ilvl w:val="0"/>
          <w:numId w:val="2"/>
        </w:numPr>
        <w:pBdr>
          <w:top w:val="single" w:sz="6" w:space="10" w:color="DCDCDC"/>
        </w:pBdr>
        <w:shd w:val="clear" w:color="auto" w:fill="FFFFFF"/>
        <w:spacing w:before="0" w:beforeAutospacing="0" w:after="0" w:afterAutospacing="0"/>
        <w:ind w:left="1800" w:firstLine="0"/>
        <w:textAlignment w:val="baseline"/>
      </w:pPr>
      <w:r>
        <w:rPr>
          <w:rStyle w:val="normaltextrun"/>
          <w:rFonts w:eastAsiaTheme="majorEastAsia"/>
        </w:rPr>
        <w:t>#3 (psychotherapist* OR 'forensic nurse' OR 'forensic psychologist' OR 'forensic psychiatrist'/exp OR 'forensic psychiatrist' OR therapist* OR 'support time and recovery worker' OR 'mental health employee' OR counsellor* OR 'counselling psychologist' OR 'family therapist' OR '</w:t>
      </w:r>
      <w:proofErr w:type="spellStart"/>
      <w:r>
        <w:rPr>
          <w:rStyle w:val="normaltextrun"/>
          <w:rFonts w:eastAsiaTheme="majorEastAsia"/>
        </w:rPr>
        <w:t>counselor</w:t>
      </w:r>
      <w:proofErr w:type="spellEnd"/>
      <w:r>
        <w:rPr>
          <w:rStyle w:val="normaltextrun"/>
          <w:rFonts w:eastAsiaTheme="majorEastAsia"/>
        </w:rPr>
        <w:t xml:space="preserve">'/exp OR </w:t>
      </w:r>
      <w:proofErr w:type="spellStart"/>
      <w:r>
        <w:rPr>
          <w:rStyle w:val="normaltextrun"/>
          <w:rFonts w:eastAsiaTheme="majorEastAsia"/>
        </w:rPr>
        <w:t>counselor</w:t>
      </w:r>
      <w:proofErr w:type="spellEnd"/>
      <w:r>
        <w:rPr>
          <w:rStyle w:val="normaltextrun"/>
          <w:rFonts w:eastAsiaTheme="majorEastAsia"/>
        </w:rPr>
        <w:t xml:space="preserve"> OR 'mental health support worker' OR 'mental health social worker' OR 'mental health care provider' OR 'mental health personnel'/exp OR 'mental health personnel' OR 'mental health nurse' OR 'mental health service'/exp OR 'mental health service' OR 'mental health service provider' OR 'mental health professional'/exp OR 'mental health professional' OR psychologist* OR 'mental health worker'/exp OR 'mental health worker') AND ([</w:t>
      </w:r>
      <w:proofErr w:type="spellStart"/>
      <w:r>
        <w:rPr>
          <w:rStyle w:val="normaltextrun"/>
          <w:rFonts w:eastAsiaTheme="majorEastAsia"/>
        </w:rPr>
        <w:t>embase</w:t>
      </w:r>
      <w:proofErr w:type="spellEnd"/>
      <w:r>
        <w:rPr>
          <w:rStyle w:val="normaltextrun"/>
          <w:rFonts w:eastAsiaTheme="majorEastAsia"/>
        </w:rPr>
        <w:t>]/</w:t>
      </w:r>
      <w:proofErr w:type="spellStart"/>
      <w:r>
        <w:rPr>
          <w:rStyle w:val="normaltextrun"/>
          <w:rFonts w:eastAsiaTheme="majorEastAsia"/>
        </w:rPr>
        <w:t>lim</w:t>
      </w:r>
      <w:proofErr w:type="spellEnd"/>
      <w:r>
        <w:rPr>
          <w:rStyle w:val="normaltextrun"/>
          <w:rFonts w:eastAsiaTheme="majorEastAsia"/>
        </w:rPr>
        <w:t xml:space="preserve"> OR [</w:t>
      </w:r>
      <w:proofErr w:type="spellStart"/>
      <w:r>
        <w:rPr>
          <w:rStyle w:val="normaltextrun"/>
          <w:rFonts w:eastAsiaTheme="majorEastAsia"/>
        </w:rPr>
        <w:t>embase</w:t>
      </w:r>
      <w:proofErr w:type="spellEnd"/>
      <w:r>
        <w:rPr>
          <w:rStyle w:val="normaltextrun"/>
          <w:rFonts w:eastAsiaTheme="majorEastAsia"/>
        </w:rPr>
        <w:t xml:space="preserve"> classic]/</w:t>
      </w:r>
      <w:proofErr w:type="spellStart"/>
      <w:r>
        <w:rPr>
          <w:rStyle w:val="normaltextrun"/>
          <w:rFonts w:eastAsiaTheme="majorEastAsia"/>
        </w:rPr>
        <w:t>lim</w:t>
      </w:r>
      <w:proofErr w:type="spellEnd"/>
      <w:r>
        <w:rPr>
          <w:rStyle w:val="normaltextrun"/>
          <w:rFonts w:eastAsiaTheme="majorEastAsia"/>
        </w:rPr>
        <w:t>) AND [1970-2021]/</w:t>
      </w:r>
      <w:proofErr w:type="spellStart"/>
      <w:r>
        <w:rPr>
          <w:rStyle w:val="normaltextrun"/>
          <w:rFonts w:eastAsiaTheme="majorEastAsia"/>
        </w:rPr>
        <w:t>pyEBS</w:t>
      </w:r>
      <w:proofErr w:type="spellEnd"/>
      <w:r>
        <w:rPr>
          <w:rStyle w:val="normaltextrun"/>
          <w:rFonts w:eastAsiaTheme="majorEastAsia"/>
        </w:rPr>
        <w:t xml:space="preserve"> &amp;amp; MHWs 08.01.212021-01-082021-01-08121632</w:t>
      </w:r>
      <w:r>
        <w:rPr>
          <w:rStyle w:val="eop"/>
          <w:rFonts w:eastAsiaTheme="majorEastAsia"/>
        </w:rPr>
        <w:t> </w:t>
      </w:r>
    </w:p>
    <w:p w14:paraId="60E26185" w14:textId="77777777" w:rsidR="00337928" w:rsidRDefault="00337928" w:rsidP="00337928">
      <w:pPr>
        <w:pStyle w:val="paragraph"/>
        <w:pBdr>
          <w:top w:val="single" w:sz="6" w:space="10" w:color="DCDCDC"/>
        </w:pBdr>
        <w:shd w:val="clear" w:color="auto" w:fill="FFFFFF"/>
        <w:spacing w:before="0" w:beforeAutospacing="0" w:after="0" w:afterAutospacing="0"/>
        <w:ind w:left="360" w:right="300"/>
        <w:textAlignment w:val="baseline"/>
        <w:rPr>
          <w:rFonts w:ascii="Segoe UI" w:hAnsi="Segoe UI" w:cs="Segoe UI"/>
          <w:sz w:val="18"/>
          <w:szCs w:val="18"/>
        </w:rPr>
      </w:pPr>
      <w:r>
        <w:rPr>
          <w:rStyle w:val="eop"/>
          <w:rFonts w:eastAsiaTheme="majorEastAsia"/>
        </w:rPr>
        <w:t> </w:t>
      </w:r>
    </w:p>
    <w:p w14:paraId="67C407DA" w14:textId="77777777" w:rsidR="00337928" w:rsidRDefault="00337928" w:rsidP="00337928">
      <w:pPr>
        <w:pStyle w:val="paragraph"/>
        <w:shd w:val="clear" w:color="auto" w:fill="FFFFFF"/>
        <w:spacing w:before="0" w:beforeAutospacing="0" w:after="0" w:afterAutospacing="0"/>
        <w:ind w:left="360" w:right="300"/>
        <w:textAlignment w:val="baseline"/>
        <w:rPr>
          <w:rFonts w:ascii="Segoe UI" w:hAnsi="Segoe UI" w:cs="Segoe UI"/>
          <w:sz w:val="18"/>
          <w:szCs w:val="18"/>
        </w:rPr>
      </w:pPr>
      <w:r>
        <w:rPr>
          <w:rStyle w:val="eop"/>
          <w:rFonts w:eastAsiaTheme="majorEastAsia"/>
        </w:rPr>
        <w:t> </w:t>
      </w:r>
    </w:p>
    <w:p w14:paraId="666E1C8C" w14:textId="77777777" w:rsidR="00337928" w:rsidRDefault="00337928" w:rsidP="00337928">
      <w:pPr>
        <w:pStyle w:val="paragraph"/>
        <w:numPr>
          <w:ilvl w:val="0"/>
          <w:numId w:val="3"/>
        </w:numPr>
        <w:pBdr>
          <w:top w:val="single" w:sz="6" w:space="10" w:color="DCDCDC"/>
        </w:pBdr>
        <w:shd w:val="clear" w:color="auto" w:fill="FFFFFF"/>
        <w:spacing w:before="0" w:beforeAutospacing="0" w:after="0" w:afterAutospacing="0"/>
        <w:ind w:left="1800" w:firstLine="0"/>
        <w:textAlignment w:val="baseline"/>
      </w:pPr>
      <w:r>
        <w:rPr>
          <w:rStyle w:val="normaltextrun"/>
          <w:rFonts w:eastAsiaTheme="majorEastAsia"/>
        </w:rPr>
        <w:t>#4 ('mental health care personnel'/exp OR 'psychotherapist'/exp OR '</w:t>
      </w:r>
      <w:proofErr w:type="spellStart"/>
      <w:r>
        <w:rPr>
          <w:rStyle w:val="normaltextrun"/>
          <w:rFonts w:eastAsiaTheme="majorEastAsia"/>
        </w:rPr>
        <w:t>counselor</w:t>
      </w:r>
      <w:proofErr w:type="spellEnd"/>
      <w:r>
        <w:rPr>
          <w:rStyle w:val="normaltextrun"/>
          <w:rFonts w:eastAsiaTheme="majorEastAsia"/>
        </w:rPr>
        <w:t xml:space="preserve">'/exp OR 'mental health service'/exp OR 'psychologist'/exp OR </w:t>
      </w:r>
      <w:r>
        <w:rPr>
          <w:rStyle w:val="normaltextrun"/>
          <w:rFonts w:eastAsiaTheme="majorEastAsia"/>
        </w:rPr>
        <w:lastRenderedPageBreak/>
        <w:t>'psychiatric nurse'/exp OR 'forensic psychology'/exp) AND ([</w:t>
      </w:r>
      <w:proofErr w:type="spellStart"/>
      <w:r>
        <w:rPr>
          <w:rStyle w:val="normaltextrun"/>
          <w:rFonts w:eastAsiaTheme="majorEastAsia"/>
        </w:rPr>
        <w:t>embase</w:t>
      </w:r>
      <w:proofErr w:type="spellEnd"/>
      <w:r>
        <w:rPr>
          <w:rStyle w:val="normaltextrun"/>
          <w:rFonts w:eastAsiaTheme="majorEastAsia"/>
        </w:rPr>
        <w:t>]/</w:t>
      </w:r>
      <w:proofErr w:type="spellStart"/>
      <w:r>
        <w:rPr>
          <w:rStyle w:val="normaltextrun"/>
          <w:rFonts w:eastAsiaTheme="majorEastAsia"/>
        </w:rPr>
        <w:t>lim</w:t>
      </w:r>
      <w:proofErr w:type="spellEnd"/>
      <w:r>
        <w:rPr>
          <w:rStyle w:val="normaltextrun"/>
          <w:rFonts w:eastAsiaTheme="majorEastAsia"/>
        </w:rPr>
        <w:t xml:space="preserve"> OR [</w:t>
      </w:r>
      <w:proofErr w:type="spellStart"/>
      <w:r>
        <w:rPr>
          <w:rStyle w:val="normaltextrun"/>
          <w:rFonts w:eastAsiaTheme="majorEastAsia"/>
        </w:rPr>
        <w:t>embase</w:t>
      </w:r>
      <w:proofErr w:type="spellEnd"/>
      <w:r>
        <w:rPr>
          <w:rStyle w:val="normaltextrun"/>
          <w:rFonts w:eastAsiaTheme="majorEastAsia"/>
        </w:rPr>
        <w:t xml:space="preserve"> classic]/</w:t>
      </w:r>
      <w:proofErr w:type="spellStart"/>
      <w:r>
        <w:rPr>
          <w:rStyle w:val="normaltextrun"/>
          <w:rFonts w:eastAsiaTheme="majorEastAsia"/>
        </w:rPr>
        <w:t>lim</w:t>
      </w:r>
      <w:proofErr w:type="spellEnd"/>
      <w:r>
        <w:rPr>
          <w:rStyle w:val="normaltextrun"/>
          <w:rFonts w:eastAsiaTheme="majorEastAsia"/>
        </w:rPr>
        <w:t>) AND [1970-2021]/</w:t>
      </w:r>
      <w:proofErr w:type="spellStart"/>
      <w:r>
        <w:rPr>
          <w:rStyle w:val="normaltextrun"/>
          <w:rFonts w:eastAsiaTheme="majorEastAsia"/>
        </w:rPr>
        <w:t>pyEBS</w:t>
      </w:r>
      <w:proofErr w:type="spellEnd"/>
      <w:r>
        <w:rPr>
          <w:rStyle w:val="normaltextrun"/>
          <w:rFonts w:eastAsiaTheme="majorEastAsia"/>
        </w:rPr>
        <w:t xml:space="preserve"> &amp;amp; MHWs 08.01.212021-01-082021-01-0856216</w:t>
      </w:r>
      <w:r>
        <w:rPr>
          <w:rStyle w:val="eop"/>
          <w:rFonts w:eastAsiaTheme="majorEastAsia"/>
        </w:rPr>
        <w:t> </w:t>
      </w:r>
    </w:p>
    <w:p w14:paraId="294A0558" w14:textId="77777777" w:rsidR="00337928" w:rsidRDefault="00337928" w:rsidP="00337928">
      <w:pPr>
        <w:pStyle w:val="paragraph"/>
        <w:numPr>
          <w:ilvl w:val="0"/>
          <w:numId w:val="3"/>
        </w:numPr>
        <w:shd w:val="clear" w:color="auto" w:fill="FFFFFF"/>
        <w:spacing w:before="0" w:beforeAutospacing="0" w:after="0" w:afterAutospacing="0"/>
        <w:ind w:left="1800" w:firstLine="0"/>
        <w:textAlignment w:val="baseline"/>
      </w:pPr>
      <w:r>
        <w:rPr>
          <w:rStyle w:val="normaltextrun"/>
          <w:rFonts w:eastAsiaTheme="majorEastAsia"/>
        </w:rPr>
        <w:t>#5 #1 OR #2</w:t>
      </w:r>
      <w:r>
        <w:rPr>
          <w:rStyle w:val="eop"/>
          <w:rFonts w:eastAsiaTheme="majorEastAsia"/>
        </w:rPr>
        <w:t> </w:t>
      </w:r>
    </w:p>
    <w:p w14:paraId="17BBDCAF" w14:textId="77777777" w:rsidR="00337928" w:rsidRDefault="00337928" w:rsidP="00337928">
      <w:pPr>
        <w:pStyle w:val="paragraph"/>
        <w:numPr>
          <w:ilvl w:val="0"/>
          <w:numId w:val="3"/>
        </w:numPr>
        <w:shd w:val="clear" w:color="auto" w:fill="FFFFFF"/>
        <w:spacing w:before="0" w:beforeAutospacing="0" w:after="0" w:afterAutospacing="0"/>
        <w:ind w:left="1800" w:firstLine="0"/>
        <w:textAlignment w:val="baseline"/>
      </w:pPr>
      <w:r>
        <w:rPr>
          <w:rStyle w:val="normaltextrun"/>
          <w:rFonts w:eastAsiaTheme="majorEastAsia"/>
        </w:rPr>
        <w:t>#6 #3 OR #4</w:t>
      </w:r>
      <w:r>
        <w:rPr>
          <w:rStyle w:val="eop"/>
          <w:rFonts w:eastAsiaTheme="majorEastAsia"/>
        </w:rPr>
        <w:t> </w:t>
      </w:r>
    </w:p>
    <w:p w14:paraId="1D0DE5A4" w14:textId="77777777" w:rsidR="00337928" w:rsidRDefault="00337928" w:rsidP="00337928">
      <w:pPr>
        <w:pStyle w:val="paragraph"/>
        <w:numPr>
          <w:ilvl w:val="0"/>
          <w:numId w:val="3"/>
        </w:numPr>
        <w:shd w:val="clear" w:color="auto" w:fill="FFFFFF"/>
        <w:spacing w:before="0" w:beforeAutospacing="0" w:after="0" w:afterAutospacing="0"/>
        <w:ind w:left="1800" w:firstLine="0"/>
        <w:textAlignment w:val="baseline"/>
      </w:pPr>
      <w:r>
        <w:rPr>
          <w:rStyle w:val="normaltextrun"/>
          <w:rFonts w:eastAsiaTheme="majorEastAsia"/>
          <w:shd w:val="clear" w:color="auto" w:fill="F5F5F5"/>
        </w:rPr>
        <w:t xml:space="preserve">#7 </w:t>
      </w:r>
      <w:r>
        <w:rPr>
          <w:rStyle w:val="normaltextrun"/>
          <w:rFonts w:eastAsiaTheme="majorEastAsia"/>
        </w:rPr>
        <w:t>#5 AND #6</w:t>
      </w:r>
      <w:r>
        <w:rPr>
          <w:rStyle w:val="eop"/>
          <w:rFonts w:eastAsiaTheme="majorEastAsia"/>
        </w:rPr>
        <w:t> </w:t>
      </w:r>
    </w:p>
    <w:p w14:paraId="392F83AB"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EDB0EB6"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i/>
          <w:iCs/>
        </w:rPr>
        <w:t>PTSDPubs</w:t>
      </w:r>
      <w:proofErr w:type="spellEnd"/>
      <w:r>
        <w:rPr>
          <w:rStyle w:val="normaltextrun"/>
          <w:rFonts w:eastAsiaTheme="majorEastAsia"/>
          <w:b/>
          <w:bCs/>
          <w:i/>
          <w:iCs/>
        </w:rPr>
        <w:t>: </w:t>
      </w:r>
      <w:r>
        <w:rPr>
          <w:rStyle w:val="eop"/>
          <w:rFonts w:eastAsiaTheme="majorEastAsia"/>
        </w:rPr>
        <w:t> </w:t>
      </w:r>
    </w:p>
    <w:p w14:paraId="64D042EB"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4A4134E"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MAINSUBJECT.EXACT("Vicarious Traumatization") OR MAINSUBJECT.EXACT("Burnout") OR MAINSUBJECT.EXACT("Trauma Contagion") OR "compassion fatigue" OR "compassion stress" OR "secondary traumatic stress" OR "vicarious trauma" OR burnout OR burn-out</w:t>
      </w:r>
      <w:r>
        <w:rPr>
          <w:rStyle w:val="eop"/>
          <w:rFonts w:eastAsiaTheme="majorEastAsia"/>
        </w:rPr>
        <w:t> </w:t>
      </w:r>
    </w:p>
    <w:p w14:paraId="45855A52"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AND</w:t>
      </w:r>
      <w:r>
        <w:rPr>
          <w:rStyle w:val="eop"/>
          <w:rFonts w:eastAsiaTheme="majorEastAsia"/>
        </w:rPr>
        <w:t> </w:t>
      </w:r>
    </w:p>
    <w:p w14:paraId="27E6E477"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MAINSUBJECT.EXACT("Mental Health Personnel") OR (psychotherapist* OR "forensic nurse" OR  "forensic psychologist" OR  "forensic psychiatrist" OR therapist* OR "support time and recovery worker" OR "mental health employee" OR counsellor* OR "counselling psychologist" OR "family therapist" OR </w:t>
      </w:r>
      <w:proofErr w:type="spellStart"/>
      <w:r>
        <w:rPr>
          <w:rStyle w:val="normaltextrun"/>
          <w:rFonts w:eastAsiaTheme="majorEastAsia"/>
        </w:rPr>
        <w:t>counselor</w:t>
      </w:r>
      <w:proofErr w:type="spellEnd"/>
      <w:r>
        <w:rPr>
          <w:rStyle w:val="normaltextrun"/>
          <w:rFonts w:eastAsiaTheme="majorEastAsia"/>
        </w:rPr>
        <w:t xml:space="preserve"> OR "mental health support worker" OR "mental health social worker" OR "mental health care provider" OR  "mental health personnel" OR "mental health nurse" OR "mental health service" OR  "mental health service provider" OR  "mental health professional" OR psychologist* )</w:t>
      </w:r>
      <w:r>
        <w:rPr>
          <w:rStyle w:val="eop"/>
          <w:rFonts w:eastAsiaTheme="majorEastAsia"/>
        </w:rPr>
        <w:t> </w:t>
      </w:r>
    </w:p>
    <w:p w14:paraId="5FD7798D"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85F0BA2"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i/>
          <w:iCs/>
        </w:rPr>
        <w:t>Central:</w:t>
      </w:r>
      <w:r>
        <w:rPr>
          <w:rStyle w:val="eop"/>
          <w:rFonts w:eastAsiaTheme="majorEastAsia"/>
        </w:rPr>
        <w:t> </w:t>
      </w:r>
    </w:p>
    <w:p w14:paraId="214E37E5"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0C31133"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"compassion fatigue" OR "compassion stress" OR "secondary traumatic stress" OR "vicarious trauma" OR burnout OR burn-out OR "Compassion Fatigue" OR "burnout, professional" OR "burnout, psychological" OR "burnout, professional/prevention and control" OR "compassion fatigue/prevention and control" in Title Abstract Keyword AND 'social work, psychiatric' OR 'emergency services, psychiatric' OR 'psychiatric nursing' OR 'health personnel, psychology' OR "psychotherapist*" OR "forensic </w:t>
      </w:r>
      <w:proofErr w:type="spellStart"/>
      <w:r>
        <w:rPr>
          <w:rStyle w:val="normaltextrun"/>
          <w:rFonts w:eastAsiaTheme="majorEastAsia"/>
        </w:rPr>
        <w:t>nurs</w:t>
      </w:r>
      <w:proofErr w:type="spellEnd"/>
      <w:r>
        <w:rPr>
          <w:rStyle w:val="normaltextrun"/>
          <w:rFonts w:eastAsiaTheme="majorEastAsia"/>
        </w:rPr>
        <w:t>*" OR "forensic psychologist*" OR "forensic psychiatrist*" OR "therapist*" OR "mental health employee*" OR "counsellor*" OR "counselling psychologist*" OR "family therapist*" OR "</w:t>
      </w:r>
      <w:proofErr w:type="spellStart"/>
      <w:r>
        <w:rPr>
          <w:rStyle w:val="normaltextrun"/>
          <w:rFonts w:eastAsiaTheme="majorEastAsia"/>
        </w:rPr>
        <w:t>counselor</w:t>
      </w:r>
      <w:proofErr w:type="spellEnd"/>
      <w:r>
        <w:rPr>
          <w:rStyle w:val="normaltextrun"/>
          <w:rFonts w:eastAsiaTheme="majorEastAsia"/>
        </w:rPr>
        <w:t xml:space="preserve">*" OR "mental health support worker*" OR "mental health social worker*" OR "mental health care provider*" OR "mental health personnel" OR "mental health </w:t>
      </w:r>
      <w:proofErr w:type="spellStart"/>
      <w:r>
        <w:rPr>
          <w:rStyle w:val="normaltextrun"/>
          <w:rFonts w:eastAsiaTheme="majorEastAsia"/>
        </w:rPr>
        <w:t>nurs</w:t>
      </w:r>
      <w:proofErr w:type="spellEnd"/>
      <w:r>
        <w:rPr>
          <w:rStyle w:val="normaltextrun"/>
          <w:rFonts w:eastAsiaTheme="majorEastAsia"/>
        </w:rPr>
        <w:t>*" OR "mental health service*" OR "mental health service provider*" OR "mental health professional*" OR "psychologist*" OR "mental health worker" in Title Abstract Keyword - with Cochrane Library publication date Between Jan 1970 and Jan 2021</w:t>
      </w:r>
      <w:r>
        <w:rPr>
          <w:rStyle w:val="eop"/>
          <w:rFonts w:eastAsiaTheme="majorEastAsia"/>
        </w:rPr>
        <w:t> </w:t>
      </w:r>
    </w:p>
    <w:p w14:paraId="6677B687"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9A2538E"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36C2164" w14:textId="77777777" w:rsidR="00337928" w:rsidRDefault="00337928" w:rsidP="00337928">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p>
    <w:p w14:paraId="3FC135C1" w14:textId="77777777" w:rsidR="00337928" w:rsidRDefault="00337928">
      <w:pPr>
        <w:rPr>
          <w:rFonts w:ascii="Times New Roman" w:hAnsi="Times New Roman" w:cs="Times New Roman"/>
          <w:b/>
          <w:bCs/>
          <w:color w:val="000000"/>
        </w:rPr>
      </w:pPr>
    </w:p>
    <w:p w14:paraId="02E5F91B" w14:textId="77777777" w:rsidR="00696EE1" w:rsidRDefault="00696EE1">
      <w:pPr>
        <w:rPr>
          <w:rFonts w:ascii="Times New Roman" w:hAnsi="Times New Roman" w:cs="Times New Roman"/>
          <w:b/>
          <w:bCs/>
          <w:color w:val="000000"/>
        </w:rPr>
      </w:pPr>
    </w:p>
    <w:p w14:paraId="429F09B0" w14:textId="77777777" w:rsidR="00696EE1" w:rsidRDefault="00696EE1">
      <w:pPr>
        <w:rPr>
          <w:rFonts w:ascii="Times New Roman" w:hAnsi="Times New Roman" w:cs="Times New Roman"/>
          <w:b/>
          <w:bCs/>
          <w:color w:val="000000"/>
        </w:rPr>
      </w:pPr>
    </w:p>
    <w:p w14:paraId="37724BD9" w14:textId="77777777" w:rsidR="00696EE1" w:rsidRDefault="00696EE1">
      <w:pPr>
        <w:rPr>
          <w:rFonts w:ascii="Times New Roman" w:hAnsi="Times New Roman" w:cs="Times New Roman"/>
          <w:b/>
          <w:bCs/>
          <w:color w:val="000000"/>
        </w:rPr>
      </w:pPr>
    </w:p>
    <w:p w14:paraId="1675185D" w14:textId="77777777" w:rsidR="00696EE1" w:rsidRDefault="00696EE1">
      <w:pPr>
        <w:rPr>
          <w:rFonts w:ascii="Times New Roman" w:hAnsi="Times New Roman" w:cs="Times New Roman"/>
          <w:b/>
          <w:bCs/>
          <w:color w:val="000000"/>
        </w:rPr>
      </w:pPr>
    </w:p>
    <w:p w14:paraId="7291388B" w14:textId="77777777" w:rsidR="00696EE1" w:rsidRDefault="00696EE1">
      <w:pPr>
        <w:rPr>
          <w:rFonts w:ascii="Times New Roman" w:hAnsi="Times New Roman" w:cs="Times New Roman"/>
          <w:b/>
          <w:bCs/>
          <w:color w:val="000000"/>
        </w:rPr>
        <w:sectPr w:rsidR="00696EE1" w:rsidSect="000F1DB0">
          <w:pgSz w:w="11906" w:h="16838"/>
          <w:pgMar w:top="1440" w:right="1440" w:bottom="1440" w:left="1440" w:header="708" w:footer="708" w:gutter="0"/>
          <w:cols w:space="708"/>
          <w:docGrid w:linePitch="360"/>
        </w:sectPr>
      </w:pPr>
    </w:p>
    <w:p w14:paraId="0BF35C12" w14:textId="3F72B724" w:rsidR="00D32D16" w:rsidRDefault="00D32D16">
      <w:pPr>
        <w:rPr>
          <w:rFonts w:ascii="Times New Roman" w:hAnsi="Times New Roman" w:cs="Times New Roman"/>
          <w:b/>
          <w:bCs/>
          <w:color w:val="000000"/>
        </w:rPr>
      </w:pPr>
      <w:r>
        <w:rPr>
          <w:rFonts w:ascii="Times New Roman" w:hAnsi="Times New Roman" w:cs="Times New Roman"/>
          <w:b/>
          <w:bCs/>
          <w:color w:val="000000"/>
        </w:rPr>
        <w:lastRenderedPageBreak/>
        <w:t>S</w:t>
      </w:r>
      <w:r w:rsidR="00A34542">
        <w:rPr>
          <w:rFonts w:ascii="Times New Roman" w:hAnsi="Times New Roman" w:cs="Times New Roman"/>
          <w:b/>
          <w:bCs/>
          <w:color w:val="000000"/>
        </w:rPr>
        <w:t>3</w:t>
      </w:r>
      <w:r>
        <w:rPr>
          <w:rFonts w:ascii="Times New Roman" w:hAnsi="Times New Roman" w:cs="Times New Roman"/>
          <w:b/>
          <w:bCs/>
          <w:color w:val="000000"/>
        </w:rPr>
        <w:t>:</w:t>
      </w:r>
      <w:r w:rsidR="004D64C4">
        <w:rPr>
          <w:rFonts w:ascii="Times New Roman" w:hAnsi="Times New Roman" w:cs="Times New Roman"/>
          <w:b/>
          <w:bCs/>
          <w:color w:val="000000"/>
        </w:rPr>
        <w:t xml:space="preserve"> </w:t>
      </w:r>
      <w:r w:rsidR="004D64C4" w:rsidRPr="004D64C4">
        <w:rPr>
          <w:rFonts w:ascii="Times New Roman" w:hAnsi="Times New Roman" w:cs="Times New Roman"/>
          <w:b/>
          <w:bCs/>
          <w:color w:val="000000"/>
        </w:rPr>
        <w:t xml:space="preserve">Table showing studies reporting participant </w:t>
      </w:r>
      <w:proofErr w:type="gramStart"/>
      <w:r w:rsidR="004D64C4" w:rsidRPr="004D64C4">
        <w:rPr>
          <w:rFonts w:ascii="Times New Roman" w:hAnsi="Times New Roman" w:cs="Times New Roman"/>
          <w:b/>
          <w:bCs/>
          <w:color w:val="000000"/>
        </w:rPr>
        <w:t>ethnicity</w:t>
      </w:r>
      <w:proofErr w:type="gramEnd"/>
    </w:p>
    <w:tbl>
      <w:tblPr>
        <w:tblStyle w:val="APAReport"/>
        <w:tblW w:w="0" w:type="auto"/>
        <w:tblLook w:val="04A0" w:firstRow="1" w:lastRow="0" w:firstColumn="1" w:lastColumn="0" w:noHBand="0" w:noVBand="1"/>
      </w:tblPr>
      <w:tblGrid>
        <w:gridCol w:w="4820"/>
        <w:gridCol w:w="5670"/>
      </w:tblGrid>
      <w:tr w:rsidR="00ED256A" w:rsidRPr="00ED256A" w14:paraId="2F582FFB" w14:textId="77777777" w:rsidTr="008A5F01">
        <w:trPr>
          <w:cnfStyle w:val="100000000000" w:firstRow="1" w:lastRow="0" w:firstColumn="0" w:lastColumn="0" w:oddVBand="0" w:evenVBand="0" w:oddHBand="0" w:evenHBand="0" w:firstRowFirstColumn="0" w:firstRowLastColumn="0" w:lastRowFirstColumn="0" w:lastRowLastColumn="0"/>
          <w:trHeight w:val="290"/>
        </w:trPr>
        <w:tc>
          <w:tcPr>
            <w:tcW w:w="4820" w:type="dxa"/>
          </w:tcPr>
          <w:p w14:paraId="439A0FD7" w14:textId="77777777" w:rsidR="00ED256A" w:rsidRPr="00ED256A" w:rsidRDefault="00ED256A" w:rsidP="00ED256A">
            <w:pPr>
              <w:spacing w:before="120" w:after="240"/>
              <w:rPr>
                <w:rFonts w:ascii="Times New Roman" w:eastAsia="Calibri" w:hAnsi="Times New Roman" w:cs="Times New Roman"/>
                <w:b/>
                <w:bCs/>
                <w:szCs w:val="22"/>
              </w:rPr>
            </w:pPr>
            <w:r w:rsidRPr="00ED256A">
              <w:rPr>
                <w:rFonts w:ascii="Times New Roman" w:eastAsia="Calibri" w:hAnsi="Times New Roman" w:cs="Times New Roman"/>
                <w:b/>
                <w:bCs/>
                <w:szCs w:val="22"/>
              </w:rPr>
              <w:t>Study</w:t>
            </w:r>
          </w:p>
        </w:tc>
        <w:tc>
          <w:tcPr>
            <w:tcW w:w="5670" w:type="dxa"/>
          </w:tcPr>
          <w:p w14:paraId="085E93C9" w14:textId="77777777" w:rsidR="00ED256A" w:rsidRPr="00ED256A" w:rsidRDefault="00ED256A" w:rsidP="00ED256A">
            <w:pPr>
              <w:spacing w:before="120" w:after="240"/>
              <w:rPr>
                <w:rFonts w:ascii="Times New Roman" w:eastAsia="Calibri" w:hAnsi="Times New Roman" w:cs="Times New Roman"/>
                <w:b/>
                <w:bCs/>
                <w:szCs w:val="22"/>
              </w:rPr>
            </w:pPr>
            <w:r w:rsidRPr="00ED256A">
              <w:rPr>
                <w:rFonts w:ascii="Times New Roman" w:eastAsia="Calibri" w:hAnsi="Times New Roman" w:cs="Times New Roman"/>
                <w:b/>
                <w:bCs/>
                <w:szCs w:val="22"/>
              </w:rPr>
              <w:t xml:space="preserve">Ethnicity of Participants </w:t>
            </w:r>
          </w:p>
        </w:tc>
      </w:tr>
      <w:tr w:rsidR="00ED256A" w:rsidRPr="00ED256A" w14:paraId="7DD78207"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"/>
            <w:id w:val="-551620130"/>
            <w:placeholder>
              <w:docPart w:val="AE7BC28DCEC64209A2BC12DEAB8A6A20"/>
            </w:placeholder>
          </w:sdtPr>
          <w:sdtContent>
            <w:tc>
              <w:tcPr>
                <w:tcW w:w="4820" w:type="dxa"/>
              </w:tcPr>
              <w:p w14:paraId="65357F3B"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(55)</w:t>
                </w:r>
              </w:p>
            </w:tc>
          </w:sdtContent>
        </w:sdt>
        <w:tc>
          <w:tcPr>
            <w:tcW w:w="5670" w:type="dxa"/>
          </w:tcPr>
          <w:p w14:paraId="505EEC79"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White: 18 (69%) </w:t>
            </w:r>
          </w:p>
          <w:p w14:paraId="64A2C954"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Black: 2 (8%)</w:t>
            </w:r>
          </w:p>
          <w:p w14:paraId="54128085"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Asian: 3 (12%) </w:t>
            </w:r>
          </w:p>
          <w:p w14:paraId="64D94275"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‘Other’ ethnic backgrounds: 2 (8%).</w:t>
            </w:r>
          </w:p>
        </w:tc>
      </w:tr>
      <w:tr w:rsidR="00ED256A" w:rsidRPr="00ED256A" w14:paraId="43033F2E"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"/>
            <w:id w:val="-1099089877"/>
            <w:placeholder>
              <w:docPart w:val="AE7BC28DCEC64209A2BC12DEAB8A6A20"/>
            </w:placeholder>
          </w:sdtPr>
          <w:sdtContent>
            <w:tc>
              <w:tcPr>
                <w:tcW w:w="4820" w:type="dxa"/>
              </w:tcPr>
              <w:p w14:paraId="4FA44C97"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(56)</w:t>
                </w:r>
              </w:p>
            </w:tc>
          </w:sdtContent>
        </w:sdt>
        <w:tc>
          <w:tcPr>
            <w:tcW w:w="5670" w:type="dxa"/>
          </w:tcPr>
          <w:p w14:paraId="6D1B150B"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111 (77%)</w:t>
            </w:r>
          </w:p>
        </w:tc>
      </w:tr>
      <w:tr w:rsidR="00ED256A" w:rsidRPr="00ED256A" w14:paraId="6700F20C"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"/>
            <w:id w:val="-413702032"/>
            <w:placeholder>
              <w:docPart w:val="AE7BC28DCEC64209A2BC12DEAB8A6A20"/>
            </w:placeholder>
          </w:sdtPr>
          <w:sdtContent>
            <w:tc>
              <w:tcPr>
                <w:tcW w:w="4820" w:type="dxa"/>
              </w:tcPr>
              <w:p w14:paraId="6E9BAF09"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(58)</w:t>
                </w:r>
              </w:p>
            </w:tc>
          </w:sdtContent>
        </w:sdt>
        <w:tc>
          <w:tcPr>
            <w:tcW w:w="5670" w:type="dxa"/>
          </w:tcPr>
          <w:p w14:paraId="6596D89D"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African American: 8 </w:t>
            </w:r>
            <w:r w:rsidRPr="00ED256A">
              <w:rPr>
                <w:rFonts w:ascii="Times New Roman" w:eastAsia="Calibri" w:hAnsi="Times New Roman" w:cs="Times New Roman"/>
                <w:color w:val="000000"/>
                <w:szCs w:val="22"/>
              </w:rPr>
              <w:br/>
              <w:t xml:space="preserve">Caucasian: 7 </w:t>
            </w:r>
            <w:r w:rsidRPr="00ED256A">
              <w:rPr>
                <w:rFonts w:ascii="Times New Roman" w:eastAsia="Calibri" w:hAnsi="Times New Roman" w:cs="Times New Roman"/>
                <w:color w:val="000000"/>
                <w:szCs w:val="22"/>
              </w:rPr>
              <w:br/>
              <w:t>‘Other’ ethnic backgrounds: 1</w:t>
            </w:r>
          </w:p>
        </w:tc>
      </w:tr>
      <w:tr w:rsidR="00ED256A" w:rsidRPr="00ED256A" w14:paraId="26E10CF2" w14:textId="77777777" w:rsidTr="008A5F01">
        <w:trPr>
          <w:trHeight w:val="290"/>
        </w:trPr>
        <w:tc>
          <w:tcPr>
            <w:tcW w:w="4820" w:type="dxa"/>
          </w:tcPr>
          <w:p w14:paraId="2A52AF98" w14:textId="77777777" w:rsidR="00ED256A" w:rsidRPr="00ED256A" w:rsidRDefault="00ED256A" w:rsidP="00ED256A">
            <w:pPr>
              <w:shd w:val="clear" w:color="auto" w:fill="FFFFFF"/>
              <w:spacing w:before="120" w:after="240"/>
              <w:rPr>
                <w:rFonts w:ascii="Times New Roman" w:hAnsi="Times New Roman" w:cs="Times New Roman"/>
                <w:szCs w:val="22"/>
                <w:lang w:eastAsia="en-GB"/>
              </w:rPr>
            </w:pPr>
            <w:r w:rsidRPr="00ED256A">
              <w:rPr>
                <w:rFonts w:ascii="Times New Roman" w:hAnsi="Times New Roman" w:cs="Times New Roman"/>
                <w:color w:val="000000"/>
                <w:szCs w:val="22"/>
                <w:lang w:eastAsia="en-GB"/>
              </w:rPr>
              <w:t xml:space="preserve">Boone </w:t>
            </w:r>
            <w:r w:rsidRPr="00ED256A">
              <w:rPr>
                <w:rFonts w:ascii="Times New Roman" w:eastAsia="Calibri" w:hAnsi="Times New Roman" w:cs="Times New Roman"/>
                <w:szCs w:val="22"/>
              </w:rPr>
              <w:t>[Unpublished]</w:t>
            </w:r>
          </w:p>
        </w:tc>
        <w:tc>
          <w:tcPr>
            <w:tcW w:w="5670" w:type="dxa"/>
          </w:tcPr>
          <w:p w14:paraId="41273003" w14:textId="77777777" w:rsidR="00ED256A" w:rsidRPr="00ED256A" w:rsidRDefault="00ED256A" w:rsidP="00ED256A">
            <w:pPr>
              <w:shd w:val="clear" w:color="auto" w:fill="FFFFFF"/>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White:44 (83%)</w:t>
            </w:r>
          </w:p>
          <w:p w14:paraId="1769BC1C" w14:textId="77777777" w:rsidR="00ED256A" w:rsidRPr="00ED256A" w:rsidRDefault="00ED256A" w:rsidP="00ED256A">
            <w:pPr>
              <w:shd w:val="clear" w:color="auto" w:fill="FFFFFF"/>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Black: 4 (7.5%)</w:t>
            </w:r>
          </w:p>
          <w:p w14:paraId="4E62298E" w14:textId="77777777" w:rsidR="00ED256A" w:rsidRPr="00ED256A" w:rsidRDefault="00ED256A" w:rsidP="00ED256A">
            <w:pPr>
              <w:shd w:val="clear" w:color="auto" w:fill="FFFFFF"/>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Hispanic: 5 (9.4%)</w:t>
            </w:r>
          </w:p>
        </w:tc>
      </w:tr>
      <w:tr w:rsidR="00ED256A" w:rsidRPr="00ED256A" w14:paraId="6C5DC55E"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"/>
            <w:id w:val="-1658070975"/>
            <w:placeholder>
              <w:docPart w:val="AE7BC28DCEC64209A2BC12DEAB8A6A20"/>
            </w:placeholder>
          </w:sdtPr>
          <w:sdtContent>
            <w:tc>
              <w:tcPr>
                <w:tcW w:w="4820" w:type="dxa"/>
              </w:tcPr>
              <w:p w14:paraId="22BA6A05"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(60)</w:t>
                </w:r>
              </w:p>
            </w:tc>
          </w:sdtContent>
        </w:sdt>
        <w:tc>
          <w:tcPr>
            <w:tcW w:w="5670" w:type="dxa"/>
          </w:tcPr>
          <w:p w14:paraId="64820DF1"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Chinese: 29 (78.4%)</w:t>
            </w:r>
            <w:r w:rsidRPr="00ED256A">
              <w:rPr>
                <w:rFonts w:ascii="Times New Roman" w:eastAsia="Calibri" w:hAnsi="Times New Roman" w:cs="Times New Roman"/>
                <w:color w:val="000000"/>
                <w:szCs w:val="22"/>
              </w:rPr>
              <w:br/>
              <w:t>Malay: 2 (5.4%)</w:t>
            </w:r>
            <w:r w:rsidRPr="00ED256A">
              <w:rPr>
                <w:rFonts w:ascii="Times New Roman" w:eastAsia="Calibri" w:hAnsi="Times New Roman" w:cs="Times New Roman"/>
                <w:color w:val="000000"/>
                <w:szCs w:val="22"/>
              </w:rPr>
              <w:br/>
              <w:t>Indian: 4 (10.8%)</w:t>
            </w:r>
          </w:p>
        </w:tc>
      </w:tr>
      <w:tr w:rsidR="00ED256A" w:rsidRPr="00ED256A" w14:paraId="60325BFF" w14:textId="77777777" w:rsidTr="008A5F01">
        <w:trPr>
          <w:trHeight w:val="290"/>
        </w:trPr>
        <w:tc>
          <w:tcPr>
            <w:tcW w:w="4820" w:type="dxa"/>
          </w:tcPr>
          <w:p w14:paraId="646999C9"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 xml:space="preserve">Wymer, </w:t>
            </w:r>
            <w:r w:rsidRPr="00ED256A">
              <w:rPr>
                <w:rFonts w:ascii="Times New Roman" w:eastAsia="Calibri" w:hAnsi="Times New Roman" w:cs="Times New Roman"/>
                <w:szCs w:val="22"/>
              </w:rPr>
              <w:t>[Unpublished]</w:t>
            </w:r>
          </w:p>
          <w:p w14:paraId="423DB0ED" w14:textId="77777777" w:rsidR="00ED256A" w:rsidRPr="00ED256A" w:rsidRDefault="00ED256A" w:rsidP="00ED256A">
            <w:pPr>
              <w:spacing w:before="120" w:after="240"/>
              <w:rPr>
                <w:rFonts w:ascii="Times New Roman" w:eastAsia="Calibri" w:hAnsi="Times New Roman" w:cs="Times New Roman"/>
                <w:szCs w:val="22"/>
              </w:rPr>
            </w:pPr>
          </w:p>
        </w:tc>
        <w:tc>
          <w:tcPr>
            <w:tcW w:w="5670" w:type="dxa"/>
          </w:tcPr>
          <w:p w14:paraId="53B94611"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African American/Black: </w:t>
            </w:r>
            <w:proofErr w:type="gramStart"/>
            <w:r w:rsidRPr="00ED256A">
              <w:rPr>
                <w:rFonts w:ascii="Times New Roman" w:eastAsia="Calibri" w:hAnsi="Times New Roman" w:cs="Times New Roman"/>
                <w:color w:val="000000"/>
                <w:szCs w:val="22"/>
              </w:rPr>
              <w:t>1  (</w:t>
            </w:r>
            <w:proofErr w:type="gramEnd"/>
            <w:r w:rsidRPr="00ED256A">
              <w:rPr>
                <w:rFonts w:ascii="Times New Roman" w:eastAsia="Calibri" w:hAnsi="Times New Roman" w:cs="Times New Roman"/>
                <w:color w:val="000000"/>
                <w:szCs w:val="22"/>
              </w:rPr>
              <w:t>33.3%)</w:t>
            </w:r>
          </w:p>
          <w:p w14:paraId="05C1EF71"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Hispanic: 1(33.3%)</w:t>
            </w:r>
          </w:p>
          <w:p w14:paraId="7C0B7FCA"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1 (33.3%)</w:t>
            </w:r>
          </w:p>
        </w:tc>
      </w:tr>
      <w:tr w:rsidR="00ED256A" w:rsidRPr="00ED256A" w14:paraId="18B23E5C"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"/>
            <w:id w:val="-1921322903"/>
            <w:placeholder>
              <w:docPart w:val="AE7BC28DCEC64209A2BC12DEAB8A6A20"/>
            </w:placeholder>
          </w:sdtPr>
          <w:sdtContent>
            <w:tc>
              <w:tcPr>
                <w:tcW w:w="4820" w:type="dxa"/>
              </w:tcPr>
              <w:p w14:paraId="070029F8"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(65)</w:t>
                </w:r>
              </w:p>
            </w:tc>
          </w:sdtContent>
        </w:sdt>
        <w:tc>
          <w:tcPr>
            <w:tcW w:w="5670" w:type="dxa"/>
          </w:tcPr>
          <w:p w14:paraId="2C56CAE3"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100%</w:t>
            </w:r>
          </w:p>
        </w:tc>
      </w:tr>
      <w:tr w:rsidR="00ED256A" w:rsidRPr="00ED256A" w14:paraId="666F47DA"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"/>
            <w:id w:val="-1249266758"/>
            <w:placeholder>
              <w:docPart w:val="AE7BC28DCEC64209A2BC12DEAB8A6A20"/>
            </w:placeholder>
          </w:sdtPr>
          <w:sdtContent>
            <w:tc>
              <w:tcPr>
                <w:tcW w:w="4820" w:type="dxa"/>
              </w:tcPr>
              <w:p w14:paraId="090F0560"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(66)</w:t>
                </w:r>
              </w:p>
            </w:tc>
          </w:sdtContent>
        </w:sdt>
        <w:tc>
          <w:tcPr>
            <w:tcW w:w="5670" w:type="dxa"/>
          </w:tcPr>
          <w:p w14:paraId="204DDEF6"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British: 95% (no information on other 5%)</w:t>
            </w:r>
          </w:p>
        </w:tc>
      </w:tr>
      <w:tr w:rsidR="00ED256A" w:rsidRPr="00ED256A" w14:paraId="79E52BD8"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"/>
            <w:id w:val="326018447"/>
            <w:placeholder>
              <w:docPart w:val="AE7BC28DCEC64209A2BC12DEAB8A6A20"/>
            </w:placeholder>
          </w:sdtPr>
          <w:sdtContent>
            <w:tc>
              <w:tcPr>
                <w:tcW w:w="4820" w:type="dxa"/>
              </w:tcPr>
              <w:p w14:paraId="562450C8"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(71)</w:t>
                </w:r>
              </w:p>
            </w:tc>
          </w:sdtContent>
        </w:sdt>
        <w:tc>
          <w:tcPr>
            <w:tcW w:w="5670" w:type="dxa"/>
          </w:tcPr>
          <w:p w14:paraId="4A3BF9A6"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African American: 18 (26.1%)</w:t>
            </w:r>
            <w:r w:rsidRPr="00ED256A">
              <w:rPr>
                <w:rFonts w:ascii="Times New Roman" w:eastAsia="Calibri" w:hAnsi="Times New Roman" w:cs="Times New Roman"/>
                <w:color w:val="000000"/>
                <w:szCs w:val="22"/>
              </w:rPr>
              <w:br/>
              <w:t>White: 43 (62.3%)</w:t>
            </w:r>
            <w:r w:rsidRPr="00ED256A">
              <w:rPr>
                <w:rFonts w:ascii="Times New Roman" w:eastAsia="Calibri" w:hAnsi="Times New Roman" w:cs="Times New Roman"/>
                <w:color w:val="000000"/>
                <w:szCs w:val="22"/>
              </w:rPr>
              <w:br/>
              <w:t>Multiracial: 3 (4.4%)</w:t>
            </w:r>
            <w:r w:rsidRPr="00ED256A">
              <w:rPr>
                <w:rFonts w:ascii="Times New Roman" w:eastAsia="Calibri" w:hAnsi="Times New Roman" w:cs="Times New Roman"/>
                <w:color w:val="000000"/>
                <w:szCs w:val="22"/>
              </w:rPr>
              <w:br/>
              <w:t>‘Other’ ethnic backgrounds: 1(1.4%)</w:t>
            </w:r>
            <w:r w:rsidRPr="00ED256A">
              <w:rPr>
                <w:rFonts w:ascii="Times New Roman" w:eastAsia="Calibri" w:hAnsi="Times New Roman" w:cs="Times New Roman"/>
                <w:color w:val="000000"/>
                <w:szCs w:val="22"/>
              </w:rPr>
              <w:br/>
              <w:t>Missing data: 4 (5.8%)</w:t>
            </w:r>
          </w:p>
        </w:tc>
      </w:tr>
      <w:tr w:rsidR="00ED256A" w:rsidRPr="00ED256A" w14:paraId="4AE30624"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"/>
            <w:id w:val="-1729842743"/>
            <w:placeholder>
              <w:docPart w:val="AE7BC28DCEC64209A2BC12DEAB8A6A20"/>
            </w:placeholder>
          </w:sdtPr>
          <w:sdtContent>
            <w:tc>
              <w:tcPr>
                <w:tcW w:w="4820" w:type="dxa"/>
              </w:tcPr>
              <w:p w14:paraId="67CFF5CD"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(72)</w:t>
                </w:r>
              </w:p>
            </w:tc>
          </w:sdtContent>
        </w:sdt>
        <w:tc>
          <w:tcPr>
            <w:tcW w:w="5670" w:type="dxa"/>
          </w:tcPr>
          <w:p w14:paraId="3015AEE3"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94.7% (no information on other 5.3%)</w:t>
            </w:r>
          </w:p>
        </w:tc>
      </w:tr>
      <w:tr w:rsidR="00ED256A" w:rsidRPr="00ED256A" w14:paraId="3CE45AA2"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"/>
            <w:id w:val="791415957"/>
            <w:placeholder>
              <w:docPart w:val="AE7BC28DCEC64209A2BC12DEAB8A6A20"/>
            </w:placeholder>
          </w:sdtPr>
          <w:sdtContent>
            <w:tc>
              <w:tcPr>
                <w:tcW w:w="4820" w:type="dxa"/>
              </w:tcPr>
              <w:p w14:paraId="026F7E74"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(73)</w:t>
                </w:r>
              </w:p>
            </w:tc>
          </w:sdtContent>
        </w:sdt>
        <w:tc>
          <w:tcPr>
            <w:tcW w:w="5670" w:type="dxa"/>
          </w:tcPr>
          <w:p w14:paraId="0A52E6C9"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30 (66.7%)</w:t>
            </w:r>
          </w:p>
          <w:p w14:paraId="296C5ACE"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'Non-white': 15 (33.3%)</w:t>
            </w:r>
          </w:p>
        </w:tc>
      </w:tr>
      <w:tr w:rsidR="00ED256A" w:rsidRPr="00ED256A" w14:paraId="33117389" w14:textId="77777777" w:rsidTr="008A5F01">
        <w:trPr>
          <w:trHeight w:val="290"/>
        </w:trPr>
        <w:sdt>
          <w:sdtPr>
            <w:rPr>
              <w:rFonts w:ascii="Times New Roman" w:eastAsia="Calibri" w:hAnsi="Times New Roman" w:cs="Times New Roman"/>
              <w:color w:val="000000"/>
              <w:szCs w:val="22"/>
            </w:rPr>
            <w:tag w:val="MENDELEY_CITATION_v3_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"/>
            <w:id w:val="-1154136859"/>
            <w:placeholder>
              <w:docPart w:val="AE7BC28DCEC64209A2BC12DEAB8A6A20"/>
            </w:placeholder>
          </w:sdtPr>
          <w:sdtContent>
            <w:tc>
              <w:tcPr>
                <w:tcW w:w="4820" w:type="dxa"/>
              </w:tcPr>
              <w:p w14:paraId="1F75C039"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(74)</w:t>
                </w:r>
              </w:p>
            </w:tc>
          </w:sdtContent>
        </w:sdt>
        <w:tc>
          <w:tcPr>
            <w:tcW w:w="5670" w:type="dxa"/>
          </w:tcPr>
          <w:p w14:paraId="035C11E5"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Caucasian/White: 21 (70%)</w:t>
            </w:r>
          </w:p>
          <w:p w14:paraId="7E2720BB"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Hispanic/Latina: 3 (10%)</w:t>
            </w:r>
          </w:p>
          <w:p w14:paraId="3E1F9C05"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African American/Black: 1 (3.3%)</w:t>
            </w:r>
          </w:p>
          <w:p w14:paraId="5DB14FD8"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Mixed race: 1 (3.3%)</w:t>
            </w:r>
          </w:p>
          <w:p w14:paraId="7650FE1D"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‘Other’ ethnic backgrounds: 4 (13.3%)</w:t>
            </w:r>
          </w:p>
          <w:p w14:paraId="1C3186EA" w14:textId="77777777" w:rsidR="00ED256A" w:rsidRPr="00ED256A" w:rsidRDefault="00ED256A" w:rsidP="00ED256A">
            <w:pPr>
              <w:rPr>
                <w:rFonts w:ascii="Times New Roman" w:eastAsia="Calibri" w:hAnsi="Times New Roman" w:cs="Times New Roman"/>
                <w:color w:val="000000"/>
                <w:szCs w:val="22"/>
              </w:rPr>
            </w:pPr>
          </w:p>
        </w:tc>
      </w:tr>
      <w:tr w:rsidR="00ED256A" w:rsidRPr="00ED256A" w14:paraId="60EE7119" w14:textId="77777777" w:rsidTr="008A5F01">
        <w:trPr>
          <w:trHeight w:val="594"/>
        </w:trPr>
        <w:sdt>
          <w:sdtPr>
            <w:rPr>
              <w:rFonts w:ascii="Times New Roman" w:eastAsia="Calibri" w:hAnsi="Times New Roman" w:cs="Times New Roman"/>
              <w:color w:val="000000"/>
              <w:szCs w:val="22"/>
            </w:rPr>
            <w:tag w:val="MENDELEY_CITATION_v3_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"/>
            <w:id w:val="-847330360"/>
            <w:placeholder>
              <w:docPart w:val="AE7BC28DCEC64209A2BC12DEAB8A6A20"/>
            </w:placeholder>
          </w:sdtPr>
          <w:sdtContent>
            <w:tc>
              <w:tcPr>
                <w:tcW w:w="4820" w:type="dxa"/>
              </w:tcPr>
              <w:p w14:paraId="3F8A0EE9" w14:textId="77777777" w:rsidR="00ED256A" w:rsidRPr="00ED256A" w:rsidRDefault="00ED256A" w:rsidP="00ED256A">
                <w:pPr>
                  <w:spacing w:before="120" w:after="240"/>
                  <w:rPr>
                    <w:rFonts w:ascii="Times New Roman" w:eastAsia="Calibri" w:hAnsi="Times New Roman" w:cs="Times New Roman"/>
                    <w:szCs w:val="22"/>
                  </w:rPr>
                </w:pPr>
                <w:r w:rsidRPr="00ED256A">
                  <w:rPr>
                    <w:rFonts w:ascii="Times New Roman" w:eastAsia="Calibri" w:hAnsi="Times New Roman" w:cs="Times New Roman"/>
                    <w:color w:val="000000"/>
                    <w:szCs w:val="22"/>
                  </w:rPr>
                  <w:t>(78)</w:t>
                </w:r>
              </w:p>
            </w:tc>
          </w:sdtContent>
        </w:sdt>
        <w:tc>
          <w:tcPr>
            <w:tcW w:w="5670" w:type="dxa"/>
          </w:tcPr>
          <w:p w14:paraId="2E6AC6B4"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19 (95%)</w:t>
            </w:r>
          </w:p>
          <w:p w14:paraId="5155BADC"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Hispanic/Latino: 1 (5%)</w:t>
            </w:r>
          </w:p>
        </w:tc>
      </w:tr>
      <w:tr w:rsidR="00ED256A" w:rsidRPr="00ED256A" w14:paraId="218E4A81"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"/>
            <w:id w:val="479657788"/>
            <w:placeholder>
              <w:docPart w:val="AE7BC28DCEC64209A2BC12DEAB8A6A20"/>
            </w:placeholder>
          </w:sdtPr>
          <w:sdtContent>
            <w:tc>
              <w:tcPr>
                <w:tcW w:w="4820" w:type="dxa"/>
              </w:tcPr>
              <w:p w14:paraId="3675AA7E"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(81)</w:t>
                </w:r>
              </w:p>
            </w:tc>
          </w:sdtContent>
        </w:sdt>
        <w:tc>
          <w:tcPr>
            <w:tcW w:w="5670" w:type="dxa"/>
          </w:tcPr>
          <w:p w14:paraId="5B1A7884"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Black African: 55 %</w:t>
            </w:r>
            <w:r w:rsidRPr="00ED256A">
              <w:rPr>
                <w:rFonts w:ascii="Times New Roman" w:eastAsia="Calibri" w:hAnsi="Times New Roman" w:cs="Times New Roman"/>
                <w:color w:val="000000"/>
                <w:szCs w:val="22"/>
              </w:rPr>
              <w:br/>
              <w:t>White British: 16 %</w:t>
            </w:r>
            <w:r w:rsidRPr="00ED256A">
              <w:rPr>
                <w:rFonts w:ascii="Times New Roman" w:eastAsia="Calibri" w:hAnsi="Times New Roman" w:cs="Times New Roman"/>
                <w:color w:val="000000"/>
                <w:szCs w:val="22"/>
              </w:rPr>
              <w:br/>
              <w:t>African Caribbean: 9%</w:t>
            </w:r>
            <w:r w:rsidRPr="00ED256A">
              <w:rPr>
                <w:rFonts w:ascii="Times New Roman" w:eastAsia="Calibri" w:hAnsi="Times New Roman" w:cs="Times New Roman"/>
                <w:color w:val="000000"/>
                <w:szCs w:val="22"/>
              </w:rPr>
              <w:br/>
              <w:t>Black British: 8%</w:t>
            </w:r>
            <w:r w:rsidRPr="00ED256A">
              <w:rPr>
                <w:rFonts w:ascii="Times New Roman" w:eastAsia="Calibri" w:hAnsi="Times New Roman" w:cs="Times New Roman"/>
                <w:color w:val="000000"/>
                <w:szCs w:val="22"/>
              </w:rPr>
              <w:br/>
              <w:t>Mauritian: 7%</w:t>
            </w:r>
            <w:r w:rsidRPr="00ED256A">
              <w:rPr>
                <w:rFonts w:ascii="Times New Roman" w:eastAsia="Calibri" w:hAnsi="Times New Roman" w:cs="Times New Roman"/>
                <w:color w:val="000000"/>
                <w:szCs w:val="22"/>
              </w:rPr>
              <w:br/>
              <w:t>Indian: 3%</w:t>
            </w:r>
            <w:r w:rsidRPr="00ED256A">
              <w:rPr>
                <w:rFonts w:ascii="Times New Roman" w:eastAsia="Calibri" w:hAnsi="Times New Roman" w:cs="Times New Roman"/>
                <w:color w:val="000000"/>
                <w:szCs w:val="22"/>
              </w:rPr>
              <w:br/>
              <w:t>White African: 2%</w:t>
            </w:r>
          </w:p>
        </w:tc>
      </w:tr>
      <w:tr w:rsidR="00ED256A" w:rsidRPr="00ED256A" w14:paraId="499831E9"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"/>
            <w:id w:val="-313804744"/>
            <w:placeholder>
              <w:docPart w:val="AE7BC28DCEC64209A2BC12DEAB8A6A20"/>
            </w:placeholder>
          </w:sdtPr>
          <w:sdtContent>
            <w:tc>
              <w:tcPr>
                <w:tcW w:w="4820" w:type="dxa"/>
              </w:tcPr>
              <w:p w14:paraId="6ACCF593"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(82)</w:t>
                </w:r>
              </w:p>
            </w:tc>
          </w:sdtContent>
        </w:sdt>
        <w:tc>
          <w:tcPr>
            <w:tcW w:w="5670" w:type="dxa"/>
          </w:tcPr>
          <w:p w14:paraId="53F609E1"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62 (79%)</w:t>
            </w:r>
          </w:p>
          <w:p w14:paraId="20E5D1C9"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Black:15 (19%)</w:t>
            </w:r>
          </w:p>
          <w:p w14:paraId="2BADC5B7"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lastRenderedPageBreak/>
              <w:t xml:space="preserve">‘Other’ ethnic backgrounds: 2 (3%). </w:t>
            </w:r>
          </w:p>
          <w:p w14:paraId="4486D213"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Hispanic: 3 (4%)</w:t>
            </w:r>
          </w:p>
          <w:p w14:paraId="0335FF85" w14:textId="77777777" w:rsidR="00ED256A" w:rsidRPr="00ED256A" w:rsidRDefault="00ED256A" w:rsidP="00ED256A">
            <w:pPr>
              <w:rPr>
                <w:rFonts w:ascii="Times New Roman" w:eastAsia="Calibri" w:hAnsi="Times New Roman" w:cs="Times New Roman"/>
                <w:color w:val="000000"/>
                <w:szCs w:val="22"/>
              </w:rPr>
            </w:pPr>
          </w:p>
        </w:tc>
      </w:tr>
      <w:tr w:rsidR="00ED256A" w:rsidRPr="00ED256A" w14:paraId="385C7AB7"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"/>
            <w:id w:val="463462822"/>
            <w:placeholder>
              <w:docPart w:val="AE7BC28DCEC64209A2BC12DEAB8A6A20"/>
            </w:placeholder>
          </w:sdtPr>
          <w:sdtContent>
            <w:tc>
              <w:tcPr>
                <w:tcW w:w="4820" w:type="dxa"/>
              </w:tcPr>
              <w:p w14:paraId="6EBF9202"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(83)</w:t>
                </w:r>
              </w:p>
            </w:tc>
          </w:sdtContent>
        </w:sdt>
        <w:tc>
          <w:tcPr>
            <w:tcW w:w="5670" w:type="dxa"/>
          </w:tcPr>
          <w:p w14:paraId="465149D1"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African American: 29 (19.7%) </w:t>
            </w:r>
          </w:p>
          <w:p w14:paraId="3789B0C4"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Asian/Pacific Islander: 1 (0.7%)</w:t>
            </w:r>
          </w:p>
          <w:p w14:paraId="384F20E0"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98 (65.3%)</w:t>
            </w:r>
          </w:p>
          <w:p w14:paraId="4EAD0AC4"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Hispanic/Latino: 12 (8.2%) </w:t>
            </w:r>
          </w:p>
          <w:p w14:paraId="5F82CF6D"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‘Other’ ethnic backgrounds: 9 (6.1%)</w:t>
            </w:r>
          </w:p>
        </w:tc>
      </w:tr>
      <w:tr w:rsidR="00ED256A" w:rsidRPr="00ED256A" w14:paraId="2BC8297C"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"/>
            <w:id w:val="733275186"/>
            <w:placeholder>
              <w:docPart w:val="AE7BC28DCEC64209A2BC12DEAB8A6A20"/>
            </w:placeholder>
          </w:sdtPr>
          <w:sdtContent>
            <w:tc>
              <w:tcPr>
                <w:tcW w:w="4820" w:type="dxa"/>
              </w:tcPr>
              <w:p w14:paraId="4EDC8A75"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(84)</w:t>
                </w:r>
              </w:p>
            </w:tc>
          </w:sdtContent>
        </w:sdt>
        <w:tc>
          <w:tcPr>
            <w:tcW w:w="5670" w:type="dxa"/>
          </w:tcPr>
          <w:p w14:paraId="7DB88B62"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Not given; however, sample reportedly the same as Weingardt et al. (2009), plus two further participants </w:t>
            </w:r>
          </w:p>
        </w:tc>
      </w:tr>
      <w:tr w:rsidR="00ED256A" w:rsidRPr="00ED256A" w14:paraId="6746D73A"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"/>
            <w:id w:val="-1125393090"/>
            <w:placeholder>
              <w:docPart w:val="AE7BC28DCEC64209A2BC12DEAB8A6A20"/>
            </w:placeholder>
          </w:sdtPr>
          <w:sdtContent>
            <w:tc>
              <w:tcPr>
                <w:tcW w:w="4820" w:type="dxa"/>
              </w:tcPr>
              <w:p w14:paraId="38EC4FB1"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(86)</w:t>
                </w:r>
              </w:p>
            </w:tc>
          </w:sdtContent>
        </w:sdt>
        <w:tc>
          <w:tcPr>
            <w:tcW w:w="5670" w:type="dxa"/>
          </w:tcPr>
          <w:p w14:paraId="5CBA0461" w14:textId="77777777" w:rsidR="00ED256A" w:rsidRPr="00ED256A" w:rsidRDefault="00ED256A" w:rsidP="00ED256A">
            <w:pPr>
              <w:spacing w:before="120" w:after="240"/>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84%</w:t>
            </w:r>
          </w:p>
        </w:tc>
      </w:tr>
      <w:tr w:rsidR="00ED256A" w:rsidRPr="00ED256A" w14:paraId="509B7D29" w14:textId="77777777" w:rsidTr="008A5F01">
        <w:trPr>
          <w:trHeight w:val="290"/>
        </w:trPr>
        <w:sdt>
          <w:sdtPr>
            <w:rPr>
              <w:rFonts w:ascii="Times New Roman" w:hAnsi="Times New Roman" w:cs="Times New Roman"/>
              <w:color w:val="000000"/>
              <w:szCs w:val="22"/>
              <w:lang w:eastAsia="en-GB"/>
            </w:rPr>
            <w:tag w:val="MENDELEY_CITATION_v3_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"/>
            <w:id w:val="741984166"/>
            <w:placeholder>
              <w:docPart w:val="AE7BC28DCEC64209A2BC12DEAB8A6A20"/>
            </w:placeholder>
          </w:sdtPr>
          <w:sdtContent>
            <w:tc>
              <w:tcPr>
                <w:tcW w:w="4820" w:type="dxa"/>
              </w:tcPr>
              <w:p w14:paraId="23BBABAE" w14:textId="77777777" w:rsidR="00ED256A" w:rsidRPr="00ED256A" w:rsidRDefault="00ED256A" w:rsidP="00ED256A">
                <w:pPr>
                  <w:spacing w:before="120" w:after="240"/>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(88)</w:t>
                </w:r>
              </w:p>
            </w:tc>
          </w:sdtContent>
        </w:sdt>
        <w:tc>
          <w:tcPr>
            <w:tcW w:w="5670" w:type="dxa"/>
          </w:tcPr>
          <w:p w14:paraId="71B6035B"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Asian American: 14.7%</w:t>
            </w:r>
          </w:p>
          <w:p w14:paraId="6EABAF65"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 xml:space="preserve">Latina: 18.5% </w:t>
            </w:r>
          </w:p>
          <w:p w14:paraId="4B74A0EA"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White: 66.7%</w:t>
            </w:r>
          </w:p>
          <w:p w14:paraId="544E0826" w14:textId="77777777" w:rsidR="00ED256A" w:rsidRPr="00ED256A" w:rsidRDefault="00ED256A" w:rsidP="00ED256A">
            <w:pPr>
              <w:rPr>
                <w:rFonts w:ascii="Times New Roman" w:eastAsia="Calibri" w:hAnsi="Times New Roman" w:cs="Times New Roman"/>
                <w:szCs w:val="22"/>
              </w:rPr>
            </w:pPr>
          </w:p>
        </w:tc>
      </w:tr>
      <w:tr w:rsidR="00ED256A" w:rsidRPr="00ED256A" w14:paraId="78FBB6F9" w14:textId="77777777" w:rsidTr="008A5F01">
        <w:trPr>
          <w:trHeight w:val="290"/>
        </w:trPr>
        <w:tc>
          <w:tcPr>
            <w:tcW w:w="4820" w:type="dxa"/>
          </w:tcPr>
          <w:p w14:paraId="781D6230" w14:textId="77777777" w:rsidR="00ED256A" w:rsidRPr="00ED256A" w:rsidRDefault="00ED256A" w:rsidP="00ED256A">
            <w:pPr>
              <w:rPr>
                <w:rFonts w:ascii="Times New Roman" w:hAnsi="Times New Roman" w:cs="Times New Roman"/>
                <w:color w:val="000000"/>
                <w:szCs w:val="22"/>
                <w:lang w:eastAsia="en-GB"/>
              </w:rPr>
            </w:pPr>
            <w:r w:rsidRPr="00ED256A">
              <w:rPr>
                <w:rFonts w:ascii="Times New Roman" w:hAnsi="Times New Roman" w:cs="Times New Roman"/>
                <w:color w:val="000000"/>
                <w:szCs w:val="22"/>
                <w:lang w:eastAsia="en-GB"/>
              </w:rPr>
              <w:t>Ballew [</w:t>
            </w:r>
            <w:proofErr w:type="spellStart"/>
            <w:r w:rsidRPr="00ED256A">
              <w:rPr>
                <w:rFonts w:ascii="Times New Roman" w:hAnsi="Times New Roman" w:cs="Times New Roman"/>
                <w:color w:val="000000"/>
                <w:szCs w:val="22"/>
                <w:lang w:eastAsia="en-GB"/>
              </w:rPr>
              <w:t>Unpublised</w:t>
            </w:r>
            <w:proofErr w:type="spellEnd"/>
            <w:r w:rsidRPr="00ED256A">
              <w:rPr>
                <w:rFonts w:ascii="Times New Roman" w:hAnsi="Times New Roman" w:cs="Times New Roman"/>
                <w:color w:val="000000"/>
                <w:szCs w:val="22"/>
                <w:lang w:eastAsia="en-GB"/>
              </w:rPr>
              <w:t>]</w:t>
            </w:r>
          </w:p>
        </w:tc>
        <w:tc>
          <w:tcPr>
            <w:tcW w:w="5670" w:type="dxa"/>
          </w:tcPr>
          <w:p w14:paraId="1A4CB28B"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Caucasian: 35 (87.5%)</w:t>
            </w:r>
          </w:p>
          <w:p w14:paraId="0B6A2F94"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hAnsi="Times New Roman" w:cs="Times New Roman"/>
                <w:color w:val="000000"/>
                <w:szCs w:val="22"/>
                <w:lang w:eastAsia="en-GB"/>
              </w:rPr>
              <w:t>M</w:t>
            </w:r>
            <w:r w:rsidRPr="00ED256A">
              <w:rPr>
                <w:rFonts w:ascii="Times New Roman" w:eastAsia="Calibri" w:hAnsi="Times New Roman" w:cs="Times New Roman"/>
                <w:color w:val="000000"/>
                <w:szCs w:val="22"/>
              </w:rPr>
              <w:t>ultiracial: 3 (7.5%)</w:t>
            </w:r>
          </w:p>
          <w:p w14:paraId="03AFF345"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American Indian: 1 (2.5%)</w:t>
            </w:r>
          </w:p>
          <w:p w14:paraId="101461E1" w14:textId="77777777" w:rsidR="00ED256A" w:rsidRPr="00ED256A" w:rsidRDefault="00ED256A" w:rsidP="00ED256A">
            <w:pPr>
              <w:rPr>
                <w:rFonts w:ascii="Times New Roman" w:eastAsia="Calibri" w:hAnsi="Times New Roman" w:cs="Times New Roman"/>
                <w:color w:val="000000"/>
                <w:szCs w:val="22"/>
              </w:rPr>
            </w:pPr>
            <w:r w:rsidRPr="00ED256A">
              <w:rPr>
                <w:rFonts w:ascii="Times New Roman" w:eastAsia="Calibri" w:hAnsi="Times New Roman" w:cs="Times New Roman"/>
                <w:color w:val="000000"/>
                <w:szCs w:val="22"/>
              </w:rPr>
              <w:t>Other: 1 (2.5%)</w:t>
            </w:r>
          </w:p>
        </w:tc>
      </w:tr>
    </w:tbl>
    <w:p w14:paraId="6BB43F02" w14:textId="77777777" w:rsidR="00D32D16" w:rsidRDefault="00D32D16">
      <w:pPr>
        <w:rPr>
          <w:rFonts w:ascii="Times New Roman" w:hAnsi="Times New Roman" w:cs="Times New Roman"/>
          <w:b/>
          <w:bCs/>
          <w:color w:val="000000"/>
        </w:rPr>
      </w:pPr>
    </w:p>
    <w:p w14:paraId="6D524437" w14:textId="716B9433" w:rsidR="00337928" w:rsidRDefault="00337928">
      <w:pPr>
        <w:rPr>
          <w:rFonts w:ascii="Times New Roman" w:hAnsi="Times New Roman" w:cs="Times New Roman"/>
          <w:b/>
          <w:bCs/>
          <w:color w:val="000000"/>
        </w:rPr>
      </w:pPr>
      <w:r>
        <w:rPr>
          <w:rFonts w:ascii="Times New Roman" w:hAnsi="Times New Roman" w:cs="Times New Roman"/>
          <w:b/>
          <w:bCs/>
          <w:color w:val="000000"/>
        </w:rPr>
        <w:t>S</w:t>
      </w:r>
      <w:r w:rsidR="00A34542">
        <w:rPr>
          <w:rFonts w:ascii="Times New Roman" w:hAnsi="Times New Roman" w:cs="Times New Roman"/>
          <w:b/>
          <w:bCs/>
          <w:color w:val="000000"/>
        </w:rPr>
        <w:t>4</w:t>
      </w:r>
      <w:r>
        <w:rPr>
          <w:rFonts w:ascii="Times New Roman" w:hAnsi="Times New Roman" w:cs="Times New Roman"/>
          <w:b/>
          <w:bCs/>
          <w:color w:val="000000"/>
        </w:rPr>
        <w:t xml:space="preserve">: </w:t>
      </w:r>
      <w:r w:rsidRPr="00337928">
        <w:rPr>
          <w:rFonts w:ascii="Times New Roman" w:hAnsi="Times New Roman" w:cs="Times New Roman"/>
          <w:b/>
          <w:bCs/>
          <w:color w:val="000000"/>
        </w:rPr>
        <w:t xml:space="preserve">Table showing quantitative measures of EBS </w:t>
      </w:r>
      <w:proofErr w:type="gramStart"/>
      <w:r w:rsidRPr="00337928">
        <w:rPr>
          <w:rFonts w:ascii="Times New Roman" w:hAnsi="Times New Roman" w:cs="Times New Roman"/>
          <w:b/>
          <w:bCs/>
          <w:color w:val="000000"/>
        </w:rPr>
        <w:t>used</w:t>
      </w:r>
      <w:proofErr w:type="gramEnd"/>
    </w:p>
    <w:tbl>
      <w:tblPr>
        <w:tblStyle w:val="APAReport5"/>
        <w:tblW w:w="14742" w:type="dxa"/>
        <w:tblInd w:w="0" w:type="dxa"/>
        <w:tblLook w:val="04A0" w:firstRow="1" w:lastRow="0" w:firstColumn="1" w:lastColumn="0" w:noHBand="0" w:noVBand="1"/>
      </w:tblPr>
      <w:tblGrid>
        <w:gridCol w:w="2547"/>
        <w:gridCol w:w="10348"/>
        <w:gridCol w:w="1847"/>
      </w:tblGrid>
      <w:tr w:rsidR="00696EE1" w:rsidRPr="00696EE1" w14:paraId="26B9DA98" w14:textId="77777777" w:rsidTr="008D23CC">
        <w:trPr>
          <w:cnfStyle w:val="100000000000" w:firstRow="1" w:lastRow="0" w:firstColumn="0" w:lastColumn="0" w:oddVBand="0" w:evenVBand="0" w:oddHBand="0" w:evenHBand="0" w:firstRowFirstColumn="0" w:firstRowLastColumn="0" w:lastRowFirstColumn="0" w:lastRowLastColumn="0"/>
          <w:trHeight w:val="577"/>
          <w:tblHeader/>
        </w:trPr>
        <w:tc>
          <w:tcPr>
            <w:tcW w:w="2547" w:type="dxa"/>
            <w:noWrap/>
          </w:tcPr>
          <w:p w14:paraId="0B53C1FE" w14:textId="77777777" w:rsidR="00696EE1" w:rsidRPr="00696EE1" w:rsidRDefault="00696EE1" w:rsidP="008D23CC">
            <w:pPr>
              <w:rPr>
                <w:rFonts w:ascii="Times New Roman" w:hAnsi="Times New Roman" w:cs="Times New Roman"/>
                <w:b/>
                <w:bCs/>
                <w:lang w:val="en-GB" w:eastAsia="en-GB"/>
              </w:rPr>
            </w:pPr>
          </w:p>
          <w:p w14:paraId="2745DEF4" w14:textId="77777777" w:rsidR="00696EE1" w:rsidRPr="00696EE1" w:rsidRDefault="00696EE1" w:rsidP="008D23CC">
            <w:pPr>
              <w:rPr>
                <w:rFonts w:ascii="Times New Roman" w:eastAsia="Calibri" w:hAnsi="Times New Roman" w:cs="Times New Roman"/>
                <w:b/>
                <w:bCs/>
                <w:lang w:val="en-GB" w:eastAsia="en-GB"/>
              </w:rPr>
            </w:pPr>
            <w:r w:rsidRPr="00696EE1">
              <w:rPr>
                <w:rFonts w:ascii="Times New Roman" w:eastAsia="Calibri" w:hAnsi="Times New Roman" w:cs="Times New Roman"/>
                <w:b/>
                <w:bCs/>
                <w:lang w:val="en-GB" w:eastAsia="en-GB"/>
              </w:rPr>
              <w:t>Measure</w:t>
            </w:r>
          </w:p>
        </w:tc>
        <w:tc>
          <w:tcPr>
            <w:tcW w:w="10348" w:type="dxa"/>
          </w:tcPr>
          <w:p w14:paraId="3E86FA87" w14:textId="77777777" w:rsidR="00696EE1" w:rsidRPr="00696EE1" w:rsidRDefault="00696EE1" w:rsidP="008D23CC">
            <w:pPr>
              <w:rPr>
                <w:rFonts w:ascii="Times New Roman" w:eastAsia="Calibri" w:hAnsi="Times New Roman" w:cs="Times New Roman"/>
                <w:b/>
                <w:bCs/>
                <w:lang w:val="en-GB" w:eastAsia="en-GB"/>
              </w:rPr>
            </w:pPr>
          </w:p>
          <w:p w14:paraId="5B45D63F" w14:textId="77777777" w:rsidR="00696EE1" w:rsidRPr="00696EE1" w:rsidRDefault="00696EE1" w:rsidP="008D23CC">
            <w:pPr>
              <w:rPr>
                <w:rFonts w:ascii="Times New Roman" w:eastAsia="Calibri" w:hAnsi="Times New Roman" w:cs="Times New Roman"/>
                <w:b/>
                <w:bCs/>
                <w:lang w:val="en-GB" w:eastAsia="en-GB"/>
              </w:rPr>
            </w:pPr>
            <w:r w:rsidRPr="00696EE1">
              <w:rPr>
                <w:rFonts w:ascii="Times New Roman" w:eastAsia="Calibri" w:hAnsi="Times New Roman" w:cs="Times New Roman"/>
                <w:b/>
                <w:bCs/>
                <w:lang w:val="en-GB" w:eastAsia="en-GB"/>
              </w:rPr>
              <w:t xml:space="preserve">Description </w:t>
            </w:r>
          </w:p>
        </w:tc>
        <w:tc>
          <w:tcPr>
            <w:tcW w:w="1847" w:type="dxa"/>
            <w:hideMark/>
          </w:tcPr>
          <w:p w14:paraId="21391A7C" w14:textId="77777777" w:rsidR="00696EE1" w:rsidRPr="00696EE1" w:rsidRDefault="00696EE1" w:rsidP="008D23CC">
            <w:pPr>
              <w:rPr>
                <w:rFonts w:ascii="Times New Roman" w:eastAsia="Calibri" w:hAnsi="Times New Roman" w:cs="Times New Roman"/>
                <w:b/>
                <w:bCs/>
                <w:lang w:val="en-GB" w:eastAsia="en-GB"/>
              </w:rPr>
            </w:pPr>
            <w:r w:rsidRPr="00696EE1">
              <w:rPr>
                <w:rFonts w:ascii="Times New Roman" w:eastAsia="Calibri" w:hAnsi="Times New Roman" w:cs="Times New Roman"/>
                <w:b/>
                <w:bCs/>
                <w:lang w:val="en-GB" w:eastAsia="en-GB"/>
              </w:rPr>
              <w:t>No. of Studies Used In</w:t>
            </w:r>
          </w:p>
        </w:tc>
      </w:tr>
      <w:tr w:rsidR="00696EE1" w:rsidRPr="00696EE1" w14:paraId="7453FE04" w14:textId="77777777" w:rsidTr="008D23CC">
        <w:trPr>
          <w:trHeight w:val="290"/>
        </w:trPr>
        <w:tc>
          <w:tcPr>
            <w:tcW w:w="2547" w:type="dxa"/>
            <w:tcBorders>
              <w:top w:val="nil"/>
              <w:left w:val="nil"/>
              <w:bottom w:val="nil"/>
              <w:right w:val="nil"/>
            </w:tcBorders>
            <w:noWrap/>
          </w:tcPr>
          <w:p w14:paraId="4303C100"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Maslach Burnout Inventory (MBI) </w:t>
            </w:r>
            <w:r w:rsidRPr="00696EE1">
              <w:rPr>
                <w:rFonts w:ascii="Times New Roman" w:eastAsia="Calibri" w:hAnsi="Times New Roman"/>
                <w:color w:val="000000"/>
                <w:lang w:val="en-GB" w:eastAsia="en-GB"/>
              </w:rPr>
              <w:lastRenderedPageBreak/>
              <w:t>(Maslach &amp; Jackson, 1981).</w:t>
            </w:r>
          </w:p>
          <w:p w14:paraId="020FF74B"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hideMark/>
          </w:tcPr>
          <w:p w14:paraId="398EA701"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shd w:val="clear" w:color="auto" w:fill="FFFFFF"/>
                <w:lang w:val="en-GB" w:eastAsia="en-GB"/>
              </w:rPr>
              <w:lastRenderedPageBreak/>
              <w:t xml:space="preserve"> The MBI is a 22-item </w:t>
            </w:r>
            <w:r w:rsidRPr="00696EE1">
              <w:rPr>
                <w:rFonts w:ascii="Times New Roman" w:eastAsia="Calibri" w:hAnsi="Times New Roman"/>
                <w:color w:val="000000"/>
                <w:lang w:val="en-GB" w:eastAsia="en-GB"/>
              </w:rPr>
              <w:t xml:space="preserve">self-report </w:t>
            </w:r>
            <w:r w:rsidRPr="00696EE1">
              <w:rPr>
                <w:rFonts w:ascii="Times New Roman" w:eastAsia="Calibri" w:hAnsi="Times New Roman"/>
                <w:shd w:val="clear" w:color="auto" w:fill="FFFFFF"/>
                <w:lang w:val="en-GB" w:eastAsia="en-GB"/>
              </w:rPr>
              <w:t xml:space="preserve">measure of burnout in human services professionals. It produces 3 dimensions of burnout: emotional exhaustion, depersonalization, and personal accomplishment. It is the </w:t>
            </w:r>
            <w:proofErr w:type="gramStart"/>
            <w:r w:rsidRPr="00696EE1">
              <w:rPr>
                <w:rFonts w:ascii="Times New Roman" w:eastAsia="Calibri" w:hAnsi="Times New Roman"/>
                <w:shd w:val="clear" w:color="auto" w:fill="FFFFFF"/>
                <w:lang w:val="en-GB" w:eastAsia="en-GB"/>
              </w:rPr>
              <w:lastRenderedPageBreak/>
              <w:t>most commonly used</w:t>
            </w:r>
            <w:proofErr w:type="gramEnd"/>
            <w:r w:rsidRPr="00696EE1">
              <w:rPr>
                <w:rFonts w:ascii="Times New Roman" w:eastAsia="Calibri" w:hAnsi="Times New Roman"/>
                <w:shd w:val="clear" w:color="auto" w:fill="FFFFFF"/>
                <w:lang w:val="en-GB" w:eastAsia="en-GB"/>
              </w:rPr>
              <w:t xml:space="preserve"> measure of burnout with high reliability (</w:t>
            </w:r>
            <w:r w:rsidRPr="00696EE1">
              <w:rPr>
                <w:rFonts w:ascii="Times New Roman" w:eastAsia="Calibri" w:hAnsi="Times New Roman"/>
                <w:lang w:val="en-GB" w:eastAsia="en-GB"/>
              </w:rPr>
              <w:t>α = .71 or higher) across 7 countries (Poghosyan et al., 2009).</w:t>
            </w:r>
          </w:p>
        </w:tc>
        <w:tc>
          <w:tcPr>
            <w:tcW w:w="1847" w:type="dxa"/>
            <w:tcBorders>
              <w:top w:val="nil"/>
              <w:left w:val="nil"/>
              <w:bottom w:val="nil"/>
              <w:right w:val="nil"/>
            </w:tcBorders>
            <w:hideMark/>
          </w:tcPr>
          <w:p w14:paraId="30A99208"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lastRenderedPageBreak/>
              <w:t>24</w:t>
            </w:r>
          </w:p>
        </w:tc>
      </w:tr>
      <w:tr w:rsidR="00696EE1" w:rsidRPr="00696EE1" w14:paraId="70E908B3" w14:textId="77777777" w:rsidTr="008D23CC">
        <w:trPr>
          <w:trHeight w:val="290"/>
        </w:trPr>
        <w:tc>
          <w:tcPr>
            <w:tcW w:w="2547" w:type="dxa"/>
            <w:tcBorders>
              <w:top w:val="nil"/>
              <w:left w:val="nil"/>
              <w:bottom w:val="nil"/>
              <w:right w:val="nil"/>
            </w:tcBorders>
            <w:noWrap/>
          </w:tcPr>
          <w:p w14:paraId="5544D9BC" w14:textId="77777777" w:rsidR="00696EE1" w:rsidRPr="00696EE1" w:rsidRDefault="00696EE1" w:rsidP="008D23CC">
            <w:pPr>
              <w:rPr>
                <w:rFonts w:ascii="Times New Roman" w:eastAsia="Calibri" w:hAnsi="Times New Roman"/>
                <w:color w:val="000000"/>
                <w:lang w:val="en-GB" w:eastAsia="en-GB"/>
              </w:rPr>
            </w:pPr>
            <w:bookmarkStart w:id="0" w:name="_Hlk69412601"/>
            <w:r w:rsidRPr="00696EE1">
              <w:rPr>
                <w:rFonts w:ascii="Times New Roman" w:eastAsia="Calibri" w:hAnsi="Times New Roman"/>
                <w:color w:val="000000"/>
                <w:lang w:val="en-GB" w:eastAsia="en-GB"/>
              </w:rPr>
              <w:t>The Dutch version of the MBI</w:t>
            </w:r>
            <w:bookmarkEnd w:id="0"/>
            <w:r w:rsidRPr="00696EE1">
              <w:rPr>
                <w:rFonts w:ascii="Times New Roman" w:eastAsia="Calibri" w:hAnsi="Times New Roman"/>
                <w:color w:val="000000"/>
                <w:lang w:val="en-GB" w:eastAsia="en-GB"/>
              </w:rPr>
              <w:t xml:space="preserve"> (DMBI) (Schaufeli, 1990).</w:t>
            </w:r>
          </w:p>
          <w:p w14:paraId="4D61EBEB"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hideMark/>
          </w:tcPr>
          <w:p w14:paraId="40A4826B"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questionnaire consists of 22 items on a 7-point Likert scale. The Dutch MBI has been shown to be valid and reliable in the assessment of burnout in nurses (Schaufeli &amp; van </w:t>
            </w:r>
            <w:proofErr w:type="spellStart"/>
            <w:r w:rsidRPr="00696EE1">
              <w:rPr>
                <w:rFonts w:ascii="Times New Roman" w:eastAsia="Calibri" w:hAnsi="Times New Roman"/>
                <w:color w:val="000000"/>
                <w:lang w:val="en-GB" w:eastAsia="en-GB"/>
              </w:rPr>
              <w:t>Dierendonck</w:t>
            </w:r>
            <w:proofErr w:type="spellEnd"/>
            <w:r w:rsidRPr="00696EE1">
              <w:rPr>
                <w:rFonts w:ascii="Times New Roman" w:eastAsia="Calibri" w:hAnsi="Times New Roman"/>
                <w:color w:val="000000"/>
                <w:lang w:val="en-GB" w:eastAsia="en-GB"/>
              </w:rPr>
              <w:t>, 1993).</w:t>
            </w:r>
          </w:p>
        </w:tc>
        <w:tc>
          <w:tcPr>
            <w:tcW w:w="1847" w:type="dxa"/>
            <w:tcBorders>
              <w:top w:val="nil"/>
              <w:left w:val="nil"/>
              <w:bottom w:val="nil"/>
              <w:right w:val="nil"/>
            </w:tcBorders>
            <w:hideMark/>
          </w:tcPr>
          <w:p w14:paraId="022C19D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7ED75CCA" w14:textId="77777777" w:rsidTr="008D23CC">
        <w:trPr>
          <w:trHeight w:val="290"/>
        </w:trPr>
        <w:tc>
          <w:tcPr>
            <w:tcW w:w="2547" w:type="dxa"/>
            <w:tcBorders>
              <w:top w:val="nil"/>
              <w:left w:val="nil"/>
              <w:bottom w:val="nil"/>
              <w:right w:val="nil"/>
            </w:tcBorders>
            <w:noWrap/>
          </w:tcPr>
          <w:p w14:paraId="36FFBDEE" w14:textId="77777777" w:rsidR="00696EE1" w:rsidRPr="00696EE1" w:rsidRDefault="00696EE1" w:rsidP="008D23CC">
            <w:pPr>
              <w:shd w:val="clear" w:color="auto" w:fill="FFFFFF"/>
              <w:rPr>
                <w:rFonts w:ascii="Times New Roman" w:eastAsia="Calibri" w:hAnsi="Times New Roman"/>
                <w:lang w:val="en-GB" w:eastAsia="en-GB"/>
              </w:rPr>
            </w:pPr>
            <w:r w:rsidRPr="00696EE1">
              <w:rPr>
                <w:rFonts w:ascii="Times New Roman" w:eastAsia="Calibri" w:hAnsi="Times New Roman"/>
                <w:color w:val="000000"/>
                <w:lang w:val="en-GB" w:eastAsia="en-GB"/>
              </w:rPr>
              <w:t xml:space="preserve">The Arabic version of the MBI </w:t>
            </w:r>
            <w:r w:rsidRPr="00696EE1">
              <w:rPr>
                <w:rFonts w:ascii="Times New Roman" w:eastAsia="Calibri" w:hAnsi="Times New Roman"/>
                <w:lang w:val="en-GB" w:eastAsia="en-GB"/>
              </w:rPr>
              <w:t>(Al-Turki</w:t>
            </w:r>
          </w:p>
          <w:p w14:paraId="0C262A75" w14:textId="77777777" w:rsidR="00696EE1" w:rsidRPr="00696EE1" w:rsidRDefault="00696EE1" w:rsidP="008D23CC">
            <w:pPr>
              <w:shd w:val="clear" w:color="auto" w:fill="FFFFFF"/>
              <w:rPr>
                <w:rFonts w:ascii="Times New Roman" w:eastAsia="Calibri" w:hAnsi="Times New Roman"/>
                <w:lang w:val="en-GB" w:eastAsia="en-GB"/>
              </w:rPr>
            </w:pPr>
            <w:r w:rsidRPr="00696EE1">
              <w:rPr>
                <w:rFonts w:ascii="Times New Roman" w:eastAsia="Calibri" w:hAnsi="Times New Roman"/>
                <w:lang w:val="en-GB" w:eastAsia="en-GB"/>
              </w:rPr>
              <w:t xml:space="preserve">et al., 2010; </w:t>
            </w:r>
            <w:proofErr w:type="spellStart"/>
            <w:r w:rsidRPr="00696EE1">
              <w:rPr>
                <w:rFonts w:ascii="Times New Roman" w:eastAsia="Calibri" w:hAnsi="Times New Roman"/>
                <w:lang w:val="en-GB" w:eastAsia="en-GB"/>
              </w:rPr>
              <w:t>Hamaideh</w:t>
            </w:r>
            <w:proofErr w:type="spellEnd"/>
            <w:r w:rsidRPr="00696EE1">
              <w:rPr>
                <w:rFonts w:ascii="Times New Roman" w:eastAsia="Calibri" w:hAnsi="Times New Roman"/>
                <w:lang w:val="en-GB" w:eastAsia="en-GB"/>
              </w:rPr>
              <w:t>,</w:t>
            </w:r>
          </w:p>
          <w:p w14:paraId="2F37798F" w14:textId="77777777" w:rsidR="00696EE1" w:rsidRPr="00696EE1" w:rsidRDefault="00696EE1" w:rsidP="008D23CC">
            <w:pPr>
              <w:shd w:val="clear" w:color="auto" w:fill="FFFFFF"/>
              <w:rPr>
                <w:rFonts w:ascii="Times New Roman" w:eastAsia="Calibri" w:hAnsi="Times New Roman"/>
                <w:lang w:val="en-GB" w:eastAsia="en-GB"/>
              </w:rPr>
            </w:pPr>
            <w:r w:rsidRPr="00696EE1">
              <w:rPr>
                <w:rFonts w:ascii="Times New Roman" w:eastAsia="Calibri" w:hAnsi="Times New Roman"/>
                <w:lang w:val="en-GB" w:eastAsia="en-GB"/>
              </w:rPr>
              <w:t>2011).</w:t>
            </w:r>
          </w:p>
          <w:p w14:paraId="7E3F3F7B" w14:textId="77777777" w:rsidR="00696EE1" w:rsidRPr="00696EE1" w:rsidRDefault="00696EE1" w:rsidP="008D23CC">
            <w:pPr>
              <w:shd w:val="clear" w:color="auto" w:fill="FFFFFF"/>
              <w:rPr>
                <w:rFonts w:ascii="Times New Roman" w:eastAsia="Calibri" w:hAnsi="Times New Roman"/>
                <w:lang w:val="en-GB" w:eastAsia="en-GB"/>
              </w:rPr>
            </w:pPr>
          </w:p>
          <w:p w14:paraId="5B735E66"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hideMark/>
          </w:tcPr>
          <w:p w14:paraId="73F94DB0" w14:textId="77777777" w:rsidR="00696EE1" w:rsidRPr="00696EE1" w:rsidRDefault="00696EE1" w:rsidP="008D23CC">
            <w:pPr>
              <w:shd w:val="clear" w:color="auto" w:fill="FFFFFF"/>
              <w:rPr>
                <w:rFonts w:ascii="Times New Roman" w:eastAsia="Calibri" w:hAnsi="Times New Roman"/>
                <w:lang w:val="en-GB" w:eastAsia="en-GB"/>
              </w:rPr>
            </w:pPr>
            <w:r w:rsidRPr="00696EE1">
              <w:rPr>
                <w:rFonts w:ascii="Times New Roman" w:eastAsia="Calibri" w:hAnsi="Times New Roman"/>
                <w:lang w:val="en-GB" w:eastAsia="en-GB"/>
              </w:rPr>
              <w:t xml:space="preserve">The Arabic MBI has been used in </w:t>
            </w:r>
            <w:proofErr w:type="gramStart"/>
            <w:r w:rsidRPr="00696EE1">
              <w:rPr>
                <w:rFonts w:ascii="Times New Roman" w:eastAsia="Calibri" w:hAnsi="Times New Roman"/>
                <w:lang w:val="en-GB" w:eastAsia="en-GB"/>
              </w:rPr>
              <w:t>a number of</w:t>
            </w:r>
            <w:proofErr w:type="gramEnd"/>
            <w:r w:rsidRPr="00696EE1">
              <w:rPr>
                <w:rFonts w:ascii="Times New Roman" w:eastAsia="Calibri" w:hAnsi="Times New Roman"/>
                <w:lang w:val="en-GB" w:eastAsia="en-GB"/>
              </w:rPr>
              <w:t xml:space="preserve"> Arabic-speaking countries, in</w:t>
            </w:r>
          </w:p>
          <w:p w14:paraId="3E264296" w14:textId="77777777" w:rsidR="00696EE1" w:rsidRPr="00696EE1" w:rsidRDefault="00696EE1" w:rsidP="008D23CC">
            <w:pPr>
              <w:shd w:val="clear" w:color="auto" w:fill="FFFFFF"/>
              <w:rPr>
                <w:rFonts w:ascii="Times New Roman" w:eastAsia="Calibri" w:hAnsi="Times New Roman"/>
                <w:lang w:val="en-GB" w:eastAsia="en-GB"/>
              </w:rPr>
            </w:pPr>
            <w:r w:rsidRPr="00696EE1">
              <w:rPr>
                <w:rFonts w:ascii="Times New Roman" w:eastAsia="Calibri" w:hAnsi="Times New Roman"/>
                <w:lang w:val="en-GB" w:eastAsia="en-GB"/>
              </w:rPr>
              <w:t xml:space="preserve">studies assessing burnout levels among nurses (Al-Turki et al., 2010; </w:t>
            </w:r>
            <w:proofErr w:type="spellStart"/>
            <w:r w:rsidRPr="00696EE1">
              <w:rPr>
                <w:rFonts w:ascii="Times New Roman" w:eastAsia="Calibri" w:hAnsi="Times New Roman"/>
                <w:lang w:val="en-GB" w:eastAsia="en-GB"/>
              </w:rPr>
              <w:t>Hamaideh</w:t>
            </w:r>
            <w:proofErr w:type="spellEnd"/>
            <w:r w:rsidRPr="00696EE1">
              <w:rPr>
                <w:rFonts w:ascii="Times New Roman" w:eastAsia="Calibri" w:hAnsi="Times New Roman"/>
                <w:lang w:val="en-GB" w:eastAsia="en-GB"/>
              </w:rPr>
              <w:t xml:space="preserve">, 2011). It has been shown to have good internal consistency across subscales: </w:t>
            </w:r>
            <w:r w:rsidRPr="00696EE1">
              <w:rPr>
                <w:rFonts w:ascii="Times New Roman" w:eastAsia="Calibri" w:hAnsi="Times New Roman"/>
                <w:color w:val="000000"/>
                <w:lang w:val="en-GB" w:eastAsia="en-GB"/>
              </w:rPr>
              <w:t>α = .80 for emotional exhaustion; α =.73 for depersonalisation; α =.77 for personal accomplishment (Sabbah et al., 2012).</w:t>
            </w:r>
          </w:p>
        </w:tc>
        <w:tc>
          <w:tcPr>
            <w:tcW w:w="1847" w:type="dxa"/>
            <w:tcBorders>
              <w:top w:val="nil"/>
              <w:left w:val="nil"/>
              <w:bottom w:val="nil"/>
              <w:right w:val="nil"/>
            </w:tcBorders>
            <w:hideMark/>
          </w:tcPr>
          <w:p w14:paraId="5CD552D3"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30693423" w14:textId="77777777" w:rsidTr="008D23CC">
        <w:trPr>
          <w:trHeight w:val="290"/>
        </w:trPr>
        <w:tc>
          <w:tcPr>
            <w:tcW w:w="2547" w:type="dxa"/>
            <w:tcBorders>
              <w:top w:val="nil"/>
              <w:left w:val="nil"/>
              <w:bottom w:val="nil"/>
              <w:right w:val="nil"/>
            </w:tcBorders>
            <w:noWrap/>
          </w:tcPr>
          <w:p w14:paraId="270FA00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The Italian version of the MBI (</w:t>
            </w:r>
            <w:proofErr w:type="spellStart"/>
            <w:r w:rsidRPr="00696EE1">
              <w:rPr>
                <w:rFonts w:ascii="Times New Roman" w:eastAsia="Calibri" w:hAnsi="Times New Roman"/>
                <w:color w:val="000000"/>
                <w:lang w:val="en-GB" w:eastAsia="en-GB"/>
              </w:rPr>
              <w:t>Sirigatti</w:t>
            </w:r>
            <w:proofErr w:type="spellEnd"/>
            <w:r w:rsidRPr="00696EE1">
              <w:rPr>
                <w:rFonts w:ascii="Times New Roman" w:eastAsia="Calibri" w:hAnsi="Times New Roman"/>
                <w:color w:val="000000"/>
                <w:lang w:val="en-GB" w:eastAsia="en-GB"/>
              </w:rPr>
              <w:t xml:space="preserve"> &amp; </w:t>
            </w:r>
            <w:proofErr w:type="spellStart"/>
            <w:r w:rsidRPr="00696EE1">
              <w:rPr>
                <w:rFonts w:ascii="Times New Roman" w:eastAsia="Calibri" w:hAnsi="Times New Roman"/>
                <w:color w:val="000000"/>
                <w:lang w:val="en-GB" w:eastAsia="en-GB"/>
              </w:rPr>
              <w:t>Stefanile</w:t>
            </w:r>
            <w:proofErr w:type="spellEnd"/>
            <w:r w:rsidRPr="00696EE1">
              <w:rPr>
                <w:rFonts w:ascii="Times New Roman" w:eastAsia="Calibri" w:hAnsi="Times New Roman"/>
                <w:color w:val="000000"/>
                <w:lang w:val="en-GB" w:eastAsia="en-GB"/>
              </w:rPr>
              <w:t>, 1993).</w:t>
            </w:r>
          </w:p>
          <w:p w14:paraId="1D7BF781"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tcPr>
          <w:p w14:paraId="37D2CF1B"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This Italian version of the MBI has been shown to have </w:t>
            </w:r>
            <w:r w:rsidRPr="00696EE1">
              <w:rPr>
                <w:rFonts w:ascii="Times New Roman" w:eastAsia="Calibri" w:hAnsi="Times New Roman"/>
                <w:lang w:val="en-GB" w:eastAsia="en-GB"/>
              </w:rPr>
              <w:t xml:space="preserve">good internal consistency across subscales: </w:t>
            </w:r>
            <w:r w:rsidRPr="00696EE1">
              <w:rPr>
                <w:rFonts w:ascii="Times New Roman" w:eastAsia="Calibri" w:hAnsi="Times New Roman"/>
                <w:color w:val="000000"/>
                <w:lang w:val="en-GB" w:eastAsia="en-GB"/>
              </w:rPr>
              <w:t xml:space="preserve">α = .88 for emotional exhaustion; α =.70 for depersonalisation; α =.83 for personal realisation (Maslach &amp; Jackson, 1981; </w:t>
            </w:r>
            <w:proofErr w:type="spellStart"/>
            <w:r w:rsidRPr="00696EE1">
              <w:rPr>
                <w:rFonts w:ascii="Times New Roman" w:eastAsia="Calibri" w:hAnsi="Times New Roman"/>
                <w:color w:val="000000"/>
                <w:lang w:val="en-GB" w:eastAsia="en-GB"/>
              </w:rPr>
              <w:t>Sirigatti</w:t>
            </w:r>
            <w:proofErr w:type="spellEnd"/>
            <w:r w:rsidRPr="00696EE1">
              <w:rPr>
                <w:rFonts w:ascii="Times New Roman" w:eastAsia="Calibri" w:hAnsi="Times New Roman"/>
                <w:color w:val="000000"/>
                <w:lang w:val="en-GB" w:eastAsia="en-GB"/>
              </w:rPr>
              <w:t xml:space="preserve"> &amp; </w:t>
            </w:r>
            <w:proofErr w:type="spellStart"/>
            <w:r w:rsidRPr="00696EE1">
              <w:rPr>
                <w:rFonts w:ascii="Times New Roman" w:eastAsia="Calibri" w:hAnsi="Times New Roman"/>
                <w:color w:val="000000"/>
                <w:lang w:val="en-GB" w:eastAsia="en-GB"/>
              </w:rPr>
              <w:t>Stefanile</w:t>
            </w:r>
            <w:proofErr w:type="spellEnd"/>
            <w:r w:rsidRPr="00696EE1">
              <w:rPr>
                <w:rFonts w:ascii="Times New Roman" w:eastAsia="Calibri" w:hAnsi="Times New Roman"/>
                <w:color w:val="000000"/>
                <w:lang w:val="en-GB" w:eastAsia="en-GB"/>
              </w:rPr>
              <w:t>, 1993).</w:t>
            </w:r>
          </w:p>
          <w:p w14:paraId="2D5FFDFA" w14:textId="77777777" w:rsidR="00696EE1" w:rsidRPr="00696EE1" w:rsidRDefault="00696EE1" w:rsidP="008D23CC">
            <w:pPr>
              <w:rPr>
                <w:rFonts w:ascii="Times New Roman" w:eastAsia="Calibri" w:hAnsi="Times New Roman"/>
                <w:color w:val="000000"/>
                <w:lang w:val="en-GB" w:eastAsia="en-GB"/>
              </w:rPr>
            </w:pPr>
          </w:p>
        </w:tc>
        <w:tc>
          <w:tcPr>
            <w:tcW w:w="1847" w:type="dxa"/>
            <w:tcBorders>
              <w:top w:val="nil"/>
              <w:left w:val="nil"/>
              <w:bottom w:val="nil"/>
              <w:right w:val="nil"/>
            </w:tcBorders>
            <w:hideMark/>
          </w:tcPr>
          <w:p w14:paraId="569F1804"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6F114452" w14:textId="77777777" w:rsidTr="008D23CC">
        <w:trPr>
          <w:trHeight w:val="290"/>
        </w:trPr>
        <w:tc>
          <w:tcPr>
            <w:tcW w:w="2547" w:type="dxa"/>
            <w:tcBorders>
              <w:top w:val="nil"/>
              <w:left w:val="nil"/>
              <w:bottom w:val="nil"/>
              <w:right w:val="nil"/>
            </w:tcBorders>
            <w:noWrap/>
          </w:tcPr>
          <w:p w14:paraId="4F01DEA8"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MBI-General Survey (MBI-GS) (Schaufeli et al., 1996). </w:t>
            </w:r>
          </w:p>
          <w:p w14:paraId="15C7B8DD" w14:textId="77777777" w:rsidR="00696EE1" w:rsidRPr="00696EE1" w:rsidRDefault="00696EE1" w:rsidP="008D23CC">
            <w:pPr>
              <w:rPr>
                <w:rFonts w:ascii="Times New Roman" w:eastAsia="Calibri" w:hAnsi="Times New Roman"/>
                <w:color w:val="000000"/>
                <w:lang w:val="en-GB" w:eastAsia="en-GB"/>
              </w:rPr>
            </w:pPr>
          </w:p>
          <w:p w14:paraId="2A0BA3FE"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tcPr>
          <w:p w14:paraId="1B9F1979" w14:textId="77777777" w:rsidR="00696EE1" w:rsidRPr="00696EE1" w:rsidRDefault="00696EE1" w:rsidP="008D23CC">
            <w:pPr>
              <w:shd w:val="clear" w:color="auto" w:fill="FFFFFF"/>
              <w:spacing w:line="0" w:lineRule="auto"/>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MBI-GS consists of </w:t>
            </w:r>
            <w:proofErr w:type="gramStart"/>
            <w:r w:rsidRPr="00696EE1">
              <w:rPr>
                <w:rFonts w:ascii="Times New Roman" w:eastAsia="Calibri" w:hAnsi="Times New Roman"/>
                <w:color w:val="000000"/>
                <w:lang w:val="en-GB" w:eastAsia="en-GB"/>
              </w:rPr>
              <w:t>generic</w:t>
            </w:r>
            <w:proofErr w:type="gramEnd"/>
          </w:p>
          <w:p w14:paraId="41A0F466" w14:textId="77777777" w:rsidR="00696EE1" w:rsidRPr="00696EE1" w:rsidRDefault="00696EE1" w:rsidP="008D23CC">
            <w:pPr>
              <w:shd w:val="clear" w:color="auto" w:fill="FFFFFF"/>
              <w:spacing w:line="0" w:lineRule="auto"/>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items which measure burnout dimensions and can be used in a variety of </w:t>
            </w:r>
            <w:proofErr w:type="gramStart"/>
            <w:r w:rsidRPr="00696EE1">
              <w:rPr>
                <w:rFonts w:ascii="Times New Roman" w:eastAsia="Calibri" w:hAnsi="Times New Roman"/>
                <w:color w:val="000000"/>
                <w:lang w:val="en-GB" w:eastAsia="en-GB"/>
              </w:rPr>
              <w:t>occupations</w:t>
            </w:r>
            <w:proofErr w:type="gramEnd"/>
          </w:p>
          <w:p w14:paraId="56CCC4CB"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color w:val="000000"/>
                <w:lang w:val="en-GB" w:eastAsia="en-GB"/>
              </w:rPr>
              <w:t xml:space="preserve">The MBI-GS is a 16-item self-report measure of burnout in any occupation (not just health/care). </w:t>
            </w:r>
            <w:r w:rsidRPr="00696EE1">
              <w:rPr>
                <w:rFonts w:ascii="Times New Roman" w:eastAsia="Calibri" w:hAnsi="Times New Roman"/>
                <w:lang w:val="en-GB" w:eastAsia="en-GB"/>
              </w:rPr>
              <w:t>The generic items measure burnout on 3 subscales that parallel the MBI: exhaustion, cynicism, and</w:t>
            </w:r>
          </w:p>
          <w:p w14:paraId="08A6947D"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lang w:val="en-GB" w:eastAsia="en-GB"/>
              </w:rPr>
              <w:t>professional efficacy. The MBI-GS has been shown to have satisfactory internal consistency (</w:t>
            </w:r>
            <w:r w:rsidRPr="00696EE1">
              <w:rPr>
                <w:rFonts w:ascii="Times New Roman" w:eastAsia="Calibri" w:hAnsi="Times New Roman"/>
                <w:color w:val="000000"/>
                <w:lang w:val="en-GB" w:eastAsia="en-GB"/>
              </w:rPr>
              <w:t xml:space="preserve">α = </w:t>
            </w:r>
            <w:r w:rsidRPr="00696EE1">
              <w:rPr>
                <w:rFonts w:ascii="Times New Roman" w:eastAsia="Calibri" w:hAnsi="Times New Roman"/>
                <w:lang w:val="en-GB" w:eastAsia="en-GB"/>
              </w:rPr>
              <w:t>.84 to .90 for exhaustion, .74 to .84 for cynicism, and from .70 to .78 for professional efficacy) (Leiter &amp; Schaufeli, 1996).</w:t>
            </w:r>
          </w:p>
          <w:p w14:paraId="799B32BC" w14:textId="77777777" w:rsidR="00696EE1" w:rsidRPr="00696EE1" w:rsidRDefault="00696EE1" w:rsidP="008D23CC">
            <w:pPr>
              <w:rPr>
                <w:rFonts w:ascii="Times New Roman" w:eastAsia="Calibri" w:hAnsi="Times New Roman"/>
                <w:color w:val="000000"/>
                <w:lang w:val="en-GB" w:eastAsia="en-GB"/>
              </w:rPr>
            </w:pPr>
          </w:p>
        </w:tc>
        <w:tc>
          <w:tcPr>
            <w:tcW w:w="1847" w:type="dxa"/>
            <w:tcBorders>
              <w:top w:val="nil"/>
              <w:left w:val="nil"/>
              <w:bottom w:val="nil"/>
              <w:right w:val="nil"/>
            </w:tcBorders>
            <w:hideMark/>
          </w:tcPr>
          <w:p w14:paraId="51F64065"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66083054" w14:textId="77777777" w:rsidTr="008D23CC">
        <w:trPr>
          <w:trHeight w:val="290"/>
        </w:trPr>
        <w:tc>
          <w:tcPr>
            <w:tcW w:w="2547" w:type="dxa"/>
            <w:tcBorders>
              <w:top w:val="nil"/>
              <w:left w:val="nil"/>
              <w:bottom w:val="nil"/>
              <w:right w:val="nil"/>
            </w:tcBorders>
            <w:noWrap/>
          </w:tcPr>
          <w:p w14:paraId="0476F1A2"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lang w:val="en-GB" w:eastAsia="en-GB"/>
              </w:rPr>
              <w:t xml:space="preserve">The Copenhagen Burnout Inventory (CBI) (Kristensen et al., 2005). </w:t>
            </w:r>
          </w:p>
          <w:p w14:paraId="6220806F" w14:textId="77777777" w:rsidR="00696EE1" w:rsidRPr="00696EE1" w:rsidRDefault="00696EE1" w:rsidP="008D23CC">
            <w:pPr>
              <w:rPr>
                <w:rFonts w:ascii="Times New Roman" w:eastAsia="Calibri" w:hAnsi="Times New Roman"/>
                <w:lang w:val="en-GB" w:eastAsia="en-GB"/>
              </w:rPr>
            </w:pPr>
          </w:p>
        </w:tc>
        <w:tc>
          <w:tcPr>
            <w:tcW w:w="10348" w:type="dxa"/>
            <w:tcBorders>
              <w:top w:val="nil"/>
              <w:left w:val="nil"/>
              <w:bottom w:val="nil"/>
              <w:right w:val="nil"/>
            </w:tcBorders>
          </w:tcPr>
          <w:p w14:paraId="13EBFF17" w14:textId="77777777" w:rsidR="00696EE1" w:rsidRPr="00696EE1" w:rsidRDefault="00696EE1" w:rsidP="008D23CC">
            <w:pPr>
              <w:rPr>
                <w:rFonts w:ascii="Times New Roman" w:eastAsia="Calibri" w:hAnsi="Times New Roman"/>
                <w:shd w:val="clear" w:color="auto" w:fill="FFFFFF"/>
                <w:lang w:val="en-GB" w:eastAsia="en-GB"/>
              </w:rPr>
            </w:pPr>
            <w:r w:rsidRPr="00696EE1">
              <w:rPr>
                <w:rFonts w:ascii="Times New Roman" w:eastAsia="Calibri" w:hAnsi="Times New Roman"/>
                <w:lang w:val="en-GB" w:eastAsia="en-GB"/>
              </w:rPr>
              <w:t>The CBI is a 19-item</w:t>
            </w:r>
            <w:r w:rsidRPr="00696EE1">
              <w:rPr>
                <w:rFonts w:ascii="Times New Roman" w:eastAsia="Calibri" w:hAnsi="Times New Roman"/>
                <w:color w:val="000000"/>
                <w:lang w:val="en-GB" w:eastAsia="en-GB"/>
              </w:rPr>
              <w:t xml:space="preserve"> self-report</w:t>
            </w:r>
            <w:r w:rsidRPr="00696EE1">
              <w:rPr>
                <w:rFonts w:ascii="Times New Roman" w:eastAsia="Calibri" w:hAnsi="Times New Roman"/>
                <w:lang w:val="en-GB" w:eastAsia="en-GB"/>
              </w:rPr>
              <w:t xml:space="preserve"> tool that produces</w:t>
            </w:r>
            <w:r w:rsidRPr="00696EE1">
              <w:rPr>
                <w:rFonts w:ascii="Times New Roman" w:eastAsia="Calibri" w:hAnsi="Times New Roman"/>
                <w:shd w:val="clear" w:color="auto" w:fill="FFFFFF"/>
                <w:lang w:val="en-GB" w:eastAsia="en-GB"/>
              </w:rPr>
              <w:t xml:space="preserve"> 3 scales measuring personal burnout, work-related burnout, and client-related burnout. It is designed for use with employees in any sector. A prospective study of burnout in human service workers sector found that all 3 scales had high internal reliability </w:t>
            </w:r>
            <w:r w:rsidRPr="00696EE1">
              <w:rPr>
                <w:rFonts w:ascii="Times New Roman" w:eastAsia="Calibri" w:hAnsi="Times New Roman"/>
                <w:lang w:val="en-GB" w:eastAsia="en-GB"/>
              </w:rPr>
              <w:t>α =.87 for both personal and work-related burnout; α = 0.85 for client-related burnout) (</w:t>
            </w:r>
            <w:r w:rsidRPr="00696EE1">
              <w:rPr>
                <w:rFonts w:ascii="Times New Roman" w:eastAsia="Calibri" w:hAnsi="Times New Roman"/>
                <w:shd w:val="clear" w:color="auto" w:fill="FFFFFF"/>
                <w:lang w:val="en-GB" w:eastAsia="en-GB"/>
              </w:rPr>
              <w:t>Borritz et al., 2006).</w:t>
            </w:r>
          </w:p>
          <w:p w14:paraId="5FA5C3E2" w14:textId="77777777" w:rsidR="00696EE1" w:rsidRPr="00696EE1" w:rsidRDefault="00696EE1" w:rsidP="008D23CC">
            <w:pPr>
              <w:rPr>
                <w:rFonts w:ascii="Times New Roman" w:eastAsia="Calibri" w:hAnsi="Times New Roman"/>
                <w:lang w:val="en-GB" w:eastAsia="en-GB"/>
              </w:rPr>
            </w:pPr>
          </w:p>
        </w:tc>
        <w:tc>
          <w:tcPr>
            <w:tcW w:w="1847" w:type="dxa"/>
            <w:tcBorders>
              <w:top w:val="nil"/>
              <w:left w:val="nil"/>
              <w:bottom w:val="nil"/>
              <w:right w:val="nil"/>
            </w:tcBorders>
            <w:hideMark/>
          </w:tcPr>
          <w:p w14:paraId="7558AD95"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3</w:t>
            </w:r>
          </w:p>
        </w:tc>
      </w:tr>
      <w:tr w:rsidR="00696EE1" w:rsidRPr="00696EE1" w14:paraId="65009026" w14:textId="77777777" w:rsidTr="008D23CC">
        <w:trPr>
          <w:trHeight w:val="290"/>
        </w:trPr>
        <w:tc>
          <w:tcPr>
            <w:tcW w:w="2547" w:type="dxa"/>
            <w:tcBorders>
              <w:top w:val="nil"/>
              <w:left w:val="nil"/>
              <w:bottom w:val="nil"/>
              <w:right w:val="nil"/>
            </w:tcBorders>
            <w:noWrap/>
          </w:tcPr>
          <w:p w14:paraId="6332E273"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lang w:val="en-GB" w:eastAsia="en-GB"/>
              </w:rPr>
              <w:lastRenderedPageBreak/>
              <w:t>The Oldenburg Burnout Inventory (OLBI) (Demerouti &amp; Nachreiner, 1998).</w:t>
            </w:r>
          </w:p>
          <w:p w14:paraId="3226511C" w14:textId="77777777" w:rsidR="00696EE1" w:rsidRPr="00696EE1" w:rsidRDefault="00696EE1" w:rsidP="008D23CC">
            <w:pPr>
              <w:rPr>
                <w:rFonts w:ascii="Times New Roman" w:eastAsia="Calibri" w:hAnsi="Times New Roman"/>
                <w:lang w:val="en-GB" w:eastAsia="en-GB"/>
              </w:rPr>
            </w:pPr>
          </w:p>
          <w:p w14:paraId="03027844" w14:textId="77777777" w:rsidR="00696EE1" w:rsidRPr="00696EE1" w:rsidRDefault="00696EE1" w:rsidP="008D23CC">
            <w:pPr>
              <w:rPr>
                <w:rFonts w:ascii="Times New Roman" w:eastAsia="Calibri" w:hAnsi="Times New Roman"/>
                <w:lang w:val="en-GB" w:eastAsia="en-GB"/>
              </w:rPr>
            </w:pPr>
          </w:p>
          <w:p w14:paraId="10CC7B0F" w14:textId="77777777" w:rsidR="00696EE1" w:rsidRPr="00696EE1" w:rsidRDefault="00696EE1" w:rsidP="008D23CC">
            <w:pPr>
              <w:rPr>
                <w:rFonts w:ascii="Times New Roman" w:eastAsia="Calibri" w:hAnsi="Times New Roman"/>
                <w:lang w:val="en-GB" w:eastAsia="en-GB"/>
              </w:rPr>
            </w:pPr>
          </w:p>
        </w:tc>
        <w:tc>
          <w:tcPr>
            <w:tcW w:w="10348" w:type="dxa"/>
            <w:tcBorders>
              <w:top w:val="nil"/>
              <w:left w:val="nil"/>
              <w:bottom w:val="nil"/>
              <w:right w:val="nil"/>
            </w:tcBorders>
          </w:tcPr>
          <w:p w14:paraId="0F99A454"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lang w:val="en-GB" w:eastAsia="en-GB"/>
              </w:rPr>
              <w:t xml:space="preserve">The OLBI is a </w:t>
            </w:r>
            <w:r w:rsidRPr="00696EE1">
              <w:rPr>
                <w:rFonts w:ascii="Times New Roman" w:eastAsia="Calibri" w:hAnsi="Times New Roman"/>
                <w:color w:val="000000"/>
                <w:lang w:val="en-GB" w:eastAsia="en-GB"/>
              </w:rPr>
              <w:t xml:space="preserve">self-report measure </w:t>
            </w:r>
            <w:r w:rsidRPr="00696EE1">
              <w:rPr>
                <w:rFonts w:ascii="Times New Roman" w:eastAsia="Calibri" w:hAnsi="Times New Roman"/>
                <w:lang w:val="en-GB" w:eastAsia="en-GB"/>
              </w:rPr>
              <w:t xml:space="preserve">consisting of 16 positively and negatively formulated items that are used to evaluate 2 dimensions of burnout: the identification continuum (ranging from disengagement to dedication) and the energy continuum (ranging from exhaustion to vigour). Studies have demonstrated the convergent validity of the OLBI and the </w:t>
            </w:r>
            <w:r w:rsidRPr="00696EE1">
              <w:rPr>
                <w:rFonts w:ascii="Times New Roman" w:eastAsia="Calibri" w:hAnsi="Times New Roman"/>
                <w:color w:val="000000"/>
                <w:lang w:val="en-GB" w:eastAsia="en-GB"/>
              </w:rPr>
              <w:t xml:space="preserve">MBI-General Survey </w:t>
            </w:r>
            <w:r w:rsidRPr="00696EE1">
              <w:rPr>
                <w:rFonts w:ascii="Times New Roman" w:eastAsia="Calibri" w:hAnsi="Times New Roman"/>
                <w:lang w:val="en-GB" w:eastAsia="en-GB"/>
              </w:rPr>
              <w:t xml:space="preserve">(Demerouti et al., 2003; Halbesleben &amp; Demerouti, 2005). The reliability of the exhaustion subscale ranges from α = .74 to α = .85, and the reliability of the disengagement subscale from .73 to .85 (Demerouti &amp; Bakker, 2008; Demerouti et al., 2003; Halbesleben &amp; Demerouti, 2005, Halbesleben, 2010; Sonnentag, </w:t>
            </w:r>
            <w:proofErr w:type="spellStart"/>
            <w:r w:rsidRPr="00696EE1">
              <w:rPr>
                <w:rFonts w:ascii="Times New Roman" w:eastAsia="Calibri" w:hAnsi="Times New Roman"/>
                <w:lang w:val="en-GB" w:eastAsia="en-GB"/>
              </w:rPr>
              <w:t>Binnewies</w:t>
            </w:r>
            <w:proofErr w:type="spellEnd"/>
            <w:r w:rsidRPr="00696EE1">
              <w:rPr>
                <w:rFonts w:ascii="Times New Roman" w:eastAsia="Calibri" w:hAnsi="Times New Roman"/>
                <w:lang w:val="en-GB" w:eastAsia="en-GB"/>
              </w:rPr>
              <w:t xml:space="preserve"> &amp; </w:t>
            </w:r>
            <w:proofErr w:type="spellStart"/>
            <w:r w:rsidRPr="00696EE1">
              <w:rPr>
                <w:rFonts w:ascii="Times New Roman" w:eastAsia="Calibri" w:hAnsi="Times New Roman"/>
                <w:lang w:val="en-GB" w:eastAsia="en-GB"/>
              </w:rPr>
              <w:t>Mojza</w:t>
            </w:r>
            <w:proofErr w:type="spellEnd"/>
            <w:r w:rsidRPr="00696EE1">
              <w:rPr>
                <w:rFonts w:ascii="Times New Roman" w:eastAsia="Calibri" w:hAnsi="Times New Roman"/>
                <w:lang w:val="en-GB" w:eastAsia="en-GB"/>
              </w:rPr>
              <w:t>, 2010; Timms et al., 2012).</w:t>
            </w:r>
          </w:p>
          <w:p w14:paraId="1441E5A3" w14:textId="77777777" w:rsidR="00696EE1" w:rsidRPr="00696EE1" w:rsidRDefault="00696EE1" w:rsidP="008D23CC">
            <w:pPr>
              <w:rPr>
                <w:rFonts w:ascii="Times New Roman" w:eastAsia="Calibri" w:hAnsi="Times New Roman"/>
                <w:lang w:val="en-GB" w:eastAsia="en-GB"/>
              </w:rPr>
            </w:pPr>
          </w:p>
        </w:tc>
        <w:tc>
          <w:tcPr>
            <w:tcW w:w="1847" w:type="dxa"/>
            <w:tcBorders>
              <w:top w:val="nil"/>
              <w:left w:val="nil"/>
              <w:bottom w:val="nil"/>
              <w:right w:val="nil"/>
            </w:tcBorders>
            <w:hideMark/>
          </w:tcPr>
          <w:p w14:paraId="3F135DC1"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2</w:t>
            </w:r>
          </w:p>
        </w:tc>
      </w:tr>
      <w:tr w:rsidR="00696EE1" w:rsidRPr="00696EE1" w14:paraId="6C17AB65" w14:textId="77777777" w:rsidTr="008D23CC">
        <w:trPr>
          <w:trHeight w:val="290"/>
        </w:trPr>
        <w:tc>
          <w:tcPr>
            <w:tcW w:w="2547" w:type="dxa"/>
            <w:tcBorders>
              <w:top w:val="nil"/>
              <w:left w:val="nil"/>
              <w:bottom w:val="nil"/>
              <w:right w:val="nil"/>
            </w:tcBorders>
            <w:noWrap/>
            <w:hideMark/>
          </w:tcPr>
          <w:p w14:paraId="61A6F63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Silencing Response Scale (SRS) (</w:t>
            </w:r>
            <w:proofErr w:type="spellStart"/>
            <w:r w:rsidRPr="00696EE1">
              <w:rPr>
                <w:rFonts w:ascii="Times New Roman" w:eastAsia="Calibri" w:hAnsi="Times New Roman"/>
                <w:color w:val="000000"/>
                <w:lang w:val="en-GB" w:eastAsia="en-GB"/>
              </w:rPr>
              <w:t>Baranowsky</w:t>
            </w:r>
            <w:proofErr w:type="spellEnd"/>
            <w:r w:rsidRPr="00696EE1">
              <w:rPr>
                <w:rFonts w:ascii="Times New Roman" w:eastAsia="Calibri" w:hAnsi="Times New Roman"/>
                <w:color w:val="000000"/>
                <w:lang w:val="en-GB" w:eastAsia="en-GB"/>
              </w:rPr>
              <w:t>, 2002).</w:t>
            </w:r>
          </w:p>
        </w:tc>
        <w:tc>
          <w:tcPr>
            <w:tcW w:w="10348" w:type="dxa"/>
            <w:tcBorders>
              <w:top w:val="nil"/>
              <w:left w:val="nil"/>
              <w:bottom w:val="nil"/>
              <w:right w:val="nil"/>
            </w:tcBorders>
          </w:tcPr>
          <w:p w14:paraId="5D418CB3"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lang w:val="en-GB" w:eastAsia="en-GB"/>
              </w:rPr>
              <w:t xml:space="preserve">The SRS is a 15-item scale that helps </w:t>
            </w:r>
            <w:proofErr w:type="gramStart"/>
            <w:r w:rsidRPr="00696EE1">
              <w:rPr>
                <w:rFonts w:ascii="Times New Roman" w:eastAsia="Calibri" w:hAnsi="Times New Roman"/>
                <w:lang w:val="en-GB" w:eastAsia="en-GB"/>
              </w:rPr>
              <w:t>care-givers</w:t>
            </w:r>
            <w:proofErr w:type="gramEnd"/>
            <w:r w:rsidRPr="00696EE1">
              <w:rPr>
                <w:rFonts w:ascii="Times New Roman" w:eastAsia="Calibri" w:hAnsi="Times New Roman"/>
                <w:lang w:val="en-GB" w:eastAsia="en-GB"/>
              </w:rPr>
              <w:t xml:space="preserve"> identify specific communication difficulties in their trauma work with clients i.e. </w:t>
            </w:r>
            <w:r w:rsidRPr="00696EE1">
              <w:rPr>
                <w:rFonts w:ascii="Times New Roman" w:eastAsia="Calibri" w:hAnsi="Times New Roman"/>
                <w:color w:val="000000"/>
                <w:lang w:val="en-GB" w:eastAsia="en-GB"/>
              </w:rPr>
              <w:t>selective listening and active avoidance. It has been shown to have good reliability, α = .85 (</w:t>
            </w:r>
            <w:proofErr w:type="spellStart"/>
            <w:r w:rsidRPr="00696EE1">
              <w:rPr>
                <w:rFonts w:ascii="Times New Roman" w:eastAsia="Calibri" w:hAnsi="Times New Roman"/>
                <w:color w:val="000000"/>
                <w:lang w:val="en-GB" w:eastAsia="en-GB"/>
              </w:rPr>
              <w:t>Ortlepp</w:t>
            </w:r>
            <w:proofErr w:type="spellEnd"/>
            <w:r w:rsidRPr="00696EE1">
              <w:rPr>
                <w:rFonts w:ascii="Times New Roman" w:eastAsia="Calibri" w:hAnsi="Times New Roman"/>
                <w:color w:val="000000"/>
                <w:lang w:val="en-GB" w:eastAsia="en-GB"/>
              </w:rPr>
              <w:t xml:space="preserve"> &amp; Friedman, 2001).</w:t>
            </w:r>
          </w:p>
          <w:p w14:paraId="36BFA99C" w14:textId="77777777" w:rsidR="00696EE1" w:rsidRPr="00696EE1" w:rsidRDefault="00696EE1" w:rsidP="008D23CC">
            <w:pPr>
              <w:rPr>
                <w:rFonts w:ascii="Times New Roman" w:eastAsia="Calibri" w:hAnsi="Times New Roman"/>
                <w:color w:val="000000"/>
                <w:lang w:val="en-GB" w:eastAsia="en-GB"/>
              </w:rPr>
            </w:pPr>
          </w:p>
        </w:tc>
        <w:tc>
          <w:tcPr>
            <w:tcW w:w="1847" w:type="dxa"/>
            <w:tcBorders>
              <w:top w:val="nil"/>
              <w:left w:val="nil"/>
              <w:bottom w:val="nil"/>
              <w:right w:val="nil"/>
            </w:tcBorders>
            <w:hideMark/>
          </w:tcPr>
          <w:p w14:paraId="71DAA5CD"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223317F5" w14:textId="77777777" w:rsidTr="008D23CC">
        <w:trPr>
          <w:trHeight w:val="290"/>
        </w:trPr>
        <w:tc>
          <w:tcPr>
            <w:tcW w:w="2547" w:type="dxa"/>
            <w:tcBorders>
              <w:top w:val="nil"/>
              <w:left w:val="nil"/>
              <w:bottom w:val="nil"/>
              <w:right w:val="nil"/>
            </w:tcBorders>
            <w:noWrap/>
            <w:hideMark/>
          </w:tcPr>
          <w:p w14:paraId="631740B1" w14:textId="781658C1"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Trauma Recovery Scale </w:t>
            </w:r>
            <w:r w:rsidR="00B71EC9">
              <w:t>[Unpublished]</w:t>
            </w:r>
            <w:r w:rsidRPr="00696EE1">
              <w:rPr>
                <w:rFonts w:ascii="Times New Roman" w:eastAsia="Calibri" w:hAnsi="Times New Roman"/>
                <w:color w:val="000000"/>
                <w:lang w:val="en-GB" w:eastAsia="en-GB"/>
              </w:rPr>
              <w:t xml:space="preserve"> </w:t>
            </w:r>
          </w:p>
        </w:tc>
        <w:tc>
          <w:tcPr>
            <w:tcW w:w="10348" w:type="dxa"/>
            <w:tcBorders>
              <w:top w:val="nil"/>
              <w:left w:val="nil"/>
              <w:bottom w:val="nil"/>
              <w:right w:val="nil"/>
            </w:tcBorders>
          </w:tcPr>
          <w:p w14:paraId="0E19C203" w14:textId="26205CBC"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lang w:val="en-GB" w:eastAsia="en-GB"/>
              </w:rPr>
              <w:t>The TRS is a 10-item self-report scale. Parts I &amp; II provide a traumatic experiences inventory. Part III measures relative recovery from traumatic experiences. It is found to have good internal reliability (</w:t>
            </w:r>
            <w:r w:rsidRPr="00696EE1">
              <w:rPr>
                <w:rFonts w:ascii="Times New Roman" w:eastAsia="Calibri" w:hAnsi="Times New Roman"/>
                <w:i/>
                <w:iCs/>
                <w:lang w:val="en-GB" w:eastAsia="en-GB"/>
              </w:rPr>
              <w:t xml:space="preserve">a </w:t>
            </w:r>
            <w:r w:rsidRPr="00696EE1">
              <w:rPr>
                <w:rFonts w:ascii="Times New Roman" w:eastAsia="Calibri" w:hAnsi="Times New Roman"/>
                <w:lang w:val="en-GB" w:eastAsia="en-GB"/>
              </w:rPr>
              <w:t xml:space="preserve">= .86) and good convergent validity with the impact of events scale (.71). (Gentry, </w:t>
            </w:r>
            <w:r w:rsidR="00B71EC9">
              <w:t>[Unpublished])</w:t>
            </w:r>
          </w:p>
          <w:p w14:paraId="0D349C4C" w14:textId="77777777" w:rsidR="00696EE1" w:rsidRPr="00696EE1" w:rsidRDefault="00696EE1" w:rsidP="008D23CC">
            <w:pPr>
              <w:rPr>
                <w:rFonts w:ascii="Times New Roman" w:eastAsia="Calibri" w:hAnsi="Times New Roman"/>
                <w:b/>
                <w:bCs/>
                <w:color w:val="000000"/>
                <w:lang w:val="en-GB" w:eastAsia="en-GB"/>
              </w:rPr>
            </w:pPr>
          </w:p>
        </w:tc>
        <w:tc>
          <w:tcPr>
            <w:tcW w:w="1847" w:type="dxa"/>
            <w:tcBorders>
              <w:top w:val="nil"/>
              <w:left w:val="nil"/>
              <w:bottom w:val="nil"/>
              <w:right w:val="nil"/>
            </w:tcBorders>
            <w:hideMark/>
          </w:tcPr>
          <w:p w14:paraId="365CD3B8"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7E51B7B2" w14:textId="77777777" w:rsidTr="008D23CC">
        <w:trPr>
          <w:trHeight w:val="290"/>
        </w:trPr>
        <w:tc>
          <w:tcPr>
            <w:tcW w:w="2547" w:type="dxa"/>
            <w:tcBorders>
              <w:top w:val="nil"/>
              <w:left w:val="nil"/>
              <w:bottom w:val="nil"/>
              <w:right w:val="nil"/>
            </w:tcBorders>
            <w:noWrap/>
          </w:tcPr>
          <w:p w14:paraId="1D2ACAE0"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Secondary Traumatic Stress Scale (STSS) Bride et al., 2004).</w:t>
            </w:r>
          </w:p>
          <w:p w14:paraId="0DB5C80C" w14:textId="77777777" w:rsidR="00696EE1" w:rsidRPr="00696EE1" w:rsidRDefault="00696EE1" w:rsidP="008D23CC">
            <w:pPr>
              <w:rPr>
                <w:rFonts w:ascii="Times New Roman" w:eastAsia="Calibri" w:hAnsi="Times New Roman"/>
                <w:color w:val="000000"/>
                <w:lang w:val="en-GB" w:eastAsia="en-GB"/>
              </w:rPr>
            </w:pPr>
          </w:p>
          <w:p w14:paraId="11C83194" w14:textId="77777777" w:rsidR="00696EE1" w:rsidRPr="00696EE1" w:rsidRDefault="00696EE1" w:rsidP="008D23CC">
            <w:pPr>
              <w:rPr>
                <w:rFonts w:ascii="Times New Roman" w:eastAsia="Calibri" w:hAnsi="Times New Roman"/>
                <w:color w:val="000000"/>
                <w:lang w:val="en-GB" w:eastAsia="en-GB"/>
              </w:rPr>
            </w:pPr>
          </w:p>
          <w:p w14:paraId="4822BD9A"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tcPr>
          <w:p w14:paraId="77D097A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STSS is a 17-item self-report measure of secondary trauma in </w:t>
            </w:r>
            <w:proofErr w:type="gramStart"/>
            <w:r w:rsidRPr="00696EE1">
              <w:rPr>
                <w:rFonts w:ascii="Times New Roman" w:eastAsia="Calibri" w:hAnsi="Times New Roman"/>
                <w:color w:val="000000"/>
                <w:lang w:val="en-GB" w:eastAsia="en-GB"/>
              </w:rPr>
              <w:t>practitioners  who</w:t>
            </w:r>
            <w:proofErr w:type="gramEnd"/>
            <w:r w:rsidRPr="00696EE1">
              <w:rPr>
                <w:rFonts w:ascii="Times New Roman" w:eastAsia="Calibri" w:hAnsi="Times New Roman"/>
                <w:color w:val="000000"/>
                <w:lang w:val="en-GB" w:eastAsia="en-GB"/>
              </w:rPr>
              <w:t xml:space="preserve">  have  experienced traumatic stress through their work with clients. It comprises 3 </w:t>
            </w:r>
            <w:proofErr w:type="gramStart"/>
            <w:r w:rsidRPr="00696EE1">
              <w:rPr>
                <w:rFonts w:ascii="Times New Roman" w:eastAsia="Calibri" w:hAnsi="Times New Roman"/>
                <w:color w:val="000000"/>
                <w:lang w:val="en-GB" w:eastAsia="en-GB"/>
              </w:rPr>
              <w:t>subscales;</w:t>
            </w:r>
            <w:proofErr w:type="gramEnd"/>
            <w:r w:rsidRPr="00696EE1">
              <w:rPr>
                <w:rFonts w:ascii="Times New Roman" w:eastAsia="Calibri" w:hAnsi="Times New Roman"/>
                <w:color w:val="000000"/>
                <w:lang w:val="en-GB" w:eastAsia="en-GB"/>
              </w:rPr>
              <w:t xml:space="preserve"> Intrusion, Avoidance, and Arousal.  It was found to have good internal consistency, ranging from α = .93- 94 for the total </w:t>
            </w:r>
            <w:proofErr w:type="gramStart"/>
            <w:r w:rsidRPr="00696EE1">
              <w:rPr>
                <w:rFonts w:ascii="Times New Roman" w:eastAsia="Calibri" w:hAnsi="Times New Roman"/>
                <w:color w:val="000000"/>
                <w:lang w:val="en-GB" w:eastAsia="en-GB"/>
              </w:rPr>
              <w:t>STSS  scale</w:t>
            </w:r>
            <w:proofErr w:type="gramEnd"/>
            <w:r w:rsidRPr="00696EE1">
              <w:rPr>
                <w:rFonts w:ascii="Times New Roman" w:eastAsia="Calibri" w:hAnsi="Times New Roman"/>
                <w:color w:val="000000"/>
                <w:lang w:val="en-GB" w:eastAsia="en-GB"/>
              </w:rPr>
              <w:t xml:space="preserve">;   α = .79-80  for  the  Intrusion  subscale,  α = .85- 87  for  the  Avoidance subscale, and α =  .83-87 for the Arousal subscale (Bride et al., 2004; Ting et al., 2005).  </w:t>
            </w:r>
          </w:p>
          <w:p w14:paraId="1857ED24" w14:textId="77777777" w:rsidR="00696EE1" w:rsidRPr="00696EE1" w:rsidRDefault="00696EE1" w:rsidP="008D23CC">
            <w:pPr>
              <w:rPr>
                <w:rFonts w:ascii="Times New Roman" w:eastAsia="Calibri" w:hAnsi="Times New Roman"/>
                <w:color w:val="000000"/>
                <w:lang w:val="en-GB" w:eastAsia="en-GB"/>
              </w:rPr>
            </w:pPr>
          </w:p>
        </w:tc>
        <w:tc>
          <w:tcPr>
            <w:tcW w:w="1847" w:type="dxa"/>
            <w:tcBorders>
              <w:top w:val="nil"/>
              <w:left w:val="nil"/>
              <w:bottom w:val="nil"/>
              <w:right w:val="nil"/>
            </w:tcBorders>
            <w:hideMark/>
          </w:tcPr>
          <w:p w14:paraId="00314C88"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4830F073" w14:textId="77777777" w:rsidTr="008D23CC">
        <w:trPr>
          <w:trHeight w:val="290"/>
        </w:trPr>
        <w:tc>
          <w:tcPr>
            <w:tcW w:w="2547" w:type="dxa"/>
            <w:tcBorders>
              <w:top w:val="nil"/>
              <w:left w:val="nil"/>
              <w:bottom w:val="nil"/>
              <w:right w:val="nil"/>
            </w:tcBorders>
            <w:noWrap/>
          </w:tcPr>
          <w:p w14:paraId="20013402"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The Impact of Events Scale (IES) (Horowitz et al., 1979).</w:t>
            </w:r>
          </w:p>
          <w:p w14:paraId="6934FAD4" w14:textId="77777777" w:rsidR="00696EE1" w:rsidRPr="00696EE1" w:rsidRDefault="00696EE1" w:rsidP="008D23CC">
            <w:pPr>
              <w:rPr>
                <w:rFonts w:ascii="Times New Roman" w:eastAsia="Calibri" w:hAnsi="Times New Roman"/>
                <w:color w:val="000000"/>
                <w:lang w:val="en-GB" w:eastAsia="en-GB"/>
              </w:rPr>
            </w:pPr>
          </w:p>
          <w:p w14:paraId="30878982" w14:textId="77777777" w:rsidR="00696EE1" w:rsidRPr="00696EE1" w:rsidRDefault="00696EE1" w:rsidP="008D23CC">
            <w:pPr>
              <w:rPr>
                <w:rFonts w:ascii="Times New Roman" w:eastAsia="Calibri" w:hAnsi="Times New Roman"/>
                <w:color w:val="000000"/>
                <w:lang w:val="en-GB" w:eastAsia="en-GB"/>
              </w:rPr>
            </w:pPr>
          </w:p>
          <w:p w14:paraId="5AB308AE" w14:textId="77777777" w:rsidR="00696EE1" w:rsidRPr="00696EE1" w:rsidRDefault="00696EE1" w:rsidP="008D23CC">
            <w:pPr>
              <w:rPr>
                <w:rFonts w:ascii="Times New Roman" w:eastAsia="Calibri" w:hAnsi="Times New Roman"/>
                <w:color w:val="000000"/>
                <w:lang w:val="en-GB" w:eastAsia="en-GB"/>
              </w:rPr>
            </w:pPr>
          </w:p>
          <w:p w14:paraId="2160EDDA"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tcPr>
          <w:p w14:paraId="1E919A97"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The IES is a 15-item self-report measure of current subjective distress for any specific life event. It measures distress along two subscales: Intrusive and Avoidance symptoms. The IES has shown very good internal consistency (</w:t>
            </w:r>
            <w:r w:rsidRPr="00696EE1">
              <w:rPr>
                <w:rFonts w:ascii="Times New Roman" w:eastAsia="Calibri" w:hAnsi="Times New Roman"/>
                <w:i/>
                <w:iCs/>
                <w:color w:val="000000"/>
                <w:lang w:val="en-GB" w:eastAsia="en-GB"/>
              </w:rPr>
              <w:t>r</w:t>
            </w:r>
            <w:r w:rsidRPr="00696EE1">
              <w:rPr>
                <w:rFonts w:ascii="Times New Roman" w:eastAsia="Calibri" w:hAnsi="Times New Roman"/>
                <w:i/>
                <w:iCs/>
                <w:color w:val="000000"/>
                <w:vertAlign w:val="subscript"/>
                <w:lang w:val="en-GB" w:eastAsia="en-GB"/>
              </w:rPr>
              <w:t xml:space="preserve"> = </w:t>
            </w:r>
            <w:r w:rsidRPr="00696EE1">
              <w:rPr>
                <w:rFonts w:ascii="Times New Roman" w:eastAsia="Calibri" w:hAnsi="Times New Roman"/>
                <w:color w:val="000000"/>
                <w:lang w:val="en-GB" w:eastAsia="en-GB"/>
              </w:rPr>
              <w:t>.79 to .92, with an average of .86 for the intrusive subscale and .90 for the avoidance subscale) (Corcoran and Fischer, 1994). The split-half reliability of the IES scale was high (</w:t>
            </w:r>
            <w:r w:rsidRPr="00696EE1">
              <w:rPr>
                <w:rFonts w:ascii="Times New Roman" w:eastAsia="Calibri" w:hAnsi="Times New Roman"/>
                <w:i/>
                <w:iCs/>
                <w:color w:val="000000"/>
                <w:lang w:val="en-GB" w:eastAsia="en-GB"/>
              </w:rPr>
              <w:t>r</w:t>
            </w:r>
            <w:r w:rsidRPr="00696EE1">
              <w:rPr>
                <w:rFonts w:ascii="Times New Roman" w:eastAsia="Calibri" w:hAnsi="Times New Roman"/>
                <w:color w:val="000000"/>
                <w:lang w:val="en-GB" w:eastAsia="en-GB"/>
              </w:rPr>
              <w:t xml:space="preserve"> =.86) and internal consistency of the subscales was also high: α =.78 for intrusion and α =.82 for avoidance. Test-retest reliability was high: </w:t>
            </w:r>
            <w:r w:rsidRPr="00696EE1">
              <w:rPr>
                <w:rFonts w:ascii="Times New Roman" w:eastAsia="Calibri" w:hAnsi="Times New Roman"/>
                <w:i/>
                <w:iCs/>
                <w:color w:val="000000"/>
                <w:lang w:val="en-GB" w:eastAsia="en-GB"/>
              </w:rPr>
              <w:t>r=</w:t>
            </w:r>
            <w:r w:rsidRPr="00696EE1">
              <w:rPr>
                <w:rFonts w:ascii="Times New Roman" w:eastAsia="Calibri" w:hAnsi="Times New Roman"/>
                <w:color w:val="000000"/>
                <w:lang w:val="en-GB" w:eastAsia="en-GB"/>
              </w:rPr>
              <w:t xml:space="preserve"> .87 for the total stress scores; .89 for the intrusion subscale; and .79 for the avoidance subscale (Horowitz et al., 1979). </w:t>
            </w:r>
          </w:p>
          <w:p w14:paraId="52E456E4" w14:textId="77777777" w:rsidR="00696EE1" w:rsidRPr="00696EE1" w:rsidRDefault="00696EE1" w:rsidP="008D23CC">
            <w:pPr>
              <w:rPr>
                <w:rFonts w:ascii="Times New Roman" w:eastAsia="Calibri" w:hAnsi="Times New Roman"/>
                <w:color w:val="000000"/>
                <w:lang w:val="en-GB" w:eastAsia="en-GB"/>
              </w:rPr>
            </w:pPr>
          </w:p>
        </w:tc>
        <w:tc>
          <w:tcPr>
            <w:tcW w:w="1847" w:type="dxa"/>
            <w:tcBorders>
              <w:top w:val="nil"/>
              <w:left w:val="nil"/>
              <w:bottom w:val="nil"/>
              <w:right w:val="nil"/>
            </w:tcBorders>
            <w:hideMark/>
          </w:tcPr>
          <w:p w14:paraId="1CE63FF9"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lastRenderedPageBreak/>
              <w:t>1</w:t>
            </w:r>
          </w:p>
        </w:tc>
      </w:tr>
      <w:tr w:rsidR="00696EE1" w:rsidRPr="00696EE1" w14:paraId="4455D8AE" w14:textId="77777777" w:rsidTr="008D23CC">
        <w:trPr>
          <w:trHeight w:val="290"/>
        </w:trPr>
        <w:tc>
          <w:tcPr>
            <w:tcW w:w="2547" w:type="dxa"/>
            <w:tcBorders>
              <w:top w:val="nil"/>
              <w:left w:val="nil"/>
              <w:bottom w:val="nil"/>
              <w:right w:val="nil"/>
            </w:tcBorders>
            <w:noWrap/>
            <w:hideMark/>
          </w:tcPr>
          <w:p w14:paraId="18854013"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questionnaire on the perception of occupational burnout (Penko, 1994). </w:t>
            </w:r>
          </w:p>
        </w:tc>
        <w:tc>
          <w:tcPr>
            <w:tcW w:w="10348" w:type="dxa"/>
            <w:tcBorders>
              <w:top w:val="nil"/>
              <w:left w:val="nil"/>
              <w:bottom w:val="nil"/>
              <w:right w:val="nil"/>
            </w:tcBorders>
            <w:hideMark/>
          </w:tcPr>
          <w:p w14:paraId="4AF7D9A4"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According to the information in Kovač et al (2016), this questionnaire consists of 3 dimensions of occupational burnout: less fulfilment, emotional </w:t>
            </w:r>
            <w:proofErr w:type="gramStart"/>
            <w:r w:rsidRPr="00696EE1">
              <w:rPr>
                <w:rFonts w:ascii="Times New Roman" w:eastAsia="Calibri" w:hAnsi="Times New Roman"/>
                <w:color w:val="000000"/>
                <w:lang w:val="en-GB" w:eastAsia="en-GB"/>
              </w:rPr>
              <w:t>exhaustion</w:t>
            </w:r>
            <w:proofErr w:type="gramEnd"/>
            <w:r w:rsidRPr="00696EE1">
              <w:rPr>
                <w:rFonts w:ascii="Times New Roman" w:eastAsia="Calibri" w:hAnsi="Times New Roman"/>
                <w:color w:val="000000"/>
                <w:lang w:val="en-GB" w:eastAsia="en-GB"/>
              </w:rPr>
              <w:t xml:space="preserve"> and depersonalization. No further information was accessible in English regarding this scale.</w:t>
            </w:r>
          </w:p>
        </w:tc>
        <w:tc>
          <w:tcPr>
            <w:tcW w:w="1847" w:type="dxa"/>
            <w:tcBorders>
              <w:top w:val="nil"/>
              <w:left w:val="nil"/>
              <w:bottom w:val="nil"/>
              <w:right w:val="nil"/>
            </w:tcBorders>
          </w:tcPr>
          <w:p w14:paraId="21654006" w14:textId="77777777" w:rsidR="00696EE1" w:rsidRPr="00696EE1" w:rsidRDefault="00696EE1" w:rsidP="008D23CC">
            <w:pPr>
              <w:rPr>
                <w:rFonts w:ascii="Times New Roman" w:eastAsia="Calibri" w:hAnsi="Times New Roman"/>
                <w:color w:val="000000"/>
                <w:lang w:val="en-GB" w:eastAsia="en-GB"/>
              </w:rPr>
            </w:pPr>
          </w:p>
        </w:tc>
      </w:tr>
      <w:tr w:rsidR="00696EE1" w:rsidRPr="00696EE1" w14:paraId="3B8E7189" w14:textId="77777777" w:rsidTr="008D23CC">
        <w:trPr>
          <w:trHeight w:val="290"/>
        </w:trPr>
        <w:tc>
          <w:tcPr>
            <w:tcW w:w="2547" w:type="dxa"/>
            <w:tcBorders>
              <w:top w:val="nil"/>
              <w:left w:val="nil"/>
              <w:bottom w:val="nil"/>
              <w:right w:val="nil"/>
            </w:tcBorders>
            <w:noWrap/>
          </w:tcPr>
          <w:p w14:paraId="2C667563" w14:textId="77777777" w:rsidR="00696EE1" w:rsidRPr="00696EE1" w:rsidRDefault="00696EE1" w:rsidP="008D23CC">
            <w:pPr>
              <w:rPr>
                <w:rFonts w:ascii="Times New Roman" w:eastAsia="Calibri" w:hAnsi="Times New Roman"/>
                <w:color w:val="000000"/>
                <w:lang w:val="en-GB" w:eastAsia="en-GB"/>
              </w:rPr>
            </w:pPr>
          </w:p>
          <w:p w14:paraId="71B21933"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Professional Quality of Life Scale version 5 (ProQOL-5) (Stamm, 2009).</w:t>
            </w:r>
          </w:p>
          <w:p w14:paraId="587DA93F"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hideMark/>
          </w:tcPr>
          <w:p w14:paraId="67D2A921"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ProQOL-5 is a 30 item self-report measure of the positive and negative effects of working with people who have experienced extremely stressful events. It comprises of 3 subscales measuring Compassion Fatigue, Burnout and Compassion Satisfaction. CS alpha reliabilities = .87 BO alpha reliabilities = .72 CF alpha reliabilities = .80. Early information on test-retest data </w:t>
            </w:r>
            <w:proofErr w:type="gramStart"/>
            <w:r w:rsidRPr="00696EE1">
              <w:rPr>
                <w:rFonts w:ascii="Times New Roman" w:eastAsia="Calibri" w:hAnsi="Times New Roman"/>
                <w:color w:val="000000"/>
                <w:lang w:val="en-GB" w:eastAsia="en-GB"/>
              </w:rPr>
              <w:t>show</w:t>
            </w:r>
            <w:proofErr w:type="gramEnd"/>
            <w:r w:rsidRPr="00696EE1">
              <w:rPr>
                <w:rFonts w:ascii="Times New Roman" w:eastAsia="Calibri" w:hAnsi="Times New Roman"/>
                <w:color w:val="000000"/>
                <w:lang w:val="en-GB" w:eastAsia="en-GB"/>
              </w:rPr>
              <w:t xml:space="preserve"> good reliability.</w:t>
            </w:r>
          </w:p>
        </w:tc>
        <w:tc>
          <w:tcPr>
            <w:tcW w:w="1847" w:type="dxa"/>
            <w:tcBorders>
              <w:top w:val="nil"/>
              <w:left w:val="nil"/>
              <w:bottom w:val="nil"/>
              <w:right w:val="nil"/>
            </w:tcBorders>
            <w:hideMark/>
          </w:tcPr>
          <w:p w14:paraId="17AF4FA0"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6</w:t>
            </w:r>
          </w:p>
        </w:tc>
      </w:tr>
      <w:tr w:rsidR="00696EE1" w:rsidRPr="00696EE1" w14:paraId="32AD43D2" w14:textId="77777777" w:rsidTr="008D23CC">
        <w:trPr>
          <w:trHeight w:val="290"/>
        </w:trPr>
        <w:tc>
          <w:tcPr>
            <w:tcW w:w="2547" w:type="dxa"/>
            <w:tcBorders>
              <w:top w:val="nil"/>
              <w:left w:val="nil"/>
              <w:bottom w:val="nil"/>
              <w:right w:val="nil"/>
            </w:tcBorders>
            <w:noWrap/>
            <w:hideMark/>
          </w:tcPr>
          <w:p w14:paraId="62A66863"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Swedish version of the Shirom Melamed Burnout Questionnaire (SMBQ) (Grossi et al., 2003) </w:t>
            </w:r>
          </w:p>
        </w:tc>
        <w:tc>
          <w:tcPr>
            <w:tcW w:w="10348" w:type="dxa"/>
            <w:tcBorders>
              <w:top w:val="nil"/>
              <w:left w:val="nil"/>
              <w:bottom w:val="nil"/>
              <w:right w:val="nil"/>
            </w:tcBorders>
            <w:hideMark/>
          </w:tcPr>
          <w:p w14:paraId="24FF9314"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The SMBQ (originally by Melamed et al., 1999) is a 22-item self-report burnout measure consisting of 4 subscales: Physical Fatigue; Cognitive weariness; Tension and Listlessness. The Swedish version was shown to have consistencies (α&gt;0.70) across the subscales, but a Rasch-analysis suggested omission of the Tension factor (Lundgren-Nilsson et al., 2012).</w:t>
            </w:r>
          </w:p>
        </w:tc>
        <w:tc>
          <w:tcPr>
            <w:tcW w:w="1847" w:type="dxa"/>
            <w:tcBorders>
              <w:top w:val="nil"/>
              <w:left w:val="nil"/>
              <w:bottom w:val="nil"/>
              <w:right w:val="nil"/>
            </w:tcBorders>
            <w:hideMark/>
          </w:tcPr>
          <w:p w14:paraId="7BBA3C6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7486337C" w14:textId="77777777" w:rsidTr="008D23CC">
        <w:trPr>
          <w:trHeight w:val="1763"/>
        </w:trPr>
        <w:tc>
          <w:tcPr>
            <w:tcW w:w="2547" w:type="dxa"/>
            <w:tcBorders>
              <w:top w:val="nil"/>
              <w:left w:val="nil"/>
              <w:bottom w:val="nil"/>
              <w:right w:val="nil"/>
            </w:tcBorders>
            <w:noWrap/>
          </w:tcPr>
          <w:p w14:paraId="3C0F8C82" w14:textId="77777777" w:rsidR="00696EE1" w:rsidRPr="00696EE1" w:rsidRDefault="00696EE1" w:rsidP="008D23CC">
            <w:pPr>
              <w:rPr>
                <w:rFonts w:ascii="Times New Roman" w:eastAsia="Calibri" w:hAnsi="Times New Roman"/>
                <w:color w:val="000000"/>
                <w:lang w:val="en-GB" w:eastAsia="en-GB"/>
              </w:rPr>
            </w:pPr>
          </w:p>
          <w:p w14:paraId="3B8E1A10"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Compassion </w:t>
            </w:r>
          </w:p>
          <w:p w14:paraId="558AB28D"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Satisfaction/Fatigue Self-Test (CSFST) (Figley &amp; Stamm, 1996).</w:t>
            </w:r>
          </w:p>
          <w:p w14:paraId="44F0A3CA" w14:textId="77777777" w:rsidR="00696EE1" w:rsidRPr="00696EE1" w:rsidRDefault="00696EE1" w:rsidP="008D23CC">
            <w:pPr>
              <w:rPr>
                <w:rFonts w:ascii="Times New Roman" w:eastAsia="Calibri" w:hAnsi="Times New Roman"/>
                <w:color w:val="000000"/>
                <w:lang w:val="en-GB" w:eastAsia="en-GB"/>
              </w:rPr>
            </w:pPr>
          </w:p>
        </w:tc>
        <w:tc>
          <w:tcPr>
            <w:tcW w:w="10348" w:type="dxa"/>
            <w:tcBorders>
              <w:top w:val="nil"/>
              <w:left w:val="nil"/>
              <w:bottom w:val="nil"/>
              <w:right w:val="nil"/>
            </w:tcBorders>
          </w:tcPr>
          <w:p w14:paraId="5EC84AAE" w14:textId="77777777" w:rsidR="00696EE1" w:rsidRPr="00696EE1" w:rsidRDefault="00696EE1" w:rsidP="008D23CC">
            <w:pPr>
              <w:rPr>
                <w:rFonts w:ascii="Times New Roman" w:eastAsia="Calibri" w:hAnsi="Times New Roman"/>
                <w:color w:val="000000"/>
                <w:lang w:val="en-GB" w:eastAsia="en-GB"/>
              </w:rPr>
            </w:pPr>
          </w:p>
          <w:p w14:paraId="44E5EE4C"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CSFT is a 66-item self-report measure comprised of three subscales: compassion fatigue, compassion satisfaction, and burnout. </w:t>
            </w:r>
            <w:r w:rsidRPr="00696EE1">
              <w:rPr>
                <w:rFonts w:ascii="Times New Roman" w:eastAsia="Calibri" w:hAnsi="Times New Roman"/>
                <w:lang w:val="en-GB" w:eastAsia="en-GB"/>
              </w:rPr>
              <w:t xml:space="preserve"> According to Stamm (2002), all 3 subscales have demonstrated good alpha reliability: </w:t>
            </w:r>
            <w:r w:rsidRPr="00696EE1">
              <w:rPr>
                <w:rFonts w:ascii="Times New Roman" w:eastAsia="Calibri" w:hAnsi="Times New Roman"/>
                <w:color w:val="000000"/>
                <w:lang w:val="en-GB" w:eastAsia="en-GB"/>
              </w:rPr>
              <w:t>α =.</w:t>
            </w:r>
            <w:r w:rsidRPr="00696EE1">
              <w:rPr>
                <w:rFonts w:ascii="Times New Roman" w:eastAsia="Calibri" w:hAnsi="Times New Roman"/>
                <w:lang w:val="en-GB" w:eastAsia="en-GB"/>
              </w:rPr>
              <w:t xml:space="preserve">87 on the compassion fatigue subscale; </w:t>
            </w:r>
            <w:r w:rsidRPr="00696EE1">
              <w:rPr>
                <w:rFonts w:ascii="Times New Roman" w:eastAsia="Calibri" w:hAnsi="Times New Roman"/>
                <w:color w:val="000000"/>
                <w:lang w:val="en-GB" w:eastAsia="en-GB"/>
              </w:rPr>
              <w:t>α =</w:t>
            </w:r>
            <w:r w:rsidRPr="00696EE1">
              <w:rPr>
                <w:rFonts w:ascii="Times New Roman" w:eastAsia="Calibri" w:hAnsi="Times New Roman"/>
                <w:lang w:val="en-GB" w:eastAsia="en-GB"/>
              </w:rPr>
              <w:t>.90 on the burnout subscale; and</w:t>
            </w:r>
            <w:r w:rsidRPr="00696EE1">
              <w:rPr>
                <w:rFonts w:ascii="Times New Roman" w:eastAsia="Calibri" w:hAnsi="Times New Roman"/>
                <w:color w:val="000000"/>
                <w:lang w:val="en-GB" w:eastAsia="en-GB"/>
              </w:rPr>
              <w:t xml:space="preserve"> α =</w:t>
            </w:r>
            <w:r w:rsidRPr="00696EE1">
              <w:rPr>
                <w:rFonts w:ascii="Times New Roman" w:eastAsia="Calibri" w:hAnsi="Times New Roman"/>
                <w:lang w:val="en-GB" w:eastAsia="en-GB"/>
              </w:rPr>
              <w:t>.87 for the compassion satisfaction subscale.</w:t>
            </w:r>
          </w:p>
        </w:tc>
        <w:tc>
          <w:tcPr>
            <w:tcW w:w="1847" w:type="dxa"/>
            <w:tcBorders>
              <w:top w:val="nil"/>
              <w:left w:val="nil"/>
              <w:bottom w:val="nil"/>
              <w:right w:val="nil"/>
            </w:tcBorders>
            <w:hideMark/>
          </w:tcPr>
          <w:p w14:paraId="43F3A177"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3</w:t>
            </w:r>
          </w:p>
        </w:tc>
      </w:tr>
      <w:tr w:rsidR="00696EE1" w:rsidRPr="00696EE1" w14:paraId="77533AD0" w14:textId="77777777" w:rsidTr="008D23CC">
        <w:trPr>
          <w:trHeight w:val="1763"/>
        </w:trPr>
        <w:tc>
          <w:tcPr>
            <w:tcW w:w="2547" w:type="dxa"/>
            <w:tcBorders>
              <w:top w:val="nil"/>
              <w:left w:val="nil"/>
              <w:bottom w:val="nil"/>
              <w:right w:val="nil"/>
            </w:tcBorders>
            <w:noWrap/>
            <w:hideMark/>
          </w:tcPr>
          <w:p w14:paraId="5B721368"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Well-being Index (WBI) (Dyrbye et al., 2014)</w:t>
            </w:r>
          </w:p>
        </w:tc>
        <w:tc>
          <w:tcPr>
            <w:tcW w:w="10348" w:type="dxa"/>
            <w:tcBorders>
              <w:top w:val="nil"/>
              <w:left w:val="nil"/>
              <w:bottom w:val="nil"/>
              <w:right w:val="nil"/>
            </w:tcBorders>
            <w:hideMark/>
          </w:tcPr>
          <w:p w14:paraId="425F6442"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WBI is a seven item self-report index, measuring domains of burnout, depression, stress, fatigue, and mental and physical quality of life. It consists of yes/no items and respondents receive a score from 0 to 7 based on responses. At a threshold score of ≥ 4, the PWBI’s sensitivity for identifying physicians with low mental quality of life is 73.3 % with a specificity of 81.0 % (Dyrbye et al. 2013). </w:t>
            </w:r>
          </w:p>
        </w:tc>
        <w:tc>
          <w:tcPr>
            <w:tcW w:w="1847" w:type="dxa"/>
            <w:tcBorders>
              <w:top w:val="nil"/>
              <w:left w:val="nil"/>
              <w:bottom w:val="nil"/>
              <w:right w:val="nil"/>
            </w:tcBorders>
            <w:hideMark/>
          </w:tcPr>
          <w:p w14:paraId="60960BE5"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2F6C1DD1" w14:textId="77777777" w:rsidTr="008D23CC">
        <w:trPr>
          <w:trHeight w:val="1763"/>
        </w:trPr>
        <w:tc>
          <w:tcPr>
            <w:tcW w:w="2547" w:type="dxa"/>
            <w:tcBorders>
              <w:top w:val="nil"/>
              <w:left w:val="nil"/>
              <w:bottom w:val="nil"/>
              <w:right w:val="nil"/>
            </w:tcBorders>
            <w:noWrap/>
            <w:hideMark/>
          </w:tcPr>
          <w:p w14:paraId="4F04299C"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lastRenderedPageBreak/>
              <w:t>Stanford Professional Fulfilment Index (PFI) (</w:t>
            </w:r>
            <w:proofErr w:type="spellStart"/>
            <w:r w:rsidRPr="00696EE1">
              <w:rPr>
                <w:rFonts w:ascii="Times New Roman" w:eastAsia="Calibri" w:hAnsi="Times New Roman"/>
                <w:color w:val="000000"/>
                <w:lang w:val="en-GB" w:eastAsia="en-GB"/>
              </w:rPr>
              <w:t>Trockel</w:t>
            </w:r>
            <w:proofErr w:type="spellEnd"/>
            <w:r w:rsidRPr="00696EE1">
              <w:rPr>
                <w:rFonts w:ascii="Times New Roman" w:eastAsia="Calibri" w:hAnsi="Times New Roman"/>
                <w:color w:val="000000"/>
                <w:lang w:val="en-GB" w:eastAsia="en-GB"/>
              </w:rPr>
              <w:t xml:space="preserve"> et al., 2018) </w:t>
            </w:r>
          </w:p>
        </w:tc>
        <w:tc>
          <w:tcPr>
            <w:tcW w:w="10348" w:type="dxa"/>
            <w:tcBorders>
              <w:top w:val="nil"/>
              <w:left w:val="nil"/>
              <w:bottom w:val="nil"/>
              <w:right w:val="nil"/>
            </w:tcBorders>
            <w:hideMark/>
          </w:tcPr>
          <w:p w14:paraId="6DBD1CD0"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PFI is a 16 item self-report measure assessing the degree of intrinsic positive reward the individual derives from his or her work, including happiness, meaningfulness, contribution, self-worth, satisfaction, and feeling in control when dealing with difficult problems at work. It consists of 3 scales- professional </w:t>
            </w:r>
            <w:proofErr w:type="spellStart"/>
            <w:r w:rsidRPr="00696EE1">
              <w:rPr>
                <w:rFonts w:ascii="Times New Roman" w:eastAsia="Calibri" w:hAnsi="Times New Roman"/>
                <w:color w:val="000000"/>
                <w:lang w:val="en-GB" w:eastAsia="en-GB"/>
              </w:rPr>
              <w:t>fulfillment</w:t>
            </w:r>
            <w:proofErr w:type="spellEnd"/>
            <w:r w:rsidRPr="00696EE1">
              <w:rPr>
                <w:rFonts w:ascii="Times New Roman" w:eastAsia="Calibri" w:hAnsi="Times New Roman"/>
                <w:color w:val="000000"/>
                <w:lang w:val="en-GB" w:eastAsia="en-GB"/>
              </w:rPr>
              <w:t xml:space="preserve">; work exhaustion; and interpersonal disengagement and an overall burnout scale. Response options are on a five-point Likert scale (“not at all true” to “completely true” for professional </w:t>
            </w:r>
            <w:proofErr w:type="spellStart"/>
            <w:r w:rsidRPr="00696EE1">
              <w:rPr>
                <w:rFonts w:ascii="Times New Roman" w:eastAsia="Calibri" w:hAnsi="Times New Roman"/>
                <w:color w:val="000000"/>
                <w:lang w:val="en-GB" w:eastAsia="en-GB"/>
              </w:rPr>
              <w:t>fulfillment</w:t>
            </w:r>
            <w:proofErr w:type="spellEnd"/>
            <w:r w:rsidRPr="00696EE1">
              <w:rPr>
                <w:rFonts w:ascii="Times New Roman" w:eastAsia="Calibri" w:hAnsi="Times New Roman"/>
                <w:color w:val="000000"/>
                <w:lang w:val="en-GB" w:eastAsia="en-GB"/>
              </w:rPr>
              <w:t xml:space="preserve"> items and “not at all” to “extremely” for work exhaustion and interpersonal disengagement items). Each PFI item is scored from 0 to 4, using the associated five-point Likert scale. All scales have demonstrated good alpha reliability: α =.86 on the work exhaustion scale; α =.92 on the interpersonal disengagement scale; α =.91 on the professional </w:t>
            </w:r>
            <w:proofErr w:type="spellStart"/>
            <w:r w:rsidRPr="00696EE1">
              <w:rPr>
                <w:rFonts w:ascii="Times New Roman" w:eastAsia="Calibri" w:hAnsi="Times New Roman"/>
                <w:color w:val="000000"/>
                <w:lang w:val="en-GB" w:eastAsia="en-GB"/>
              </w:rPr>
              <w:t>fulfillment</w:t>
            </w:r>
            <w:proofErr w:type="spellEnd"/>
            <w:r w:rsidRPr="00696EE1">
              <w:rPr>
                <w:rFonts w:ascii="Times New Roman" w:eastAsia="Calibri" w:hAnsi="Times New Roman"/>
                <w:color w:val="000000"/>
                <w:lang w:val="en-GB" w:eastAsia="en-GB"/>
              </w:rPr>
              <w:t xml:space="preserve"> scale; α =.92 on the overall burnout scale (</w:t>
            </w:r>
            <w:proofErr w:type="spellStart"/>
            <w:r w:rsidRPr="00696EE1">
              <w:rPr>
                <w:rFonts w:ascii="Times New Roman" w:eastAsia="Calibri" w:hAnsi="Times New Roman"/>
                <w:color w:val="000000"/>
                <w:lang w:val="en-GB" w:eastAsia="en-GB"/>
              </w:rPr>
              <w:t>Trockel</w:t>
            </w:r>
            <w:proofErr w:type="spellEnd"/>
            <w:r w:rsidRPr="00696EE1">
              <w:rPr>
                <w:rFonts w:ascii="Times New Roman" w:eastAsia="Calibri" w:hAnsi="Times New Roman"/>
                <w:color w:val="000000"/>
                <w:lang w:val="en-GB" w:eastAsia="en-GB"/>
              </w:rPr>
              <w:t xml:space="preserve"> et al., 2018).  </w:t>
            </w:r>
          </w:p>
        </w:tc>
        <w:tc>
          <w:tcPr>
            <w:tcW w:w="1847" w:type="dxa"/>
            <w:tcBorders>
              <w:top w:val="nil"/>
              <w:left w:val="nil"/>
              <w:bottom w:val="nil"/>
              <w:right w:val="nil"/>
            </w:tcBorders>
            <w:hideMark/>
          </w:tcPr>
          <w:p w14:paraId="0B073AEC"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r w:rsidR="00696EE1" w:rsidRPr="00696EE1" w14:paraId="0E4B3538" w14:textId="77777777" w:rsidTr="008D23CC">
        <w:trPr>
          <w:trHeight w:val="1763"/>
        </w:trPr>
        <w:tc>
          <w:tcPr>
            <w:tcW w:w="2547" w:type="dxa"/>
            <w:tcBorders>
              <w:top w:val="nil"/>
              <w:left w:val="nil"/>
              <w:bottom w:val="single" w:sz="12" w:space="0" w:color="auto"/>
              <w:right w:val="nil"/>
            </w:tcBorders>
            <w:noWrap/>
            <w:hideMark/>
          </w:tcPr>
          <w:p w14:paraId="61C0A999"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Stress Rating Form &amp; Burnout Adjectives (described in Ray, 1981). </w:t>
            </w:r>
          </w:p>
        </w:tc>
        <w:tc>
          <w:tcPr>
            <w:tcW w:w="10348" w:type="dxa"/>
            <w:tcBorders>
              <w:top w:val="nil"/>
              <w:left w:val="nil"/>
              <w:bottom w:val="single" w:sz="12" w:space="0" w:color="auto"/>
              <w:right w:val="nil"/>
            </w:tcBorders>
            <w:hideMark/>
          </w:tcPr>
          <w:p w14:paraId="37374825"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The stress rating form was </w:t>
            </w:r>
            <w:r w:rsidRPr="00696EE1">
              <w:rPr>
                <w:rFonts w:ascii="Times New Roman" w:eastAsia="Calibri" w:hAnsi="Times New Roman"/>
                <w:lang w:val="en-GB" w:eastAsia="en-GB"/>
              </w:rPr>
              <w:t xml:space="preserve">devised for the study to collect pre- and post-ratings on participants by one close friend/relative and co-workers or supervisor. The observer was asked to rate the amount of stress that he/she believed that the subject was currently experiencing in five areas (home, job interpersonal relationships, health, and school), and to rate the amount of burnout the subject was feeling, on a 1 to 10 scale, with 1 being little stress and 10 being highly stressed. Additionally, the observer rated the subject on 16 adjectives on a 1 to 10-point scale, </w:t>
            </w:r>
            <w:proofErr w:type="gramStart"/>
            <w:r w:rsidRPr="00696EE1">
              <w:rPr>
                <w:rFonts w:ascii="Times New Roman" w:eastAsia="Calibri" w:hAnsi="Times New Roman"/>
                <w:lang w:val="en-GB" w:eastAsia="en-GB"/>
              </w:rPr>
              <w:t>in order to</w:t>
            </w:r>
            <w:proofErr w:type="gramEnd"/>
            <w:r w:rsidRPr="00696EE1">
              <w:rPr>
                <w:rFonts w:ascii="Times New Roman" w:eastAsia="Calibri" w:hAnsi="Times New Roman"/>
                <w:lang w:val="en-GB" w:eastAsia="en-GB"/>
              </w:rPr>
              <w:t xml:space="preserve"> compute an overall burnout score (the method for this is reportedly described in Thompson (1980) but this could not be accessed by reviewers).</w:t>
            </w:r>
          </w:p>
        </w:tc>
        <w:tc>
          <w:tcPr>
            <w:tcW w:w="1847" w:type="dxa"/>
            <w:tcBorders>
              <w:top w:val="nil"/>
              <w:left w:val="nil"/>
              <w:bottom w:val="single" w:sz="12" w:space="0" w:color="auto"/>
              <w:right w:val="nil"/>
            </w:tcBorders>
            <w:hideMark/>
          </w:tcPr>
          <w:p w14:paraId="5ED78D0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1</w:t>
            </w:r>
          </w:p>
        </w:tc>
      </w:tr>
    </w:tbl>
    <w:p w14:paraId="6C4417D9" w14:textId="77777777" w:rsidR="00696EE1" w:rsidRDefault="00696EE1">
      <w:pPr>
        <w:rPr>
          <w:rFonts w:ascii="Times New Roman" w:hAnsi="Times New Roman" w:cs="Times New Roman"/>
          <w:b/>
          <w:bCs/>
          <w:color w:val="000000"/>
        </w:rPr>
      </w:pPr>
    </w:p>
    <w:p w14:paraId="1EE400BB" w14:textId="77777777" w:rsidR="00696EE1" w:rsidRDefault="00696EE1">
      <w:pPr>
        <w:rPr>
          <w:rFonts w:ascii="Times New Roman" w:hAnsi="Times New Roman" w:cs="Times New Roman"/>
          <w:b/>
          <w:bCs/>
          <w:color w:val="000000"/>
        </w:rPr>
      </w:pPr>
    </w:p>
    <w:p w14:paraId="1BC60746" w14:textId="77777777" w:rsidR="00696EE1" w:rsidRDefault="00696EE1">
      <w:pPr>
        <w:rPr>
          <w:rFonts w:ascii="Times New Roman" w:hAnsi="Times New Roman" w:cs="Times New Roman"/>
          <w:b/>
          <w:bCs/>
          <w:color w:val="000000"/>
        </w:rPr>
      </w:pPr>
    </w:p>
    <w:p w14:paraId="1F009DD8" w14:textId="77777777" w:rsidR="00696EE1" w:rsidRDefault="00696EE1">
      <w:pPr>
        <w:rPr>
          <w:rFonts w:ascii="Times New Roman" w:hAnsi="Times New Roman" w:cs="Times New Roman"/>
          <w:b/>
          <w:bCs/>
          <w:color w:val="000000"/>
        </w:rPr>
      </w:pPr>
    </w:p>
    <w:p w14:paraId="626580FB" w14:textId="6437E83B" w:rsidR="00696EE1" w:rsidRPr="00696EE1" w:rsidRDefault="00337928" w:rsidP="00696EE1">
      <w:pPr>
        <w:rPr>
          <w:rFonts w:ascii="Times New Roman" w:hAnsi="Times New Roman" w:cs="Times New Roman"/>
          <w:b/>
          <w:bCs/>
          <w:color w:val="000000"/>
        </w:rPr>
      </w:pPr>
      <w:r>
        <w:rPr>
          <w:rFonts w:ascii="Times New Roman" w:hAnsi="Times New Roman" w:cs="Times New Roman"/>
          <w:b/>
          <w:bCs/>
          <w:color w:val="000000"/>
        </w:rPr>
        <w:t>S</w:t>
      </w:r>
      <w:r w:rsidR="00A34542">
        <w:rPr>
          <w:rFonts w:ascii="Times New Roman" w:hAnsi="Times New Roman" w:cs="Times New Roman"/>
          <w:b/>
          <w:bCs/>
          <w:color w:val="000000"/>
        </w:rPr>
        <w:t>5</w:t>
      </w:r>
      <w:r>
        <w:rPr>
          <w:rFonts w:ascii="Times New Roman" w:hAnsi="Times New Roman" w:cs="Times New Roman"/>
          <w:b/>
          <w:bCs/>
          <w:color w:val="000000"/>
        </w:rPr>
        <w:t>:</w:t>
      </w:r>
      <w:r w:rsidRPr="00337928">
        <w:t xml:space="preserve"> </w:t>
      </w:r>
      <w:r w:rsidRPr="00337928">
        <w:rPr>
          <w:rFonts w:ascii="Times New Roman" w:hAnsi="Times New Roman" w:cs="Times New Roman"/>
          <w:b/>
          <w:bCs/>
          <w:color w:val="000000"/>
        </w:rPr>
        <w:t xml:space="preserve">Table showing recommendations for future </w:t>
      </w:r>
      <w:proofErr w:type="gramStart"/>
      <w:r w:rsidRPr="00337928">
        <w:rPr>
          <w:rFonts w:ascii="Times New Roman" w:hAnsi="Times New Roman" w:cs="Times New Roman"/>
          <w:b/>
          <w:bCs/>
          <w:color w:val="000000"/>
        </w:rPr>
        <w:t>research</w:t>
      </w:r>
      <w:proofErr w:type="gramEnd"/>
    </w:p>
    <w:tbl>
      <w:tblPr>
        <w:tblStyle w:val="APAReport23"/>
        <w:tblW w:w="0" w:type="dxa"/>
        <w:tblInd w:w="0" w:type="dxa"/>
        <w:tblLayout w:type="fixed"/>
        <w:tblLook w:val="04A0" w:firstRow="1" w:lastRow="0" w:firstColumn="1" w:lastColumn="0" w:noHBand="0" w:noVBand="1"/>
      </w:tblPr>
      <w:tblGrid>
        <w:gridCol w:w="2410"/>
        <w:gridCol w:w="11624"/>
        <w:gridCol w:w="708"/>
      </w:tblGrid>
      <w:tr w:rsidR="00696EE1" w:rsidRPr="00696EE1" w14:paraId="2EDFDAD0" w14:textId="77777777" w:rsidTr="008D23CC">
        <w:trPr>
          <w:gridAfter w:val="1"/>
          <w:cnfStyle w:val="100000000000" w:firstRow="1" w:lastRow="0" w:firstColumn="0" w:lastColumn="0" w:oddVBand="0" w:evenVBand="0" w:oddHBand="0" w:evenHBand="0" w:firstRowFirstColumn="0" w:firstRowLastColumn="0" w:lastRowFirstColumn="0" w:lastRowLastColumn="0"/>
          <w:wAfter w:w="708" w:type="dxa"/>
          <w:trHeight w:val="290"/>
          <w:tblHeader/>
        </w:trPr>
        <w:tc>
          <w:tcPr>
            <w:tcW w:w="2410" w:type="dxa"/>
            <w:hideMark/>
          </w:tcPr>
          <w:p w14:paraId="6B120B7A" w14:textId="77777777" w:rsidR="00696EE1" w:rsidRPr="00696EE1" w:rsidRDefault="00696EE1" w:rsidP="008D23CC">
            <w:pPr>
              <w:rPr>
                <w:rFonts w:ascii="Times New Roman" w:hAnsi="Times New Roman" w:cs="Times New Roman"/>
                <w:b/>
                <w:bCs/>
                <w:lang w:val="en-GB" w:eastAsia="en-GB"/>
              </w:rPr>
            </w:pPr>
            <w:r w:rsidRPr="00696EE1">
              <w:rPr>
                <w:rFonts w:ascii="Times New Roman" w:eastAsia="Calibri" w:hAnsi="Times New Roman" w:cs="Times New Roman"/>
                <w:b/>
                <w:bCs/>
                <w:lang w:val="en-GB" w:eastAsia="en-GB"/>
              </w:rPr>
              <w:t>Intervention</w:t>
            </w:r>
          </w:p>
        </w:tc>
        <w:tc>
          <w:tcPr>
            <w:tcW w:w="11624" w:type="dxa"/>
            <w:noWrap/>
            <w:hideMark/>
          </w:tcPr>
          <w:p w14:paraId="2E4F2F8C" w14:textId="77777777" w:rsidR="00696EE1" w:rsidRPr="00696EE1" w:rsidRDefault="00696EE1" w:rsidP="008D23CC">
            <w:pPr>
              <w:rPr>
                <w:rFonts w:ascii="Times New Roman" w:eastAsia="Calibri" w:hAnsi="Times New Roman" w:cs="Times New Roman"/>
                <w:b/>
                <w:bCs/>
                <w:lang w:val="en-GB" w:eastAsia="en-GB"/>
              </w:rPr>
            </w:pPr>
            <w:r w:rsidRPr="00696EE1">
              <w:rPr>
                <w:rFonts w:ascii="Times New Roman" w:eastAsia="Calibri" w:hAnsi="Times New Roman" w:cs="Times New Roman"/>
                <w:b/>
                <w:bCs/>
                <w:lang w:val="en-GB" w:eastAsia="en-GB"/>
              </w:rPr>
              <w:t xml:space="preserve">Recommendations/ Questions for future research </w:t>
            </w:r>
          </w:p>
        </w:tc>
      </w:tr>
      <w:tr w:rsidR="00696EE1" w:rsidRPr="00696EE1" w14:paraId="7AC1F5CF" w14:textId="77777777" w:rsidTr="008D23CC">
        <w:trPr>
          <w:trHeight w:val="290"/>
        </w:trPr>
        <w:tc>
          <w:tcPr>
            <w:tcW w:w="2410" w:type="dxa"/>
            <w:vMerge w:val="restart"/>
            <w:tcBorders>
              <w:top w:val="nil"/>
              <w:left w:val="nil"/>
              <w:bottom w:val="nil"/>
              <w:right w:val="nil"/>
            </w:tcBorders>
          </w:tcPr>
          <w:p w14:paraId="5CDA25F1" w14:textId="77777777" w:rsidR="00696EE1" w:rsidRPr="00696EE1" w:rsidRDefault="00696EE1" w:rsidP="008D23CC">
            <w:pPr>
              <w:rPr>
                <w:rFonts w:ascii="Times New Roman" w:hAnsi="Times New Roman"/>
                <w:lang w:val="en-GB" w:eastAsia="en-GB"/>
              </w:rPr>
            </w:pPr>
            <w:r w:rsidRPr="00696EE1">
              <w:rPr>
                <w:rFonts w:ascii="Times New Roman" w:eastAsia="Calibri" w:hAnsi="Times New Roman"/>
                <w:color w:val="000000"/>
                <w:lang w:val="en-GB" w:eastAsia="en-GB"/>
              </w:rPr>
              <w:t>DBT skills training</w:t>
            </w:r>
          </w:p>
          <w:p w14:paraId="37EE7A39"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nil"/>
              <w:right w:val="nil"/>
            </w:tcBorders>
            <w:noWrap/>
            <w:hideMark/>
          </w:tcPr>
          <w:p w14:paraId="52D3B738"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Larger and more diverse samples; control groups</w:t>
            </w:r>
          </w:p>
          <w:p w14:paraId="1F28C95F"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Direct patient-related outcomes</w:t>
            </w:r>
          </w:p>
        </w:tc>
      </w:tr>
      <w:tr w:rsidR="00696EE1" w:rsidRPr="00696EE1" w14:paraId="35D07277" w14:textId="77777777" w:rsidTr="008D23CC">
        <w:trPr>
          <w:trHeight w:val="290"/>
        </w:trPr>
        <w:tc>
          <w:tcPr>
            <w:tcW w:w="2410" w:type="dxa"/>
            <w:vMerge/>
            <w:tcBorders>
              <w:top w:val="nil"/>
              <w:left w:val="nil"/>
              <w:bottom w:val="nil"/>
              <w:right w:val="nil"/>
            </w:tcBorders>
            <w:vAlign w:val="center"/>
            <w:hideMark/>
          </w:tcPr>
          <w:p w14:paraId="7DFFFE28" w14:textId="77777777" w:rsidR="00696EE1" w:rsidRPr="00696EE1" w:rsidRDefault="00696EE1" w:rsidP="008D23CC">
            <w:pPr>
              <w:rPr>
                <w:rFonts w:ascii="Times New Roman" w:hAnsi="Times New Roman"/>
                <w:lang w:eastAsia="en-GB"/>
              </w:rPr>
            </w:pPr>
          </w:p>
        </w:tc>
        <w:tc>
          <w:tcPr>
            <w:tcW w:w="12332" w:type="dxa"/>
            <w:gridSpan w:val="2"/>
            <w:tcBorders>
              <w:top w:val="nil"/>
              <w:left w:val="nil"/>
              <w:bottom w:val="nil"/>
              <w:right w:val="nil"/>
            </w:tcBorders>
            <w:noWrap/>
          </w:tcPr>
          <w:p w14:paraId="60C63D64"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Compare effectiveness of person-directed interventions, versus organizational interventions only, versus a combination.</w:t>
            </w:r>
          </w:p>
          <w:p w14:paraId="302DFEB8"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Would longer training and supervision groups increase effectiveness?</w:t>
            </w:r>
          </w:p>
          <w:p w14:paraId="6F91A711"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Include clinician burnout as a variable within DBT effectiveness and efficacy </w:t>
            </w:r>
            <w:proofErr w:type="gramStart"/>
            <w:r w:rsidRPr="00696EE1">
              <w:rPr>
                <w:rFonts w:ascii="Times New Roman" w:eastAsia="Calibri" w:hAnsi="Times New Roman"/>
                <w:lang w:val="en-GB" w:eastAsia="en-GB"/>
              </w:rPr>
              <w:t>studies</w:t>
            </w:r>
            <w:proofErr w:type="gramEnd"/>
          </w:p>
          <w:p w14:paraId="41C3294B"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Account/control for different settings differing initial levels of clinician </w:t>
            </w:r>
            <w:proofErr w:type="gramStart"/>
            <w:r w:rsidRPr="00696EE1">
              <w:rPr>
                <w:rFonts w:ascii="Times New Roman" w:eastAsia="Calibri" w:hAnsi="Times New Roman"/>
                <w:lang w:val="en-GB" w:eastAsia="en-GB"/>
              </w:rPr>
              <w:t>burnout</w:t>
            </w:r>
            <w:proofErr w:type="gramEnd"/>
          </w:p>
          <w:p w14:paraId="7713EE4C"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Account for variations in learning and utilization of </w:t>
            </w:r>
            <w:proofErr w:type="gramStart"/>
            <w:r w:rsidRPr="00696EE1">
              <w:rPr>
                <w:rFonts w:ascii="Times New Roman" w:eastAsia="Calibri" w:hAnsi="Times New Roman"/>
                <w:lang w:val="en-GB" w:eastAsia="en-GB"/>
              </w:rPr>
              <w:t>training</w:t>
            </w:r>
            <w:proofErr w:type="gramEnd"/>
            <w:r w:rsidRPr="00696EE1">
              <w:rPr>
                <w:rFonts w:ascii="Times New Roman" w:eastAsia="Calibri" w:hAnsi="Times New Roman"/>
                <w:lang w:val="en-GB" w:eastAsia="en-GB"/>
              </w:rPr>
              <w:t xml:space="preserve"> </w:t>
            </w:r>
          </w:p>
          <w:p w14:paraId="52A9C176"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Administer questionnaires to assess subjects' knowledge of and utilization of DBT.</w:t>
            </w:r>
          </w:p>
          <w:p w14:paraId="556F9C6A"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17034446" w14:textId="77777777" w:rsidTr="008D23CC">
        <w:trPr>
          <w:trHeight w:val="290"/>
        </w:trPr>
        <w:tc>
          <w:tcPr>
            <w:tcW w:w="2410" w:type="dxa"/>
            <w:tcBorders>
              <w:top w:val="nil"/>
              <w:left w:val="nil"/>
              <w:bottom w:val="nil"/>
              <w:right w:val="nil"/>
            </w:tcBorders>
            <w:hideMark/>
          </w:tcPr>
          <w:p w14:paraId="18C3FE8C"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color w:val="000000"/>
                <w:lang w:val="en-GB" w:eastAsia="en-GB"/>
              </w:rPr>
              <w:t>PSI training</w:t>
            </w:r>
          </w:p>
        </w:tc>
        <w:tc>
          <w:tcPr>
            <w:tcW w:w="12332" w:type="dxa"/>
            <w:gridSpan w:val="2"/>
            <w:tcBorders>
              <w:top w:val="nil"/>
              <w:left w:val="nil"/>
              <w:bottom w:val="nil"/>
              <w:right w:val="nil"/>
            </w:tcBorders>
            <w:noWrap/>
          </w:tcPr>
          <w:p w14:paraId="320906FE"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Focus on PSI </w:t>
            </w:r>
            <w:proofErr w:type="gramStart"/>
            <w:r w:rsidRPr="00696EE1">
              <w:rPr>
                <w:rFonts w:ascii="Times New Roman" w:eastAsia="Calibri" w:hAnsi="Times New Roman"/>
                <w:lang w:val="en-GB" w:eastAsia="en-GB"/>
              </w:rPr>
              <w:t>competencies</w:t>
            </w:r>
            <w:proofErr w:type="gramEnd"/>
            <w:r w:rsidRPr="00696EE1">
              <w:rPr>
                <w:rFonts w:ascii="Times New Roman" w:eastAsia="Calibri" w:hAnsi="Times New Roman"/>
                <w:lang w:val="en-GB" w:eastAsia="en-GB"/>
              </w:rPr>
              <w:t xml:space="preserve"> </w:t>
            </w:r>
          </w:p>
          <w:p w14:paraId="1F5E18B7"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Longer-term evaluation of implementation in practice </w:t>
            </w:r>
          </w:p>
          <w:p w14:paraId="77E6E12B"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Outcome-based intervention trials</w:t>
            </w:r>
          </w:p>
          <w:p w14:paraId="6F5933C4"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Larger samples, different settings, more rigorous methodologies  </w:t>
            </w:r>
          </w:p>
          <w:p w14:paraId="4C23DDDD"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1A623B10" w14:textId="77777777" w:rsidTr="008D23CC">
        <w:trPr>
          <w:trHeight w:val="290"/>
        </w:trPr>
        <w:tc>
          <w:tcPr>
            <w:tcW w:w="2410" w:type="dxa"/>
            <w:tcBorders>
              <w:top w:val="nil"/>
              <w:left w:val="nil"/>
              <w:bottom w:val="nil"/>
              <w:right w:val="nil"/>
            </w:tcBorders>
          </w:tcPr>
          <w:p w14:paraId="735EF4DD"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 xml:space="preserve">ACT </w:t>
            </w:r>
            <w:proofErr w:type="gramStart"/>
            <w:r w:rsidRPr="00696EE1">
              <w:rPr>
                <w:rFonts w:ascii="Times New Roman" w:eastAsia="Calibri" w:hAnsi="Times New Roman"/>
                <w:color w:val="000000"/>
                <w:lang w:val="en-GB" w:eastAsia="en-GB"/>
              </w:rPr>
              <w:t>training</w:t>
            </w:r>
            <w:proofErr w:type="gramEnd"/>
            <w:r w:rsidRPr="00696EE1">
              <w:rPr>
                <w:rFonts w:ascii="Times New Roman" w:eastAsia="Calibri" w:hAnsi="Times New Roman"/>
                <w:color w:val="000000"/>
                <w:lang w:val="en-GB" w:eastAsia="en-GB"/>
              </w:rPr>
              <w:t xml:space="preserve"> </w:t>
            </w:r>
          </w:p>
          <w:p w14:paraId="1CE4AE69"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nil"/>
              <w:right w:val="nil"/>
            </w:tcBorders>
            <w:noWrap/>
          </w:tcPr>
          <w:p w14:paraId="0C03A9D2"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Compare the impact of brief interventions based on ACT, psychoeducation, or an amalgam of both.</w:t>
            </w:r>
          </w:p>
          <w:p w14:paraId="03968F32" w14:textId="77777777" w:rsidR="00696EE1" w:rsidRPr="00696EE1" w:rsidRDefault="00696EE1" w:rsidP="00696EE1">
            <w:pPr>
              <w:numPr>
                <w:ilvl w:val="0"/>
                <w:numId w:val="4"/>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Improved rigour</w:t>
            </w:r>
          </w:p>
          <w:p w14:paraId="42002397"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23E591AC" w14:textId="77777777" w:rsidTr="008D23CC">
        <w:trPr>
          <w:trHeight w:val="290"/>
        </w:trPr>
        <w:tc>
          <w:tcPr>
            <w:tcW w:w="2410" w:type="dxa"/>
            <w:tcBorders>
              <w:top w:val="nil"/>
              <w:left w:val="nil"/>
              <w:bottom w:val="nil"/>
              <w:right w:val="nil"/>
            </w:tcBorders>
            <w:hideMark/>
          </w:tcPr>
          <w:p w14:paraId="45809B2C"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color w:val="000000"/>
                <w:lang w:val="en-GB" w:eastAsia="en-GB"/>
              </w:rPr>
              <w:t>Supervision</w:t>
            </w:r>
          </w:p>
        </w:tc>
        <w:tc>
          <w:tcPr>
            <w:tcW w:w="12332" w:type="dxa"/>
            <w:gridSpan w:val="2"/>
            <w:tcBorders>
              <w:top w:val="nil"/>
              <w:left w:val="nil"/>
              <w:bottom w:val="nil"/>
              <w:right w:val="nil"/>
            </w:tcBorders>
            <w:noWrap/>
          </w:tcPr>
          <w:p w14:paraId="71CDAFF6"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Larger samples, inclusion of different settings/specific roles of participants.</w:t>
            </w:r>
          </w:p>
          <w:p w14:paraId="7AE46D6B"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What structure of systematic clinical supervision is most effective?</w:t>
            </w:r>
          </w:p>
          <w:p w14:paraId="2846A838"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Longer duration of study/supervision may be required to see changes in </w:t>
            </w:r>
            <w:proofErr w:type="gramStart"/>
            <w:r w:rsidRPr="00696EE1">
              <w:rPr>
                <w:rFonts w:ascii="Times New Roman" w:eastAsia="Calibri" w:hAnsi="Times New Roman"/>
                <w:lang w:val="en-GB" w:eastAsia="en-GB"/>
              </w:rPr>
              <w:t>burnout</w:t>
            </w:r>
            <w:proofErr w:type="gramEnd"/>
          </w:p>
          <w:p w14:paraId="39B03A0C"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Incorporate qualitative and quantitative data to measure STS responses.</w:t>
            </w:r>
          </w:p>
          <w:p w14:paraId="38AF9FB3" w14:textId="77777777" w:rsidR="00696EE1" w:rsidRPr="00696EE1" w:rsidRDefault="00696EE1" w:rsidP="00696EE1">
            <w:pPr>
              <w:numPr>
                <w:ilvl w:val="0"/>
                <w:numId w:val="5"/>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Can supervision serve as a preventative strategy for MHWs who do not yet have STS responses?</w:t>
            </w:r>
          </w:p>
          <w:p w14:paraId="448E587D"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2E88A222" w14:textId="77777777" w:rsidTr="008D23CC">
        <w:trPr>
          <w:trHeight w:val="290"/>
        </w:trPr>
        <w:tc>
          <w:tcPr>
            <w:tcW w:w="2410" w:type="dxa"/>
            <w:tcBorders>
              <w:top w:val="nil"/>
              <w:left w:val="nil"/>
              <w:bottom w:val="nil"/>
              <w:right w:val="nil"/>
            </w:tcBorders>
          </w:tcPr>
          <w:p w14:paraId="39123A4B"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EBS training/ prevention</w:t>
            </w:r>
          </w:p>
          <w:p w14:paraId="0B531BAD"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nil"/>
              <w:right w:val="nil"/>
            </w:tcBorders>
            <w:noWrap/>
          </w:tcPr>
          <w:p w14:paraId="0E5979D1"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Larger samples, collect demographic </w:t>
            </w:r>
            <w:proofErr w:type="gramStart"/>
            <w:r w:rsidRPr="00696EE1">
              <w:rPr>
                <w:rFonts w:ascii="Times New Roman" w:eastAsia="Calibri" w:hAnsi="Times New Roman"/>
                <w:lang w:val="en-GB" w:eastAsia="en-GB"/>
              </w:rPr>
              <w:t>data</w:t>
            </w:r>
            <w:proofErr w:type="gramEnd"/>
          </w:p>
          <w:p w14:paraId="19A302B9"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Separate the various components of the intervention for </w:t>
            </w:r>
            <w:proofErr w:type="gramStart"/>
            <w:r w:rsidRPr="00696EE1">
              <w:rPr>
                <w:rFonts w:ascii="Times New Roman" w:eastAsia="Calibri" w:hAnsi="Times New Roman"/>
                <w:lang w:val="en-GB" w:eastAsia="en-GB"/>
              </w:rPr>
              <w:t>comparison</w:t>
            </w:r>
            <w:proofErr w:type="gramEnd"/>
            <w:r w:rsidRPr="00696EE1">
              <w:rPr>
                <w:rFonts w:ascii="Times New Roman" w:eastAsia="Calibri" w:hAnsi="Times New Roman"/>
                <w:lang w:val="en-GB" w:eastAsia="en-GB"/>
              </w:rPr>
              <w:t xml:space="preserve"> </w:t>
            </w:r>
          </w:p>
          <w:p w14:paraId="1DAC24BD"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Longer and more intensive STS education program </w:t>
            </w:r>
          </w:p>
          <w:p w14:paraId="700A1C9B"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Follow up 2-3 months later, giving MHWs time to implement/ incorporate STS prevention </w:t>
            </w:r>
            <w:proofErr w:type="gramStart"/>
            <w:r w:rsidRPr="00696EE1">
              <w:rPr>
                <w:rFonts w:ascii="Times New Roman" w:eastAsia="Calibri" w:hAnsi="Times New Roman"/>
                <w:lang w:val="en-GB" w:eastAsia="en-GB"/>
              </w:rPr>
              <w:t>plans</w:t>
            </w:r>
            <w:proofErr w:type="gramEnd"/>
          </w:p>
          <w:p w14:paraId="4EF85E1E"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Exploring the effects of intermittent booster sessions of the intervention </w:t>
            </w:r>
          </w:p>
          <w:p w14:paraId="293F8FD3"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More rigorous designs e.g. multiple baseline/ wait-list control groups, randomization</w:t>
            </w:r>
          </w:p>
          <w:p w14:paraId="067D4CD9"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lastRenderedPageBreak/>
              <w:t xml:space="preserve">Measure primary traumatic stress and </w:t>
            </w:r>
            <w:proofErr w:type="gramStart"/>
            <w:r w:rsidRPr="00696EE1">
              <w:rPr>
                <w:rFonts w:ascii="Times New Roman" w:eastAsia="Calibri" w:hAnsi="Times New Roman"/>
                <w:lang w:val="en-GB" w:eastAsia="en-GB"/>
              </w:rPr>
              <w:t>burnout</w:t>
            </w:r>
            <w:proofErr w:type="gramEnd"/>
            <w:r w:rsidRPr="00696EE1">
              <w:rPr>
                <w:rFonts w:ascii="Times New Roman" w:eastAsia="Calibri" w:hAnsi="Times New Roman"/>
                <w:lang w:val="en-GB" w:eastAsia="en-GB"/>
              </w:rPr>
              <w:t xml:space="preserve">  </w:t>
            </w:r>
          </w:p>
          <w:p w14:paraId="0FF9E758"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Participant interviews to </w:t>
            </w:r>
            <w:proofErr w:type="spellStart"/>
            <w:r w:rsidRPr="00696EE1">
              <w:rPr>
                <w:rFonts w:ascii="Times New Roman" w:eastAsia="Calibri" w:hAnsi="Times New Roman"/>
                <w:lang w:val="en-GB" w:eastAsia="en-GB"/>
              </w:rPr>
              <w:t>distill</w:t>
            </w:r>
            <w:proofErr w:type="spellEnd"/>
            <w:r w:rsidRPr="00696EE1">
              <w:rPr>
                <w:rFonts w:ascii="Times New Roman" w:eastAsia="Calibri" w:hAnsi="Times New Roman"/>
                <w:lang w:val="en-GB" w:eastAsia="en-GB"/>
              </w:rPr>
              <w:t xml:space="preserve"> the active elements of </w:t>
            </w:r>
            <w:proofErr w:type="gramStart"/>
            <w:r w:rsidRPr="00696EE1">
              <w:rPr>
                <w:rFonts w:ascii="Times New Roman" w:eastAsia="Calibri" w:hAnsi="Times New Roman"/>
                <w:lang w:val="en-GB" w:eastAsia="en-GB"/>
              </w:rPr>
              <w:t>interventions</w:t>
            </w:r>
            <w:proofErr w:type="gramEnd"/>
          </w:p>
          <w:p w14:paraId="012CCB87"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0D063E01" w14:textId="77777777" w:rsidTr="008D23CC">
        <w:trPr>
          <w:trHeight w:val="290"/>
        </w:trPr>
        <w:tc>
          <w:tcPr>
            <w:tcW w:w="2410" w:type="dxa"/>
            <w:tcBorders>
              <w:top w:val="nil"/>
              <w:left w:val="nil"/>
              <w:bottom w:val="nil"/>
              <w:right w:val="nil"/>
            </w:tcBorders>
            <w:hideMark/>
          </w:tcPr>
          <w:p w14:paraId="4AC0ACA6"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lastRenderedPageBreak/>
              <w:t xml:space="preserve">Resiliency training </w:t>
            </w:r>
          </w:p>
        </w:tc>
        <w:tc>
          <w:tcPr>
            <w:tcW w:w="12332" w:type="dxa"/>
            <w:gridSpan w:val="2"/>
            <w:tcBorders>
              <w:top w:val="nil"/>
              <w:left w:val="nil"/>
              <w:bottom w:val="nil"/>
              <w:right w:val="nil"/>
            </w:tcBorders>
            <w:noWrap/>
            <w:hideMark/>
          </w:tcPr>
          <w:p w14:paraId="5CAC276B"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More CF exploratory longitudinal studies with treatment and control groups</w:t>
            </w:r>
          </w:p>
          <w:p w14:paraId="53712490"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Additional CF research exploring CF over the course of clinicians’ </w:t>
            </w:r>
            <w:proofErr w:type="gramStart"/>
            <w:r w:rsidRPr="00696EE1">
              <w:rPr>
                <w:rFonts w:ascii="Times New Roman" w:eastAsia="Calibri" w:hAnsi="Times New Roman"/>
                <w:lang w:val="en-GB" w:eastAsia="en-GB"/>
              </w:rPr>
              <w:t>careers</w:t>
            </w:r>
            <w:proofErr w:type="gramEnd"/>
          </w:p>
          <w:p w14:paraId="36948958"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Comparing CF symptoms between CITs and practicing mental health professionals </w:t>
            </w:r>
          </w:p>
          <w:p w14:paraId="7B65D76C" w14:textId="77777777" w:rsidR="00696EE1" w:rsidRPr="00696EE1" w:rsidRDefault="00696EE1" w:rsidP="00696EE1">
            <w:pPr>
              <w:numPr>
                <w:ilvl w:val="0"/>
                <w:numId w:val="6"/>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Qualitative approaches exploring lived experiences with CF symptoms as well as during and after CF treatments to determine active ingredients for meaningful CF symptom reduction. </w:t>
            </w:r>
          </w:p>
        </w:tc>
      </w:tr>
      <w:tr w:rsidR="00696EE1" w:rsidRPr="00696EE1" w14:paraId="643196B6" w14:textId="77777777" w:rsidTr="008D23CC">
        <w:trPr>
          <w:trHeight w:val="303"/>
        </w:trPr>
        <w:tc>
          <w:tcPr>
            <w:tcW w:w="2410" w:type="dxa"/>
            <w:tcBorders>
              <w:top w:val="nil"/>
              <w:left w:val="nil"/>
              <w:bottom w:val="nil"/>
              <w:right w:val="nil"/>
            </w:tcBorders>
            <w:hideMark/>
          </w:tcPr>
          <w:p w14:paraId="438551E7"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color w:val="000000"/>
                <w:lang w:val="en-GB" w:eastAsia="en-GB"/>
              </w:rPr>
              <w:t>Mindfulness/ compassion</w:t>
            </w:r>
          </w:p>
        </w:tc>
        <w:tc>
          <w:tcPr>
            <w:tcW w:w="12332" w:type="dxa"/>
            <w:gridSpan w:val="2"/>
            <w:tcBorders>
              <w:top w:val="nil"/>
              <w:left w:val="nil"/>
              <w:bottom w:val="nil"/>
              <w:right w:val="nil"/>
            </w:tcBorders>
            <w:noWrap/>
          </w:tcPr>
          <w:p w14:paraId="6CA3E4D4"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Are MBIs alone sufficient to generate self-compassion? </w:t>
            </w:r>
          </w:p>
          <w:p w14:paraId="668E9804"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Increased rigour: large, controlled studies; random sampling across settings; long term </w:t>
            </w:r>
            <w:proofErr w:type="gramStart"/>
            <w:r w:rsidRPr="00696EE1">
              <w:rPr>
                <w:rFonts w:ascii="Times New Roman" w:eastAsia="Calibri" w:hAnsi="Times New Roman"/>
                <w:lang w:val="en-GB" w:eastAsia="en-GB"/>
              </w:rPr>
              <w:t>follow</w:t>
            </w:r>
            <w:proofErr w:type="gramEnd"/>
            <w:r w:rsidRPr="00696EE1">
              <w:rPr>
                <w:rFonts w:ascii="Times New Roman" w:eastAsia="Calibri" w:hAnsi="Times New Roman"/>
                <w:lang w:val="en-GB" w:eastAsia="en-GB"/>
              </w:rPr>
              <w:t xml:space="preserve"> up</w:t>
            </w:r>
          </w:p>
          <w:p w14:paraId="076ACD2A"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Explore possible applications to other disciplines/ health </w:t>
            </w:r>
            <w:proofErr w:type="gramStart"/>
            <w:r w:rsidRPr="00696EE1">
              <w:rPr>
                <w:rFonts w:ascii="Times New Roman" w:eastAsia="Calibri" w:hAnsi="Times New Roman"/>
                <w:lang w:val="en-GB" w:eastAsia="en-GB"/>
              </w:rPr>
              <w:t>workers</w:t>
            </w:r>
            <w:proofErr w:type="gramEnd"/>
          </w:p>
          <w:p w14:paraId="274D7377"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Explore mechanisms through which the Interpersonal Mindfulness Program </w:t>
            </w:r>
            <w:proofErr w:type="gramStart"/>
            <w:r w:rsidRPr="00696EE1">
              <w:rPr>
                <w:rFonts w:ascii="Times New Roman" w:eastAsia="Calibri" w:hAnsi="Times New Roman"/>
                <w:lang w:val="en-GB" w:eastAsia="en-GB"/>
              </w:rPr>
              <w:t>works</w:t>
            </w:r>
            <w:proofErr w:type="gramEnd"/>
          </w:p>
          <w:p w14:paraId="61536057"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Explore the adverse reactions reported in one study (Bartels-Velthuis et al., 2020). </w:t>
            </w:r>
          </w:p>
          <w:p w14:paraId="56A3C7B7"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0AB8E5D7" w14:textId="77777777" w:rsidTr="008D23CC">
        <w:trPr>
          <w:trHeight w:val="290"/>
        </w:trPr>
        <w:tc>
          <w:tcPr>
            <w:tcW w:w="2410" w:type="dxa"/>
            <w:tcBorders>
              <w:top w:val="nil"/>
              <w:left w:val="nil"/>
              <w:bottom w:val="nil"/>
              <w:right w:val="nil"/>
            </w:tcBorders>
            <w:hideMark/>
          </w:tcPr>
          <w:p w14:paraId="5D6FBF26"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color w:val="000000"/>
                <w:lang w:val="en-GB" w:eastAsia="en-GB"/>
              </w:rPr>
              <w:t>‘BREATHE’ burnout reduction workshop</w:t>
            </w:r>
          </w:p>
        </w:tc>
        <w:tc>
          <w:tcPr>
            <w:tcW w:w="12332" w:type="dxa"/>
            <w:gridSpan w:val="2"/>
            <w:tcBorders>
              <w:top w:val="nil"/>
              <w:left w:val="nil"/>
              <w:bottom w:val="nil"/>
              <w:right w:val="nil"/>
            </w:tcBorders>
            <w:noWrap/>
          </w:tcPr>
          <w:p w14:paraId="2304F863"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Separate BREATHE content into smaller modules delivered over </w:t>
            </w:r>
            <w:proofErr w:type="gramStart"/>
            <w:r w:rsidRPr="00696EE1">
              <w:rPr>
                <w:rFonts w:ascii="Times New Roman" w:eastAsia="Calibri" w:hAnsi="Times New Roman"/>
                <w:lang w:val="en-GB" w:eastAsia="en-GB"/>
              </w:rPr>
              <w:t>time</w:t>
            </w:r>
            <w:proofErr w:type="gramEnd"/>
            <w:r w:rsidRPr="00696EE1">
              <w:rPr>
                <w:rFonts w:ascii="Times New Roman" w:eastAsia="Calibri" w:hAnsi="Times New Roman"/>
                <w:lang w:val="en-GB" w:eastAsia="en-GB"/>
              </w:rPr>
              <w:t xml:space="preserve"> </w:t>
            </w:r>
          </w:p>
          <w:p w14:paraId="10B9B0CE"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Trial additional electronic resources and reminders outside the workshop setting. </w:t>
            </w:r>
          </w:p>
          <w:p w14:paraId="3EC08336"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Revise BREATHE materials to specifically address how to cope with job demands that promote burnout.</w:t>
            </w:r>
          </w:p>
          <w:p w14:paraId="7A76872E"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Target interventions to MHWs experiencing higher levels of burnout.</w:t>
            </w:r>
          </w:p>
          <w:p w14:paraId="302CE460"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Randomised control groups and longer follow-up periods</w:t>
            </w:r>
          </w:p>
          <w:p w14:paraId="454209AC"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Ensure acceptability and feasibility with racial and ethnic minority </w:t>
            </w:r>
            <w:proofErr w:type="gramStart"/>
            <w:r w:rsidRPr="00696EE1">
              <w:rPr>
                <w:rFonts w:ascii="Times New Roman" w:eastAsia="Calibri" w:hAnsi="Times New Roman"/>
                <w:lang w:val="en-GB" w:eastAsia="en-GB"/>
              </w:rPr>
              <w:t>groups</w:t>
            </w:r>
            <w:proofErr w:type="gramEnd"/>
          </w:p>
          <w:p w14:paraId="1179DA50"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3DA1414B" w14:textId="77777777" w:rsidTr="008D23CC">
        <w:trPr>
          <w:trHeight w:val="290"/>
        </w:trPr>
        <w:tc>
          <w:tcPr>
            <w:tcW w:w="2410" w:type="dxa"/>
            <w:vMerge w:val="restart"/>
            <w:tcBorders>
              <w:top w:val="nil"/>
              <w:left w:val="nil"/>
              <w:bottom w:val="nil"/>
              <w:right w:val="nil"/>
            </w:tcBorders>
            <w:hideMark/>
          </w:tcPr>
          <w:p w14:paraId="7256141D"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Expressive arts</w:t>
            </w:r>
          </w:p>
        </w:tc>
        <w:tc>
          <w:tcPr>
            <w:tcW w:w="12332" w:type="dxa"/>
            <w:gridSpan w:val="2"/>
            <w:tcBorders>
              <w:top w:val="nil"/>
              <w:left w:val="nil"/>
              <w:bottom w:val="nil"/>
              <w:right w:val="nil"/>
            </w:tcBorders>
            <w:noWrap/>
            <w:hideMark/>
          </w:tcPr>
          <w:p w14:paraId="6B4E806A" w14:textId="77777777" w:rsidR="00696EE1" w:rsidRPr="00696EE1" w:rsidRDefault="00696EE1" w:rsidP="00696EE1">
            <w:pPr>
              <w:numPr>
                <w:ilvl w:val="0"/>
                <w:numId w:val="7"/>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Recruit participants from a variety of settings to examine individual differences  </w:t>
            </w:r>
          </w:p>
        </w:tc>
      </w:tr>
      <w:tr w:rsidR="00696EE1" w:rsidRPr="00696EE1" w14:paraId="22712677" w14:textId="77777777" w:rsidTr="008D23CC">
        <w:trPr>
          <w:trHeight w:val="290"/>
        </w:trPr>
        <w:tc>
          <w:tcPr>
            <w:tcW w:w="2410" w:type="dxa"/>
            <w:vMerge/>
            <w:tcBorders>
              <w:top w:val="nil"/>
              <w:left w:val="nil"/>
              <w:bottom w:val="nil"/>
              <w:right w:val="nil"/>
            </w:tcBorders>
            <w:vAlign w:val="center"/>
            <w:hideMark/>
          </w:tcPr>
          <w:p w14:paraId="6E52AB8A" w14:textId="77777777" w:rsidR="00696EE1" w:rsidRPr="00696EE1" w:rsidRDefault="00696EE1" w:rsidP="008D23CC">
            <w:pPr>
              <w:rPr>
                <w:rFonts w:ascii="Times New Roman" w:hAnsi="Times New Roman"/>
                <w:color w:val="000000"/>
                <w:lang w:eastAsia="en-GB"/>
              </w:rPr>
            </w:pPr>
          </w:p>
        </w:tc>
        <w:tc>
          <w:tcPr>
            <w:tcW w:w="12332" w:type="dxa"/>
            <w:gridSpan w:val="2"/>
            <w:tcBorders>
              <w:top w:val="nil"/>
              <w:left w:val="nil"/>
              <w:bottom w:val="nil"/>
              <w:right w:val="nil"/>
            </w:tcBorders>
            <w:noWrap/>
          </w:tcPr>
          <w:p w14:paraId="748BD067"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Use a wider variety of research methods to explore </w:t>
            </w:r>
            <w:proofErr w:type="gramStart"/>
            <w:r w:rsidRPr="00696EE1">
              <w:rPr>
                <w:rFonts w:ascii="Times New Roman" w:eastAsia="Calibri" w:hAnsi="Times New Roman"/>
                <w:lang w:val="en-GB" w:eastAsia="en-GB"/>
              </w:rPr>
              <w:t>impact</w:t>
            </w:r>
            <w:proofErr w:type="gramEnd"/>
          </w:p>
          <w:p w14:paraId="32C7089D"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Investigate the precise effects of group drumming on factors associated with </w:t>
            </w:r>
            <w:proofErr w:type="gramStart"/>
            <w:r w:rsidRPr="00696EE1">
              <w:rPr>
                <w:rFonts w:ascii="Times New Roman" w:eastAsia="Calibri" w:hAnsi="Times New Roman"/>
                <w:lang w:val="en-GB" w:eastAsia="en-GB"/>
              </w:rPr>
              <w:t>burnout</w:t>
            </w:r>
            <w:proofErr w:type="gramEnd"/>
            <w:r w:rsidRPr="00696EE1">
              <w:rPr>
                <w:rFonts w:ascii="Times New Roman" w:eastAsia="Calibri" w:hAnsi="Times New Roman"/>
                <w:lang w:val="en-GB" w:eastAsia="en-GB"/>
              </w:rPr>
              <w:t xml:space="preserve"> </w:t>
            </w:r>
          </w:p>
          <w:p w14:paraId="18A238FE" w14:textId="77777777" w:rsidR="00696EE1" w:rsidRPr="00696EE1" w:rsidRDefault="00696EE1" w:rsidP="008D23CC">
            <w:pPr>
              <w:ind w:left="720"/>
              <w:contextualSpacing/>
              <w:rPr>
                <w:rFonts w:ascii="Times New Roman" w:eastAsia="Calibri" w:hAnsi="Times New Roman"/>
                <w:lang w:val="en-GB" w:eastAsia="en-GB"/>
              </w:rPr>
            </w:pPr>
          </w:p>
        </w:tc>
      </w:tr>
      <w:tr w:rsidR="00696EE1" w:rsidRPr="00696EE1" w14:paraId="39405C51" w14:textId="77777777" w:rsidTr="008D23CC">
        <w:trPr>
          <w:trHeight w:val="290"/>
        </w:trPr>
        <w:tc>
          <w:tcPr>
            <w:tcW w:w="2410" w:type="dxa"/>
            <w:tcBorders>
              <w:top w:val="nil"/>
              <w:left w:val="nil"/>
              <w:bottom w:val="nil"/>
              <w:right w:val="nil"/>
            </w:tcBorders>
          </w:tcPr>
          <w:p w14:paraId="69DD73ED"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Peer support/ relationships</w:t>
            </w:r>
          </w:p>
          <w:p w14:paraId="6FB53CFC"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nil"/>
              <w:right w:val="nil"/>
            </w:tcBorders>
            <w:noWrap/>
          </w:tcPr>
          <w:p w14:paraId="16F19359"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Longitudinal designs with follow-up to explore longevity of effects. </w:t>
            </w:r>
          </w:p>
          <w:p w14:paraId="4CAE844A"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Compare: online and face-to-face peer groups; hybrid models that include both online and face-to-face components. </w:t>
            </w:r>
          </w:p>
          <w:p w14:paraId="5E15E53F"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Focus on both process and outcome </w:t>
            </w:r>
            <w:proofErr w:type="gramStart"/>
            <w:r w:rsidRPr="00696EE1">
              <w:rPr>
                <w:rFonts w:ascii="Times New Roman" w:eastAsia="Calibri" w:hAnsi="Times New Roman"/>
                <w:lang w:val="en-GB" w:eastAsia="en-GB"/>
              </w:rPr>
              <w:t>measures</w:t>
            </w:r>
            <w:proofErr w:type="gramEnd"/>
          </w:p>
          <w:p w14:paraId="09087DFA"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lastRenderedPageBreak/>
              <w:t>Control groups and larger samples.</w:t>
            </w:r>
          </w:p>
          <w:p w14:paraId="25D59C5D"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Recruit participants with higher levels of emotional exhaustion to explore impact on this aspect of burnout more </w:t>
            </w:r>
            <w:proofErr w:type="gramStart"/>
            <w:r w:rsidRPr="00696EE1">
              <w:rPr>
                <w:rFonts w:ascii="Times New Roman" w:eastAsia="Calibri" w:hAnsi="Times New Roman"/>
                <w:lang w:val="en-GB" w:eastAsia="en-GB"/>
              </w:rPr>
              <w:t>specifically</w:t>
            </w:r>
            <w:proofErr w:type="gramEnd"/>
            <w:r w:rsidRPr="00696EE1">
              <w:rPr>
                <w:rFonts w:ascii="Times New Roman" w:eastAsia="Calibri" w:hAnsi="Times New Roman"/>
                <w:lang w:val="en-GB" w:eastAsia="en-GB"/>
              </w:rPr>
              <w:t xml:space="preserve"> </w:t>
            </w:r>
          </w:p>
          <w:p w14:paraId="0EDC6CA3" w14:textId="77777777" w:rsidR="00696EE1" w:rsidRPr="00696EE1" w:rsidRDefault="00696EE1" w:rsidP="008D23CC">
            <w:pPr>
              <w:rPr>
                <w:rFonts w:ascii="Times New Roman" w:eastAsia="Calibri" w:hAnsi="Times New Roman"/>
                <w:lang w:val="en-GB" w:eastAsia="en-GB"/>
              </w:rPr>
            </w:pPr>
          </w:p>
        </w:tc>
      </w:tr>
      <w:tr w:rsidR="00696EE1" w:rsidRPr="00696EE1" w14:paraId="5E3EC20B" w14:textId="77777777" w:rsidTr="008D23CC">
        <w:trPr>
          <w:trHeight w:val="290"/>
        </w:trPr>
        <w:tc>
          <w:tcPr>
            <w:tcW w:w="2410" w:type="dxa"/>
            <w:tcBorders>
              <w:top w:val="nil"/>
              <w:left w:val="nil"/>
              <w:bottom w:val="nil"/>
              <w:right w:val="nil"/>
            </w:tcBorders>
            <w:hideMark/>
          </w:tcPr>
          <w:p w14:paraId="7522649E"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lastRenderedPageBreak/>
              <w:t>Balint-like group</w:t>
            </w:r>
          </w:p>
        </w:tc>
        <w:tc>
          <w:tcPr>
            <w:tcW w:w="12332" w:type="dxa"/>
            <w:gridSpan w:val="2"/>
            <w:tcBorders>
              <w:top w:val="nil"/>
              <w:left w:val="nil"/>
              <w:bottom w:val="nil"/>
              <w:right w:val="nil"/>
            </w:tcBorders>
            <w:noWrap/>
            <w:hideMark/>
          </w:tcPr>
          <w:p w14:paraId="437AEF65" w14:textId="77777777" w:rsidR="00696EE1" w:rsidRPr="00696EE1" w:rsidRDefault="00696EE1" w:rsidP="00696EE1">
            <w:pPr>
              <w:numPr>
                <w:ilvl w:val="0"/>
                <w:numId w:val="8"/>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Larger sample sizes with more statistical power</w:t>
            </w:r>
          </w:p>
        </w:tc>
      </w:tr>
      <w:tr w:rsidR="00696EE1" w:rsidRPr="00696EE1" w14:paraId="6C72EAC0" w14:textId="77777777" w:rsidTr="008D23CC">
        <w:trPr>
          <w:trHeight w:val="290"/>
        </w:trPr>
        <w:tc>
          <w:tcPr>
            <w:tcW w:w="2410" w:type="dxa"/>
            <w:vMerge w:val="restart"/>
            <w:tcBorders>
              <w:top w:val="nil"/>
              <w:left w:val="nil"/>
              <w:bottom w:val="nil"/>
              <w:right w:val="nil"/>
            </w:tcBorders>
          </w:tcPr>
          <w:p w14:paraId="28A6FD5C"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Training in other therapeutic interventions (</w:t>
            </w:r>
            <w:proofErr w:type="gramStart"/>
            <w:r w:rsidRPr="00696EE1">
              <w:rPr>
                <w:rFonts w:ascii="Times New Roman" w:eastAsia="Calibri" w:hAnsi="Times New Roman"/>
                <w:color w:val="000000"/>
                <w:lang w:val="en-GB" w:eastAsia="en-GB"/>
              </w:rPr>
              <w:t>CBT;</w:t>
            </w:r>
            <w:proofErr w:type="gramEnd"/>
            <w:r w:rsidRPr="00696EE1">
              <w:rPr>
                <w:rFonts w:ascii="Times New Roman" w:eastAsia="Calibri" w:hAnsi="Times New Roman"/>
                <w:color w:val="000000"/>
                <w:lang w:val="en-GB" w:eastAsia="en-GB"/>
              </w:rPr>
              <w:t xml:space="preserve"> </w:t>
            </w:r>
          </w:p>
          <w:p w14:paraId="29527256" w14:textId="77777777" w:rsidR="00696EE1" w:rsidRPr="00696EE1" w:rsidRDefault="00696EE1" w:rsidP="008D23CC">
            <w:pPr>
              <w:rPr>
                <w:rFonts w:ascii="Times New Roman" w:eastAsia="Calibri" w:hAnsi="Times New Roman"/>
                <w:color w:val="000000"/>
                <w:lang w:val="en-GB" w:eastAsia="en-GB"/>
              </w:rPr>
            </w:pPr>
            <w:r w:rsidRPr="00696EE1">
              <w:rPr>
                <w:rFonts w:ascii="Times New Roman" w:eastAsia="Calibri" w:hAnsi="Times New Roman"/>
                <w:color w:val="000000"/>
                <w:lang w:val="en-GB" w:eastAsia="en-GB"/>
              </w:rPr>
              <w:t>psychosis/BPD interventions).</w:t>
            </w:r>
          </w:p>
          <w:p w14:paraId="5AF924C2"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nil"/>
              <w:right w:val="nil"/>
            </w:tcBorders>
            <w:noWrap/>
            <w:hideMark/>
          </w:tcPr>
          <w:p w14:paraId="23040650" w14:textId="77777777" w:rsidR="00696EE1" w:rsidRPr="00696EE1" w:rsidRDefault="00696EE1" w:rsidP="00696EE1">
            <w:pPr>
              <w:numPr>
                <w:ilvl w:val="0"/>
                <w:numId w:val="9"/>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More rigorous experimental designs</w:t>
            </w:r>
          </w:p>
        </w:tc>
      </w:tr>
      <w:tr w:rsidR="00696EE1" w:rsidRPr="00696EE1" w14:paraId="2F9F5538" w14:textId="77777777" w:rsidTr="008D23CC">
        <w:trPr>
          <w:trHeight w:val="290"/>
        </w:trPr>
        <w:tc>
          <w:tcPr>
            <w:tcW w:w="2410" w:type="dxa"/>
            <w:vMerge/>
            <w:tcBorders>
              <w:top w:val="nil"/>
              <w:left w:val="nil"/>
              <w:bottom w:val="nil"/>
              <w:right w:val="nil"/>
            </w:tcBorders>
            <w:vAlign w:val="center"/>
            <w:hideMark/>
          </w:tcPr>
          <w:p w14:paraId="0FA4B0BA" w14:textId="77777777" w:rsidR="00696EE1" w:rsidRPr="00696EE1" w:rsidRDefault="00696EE1" w:rsidP="008D23CC">
            <w:pPr>
              <w:rPr>
                <w:rFonts w:ascii="Times New Roman" w:hAnsi="Times New Roman"/>
                <w:lang w:eastAsia="en-GB"/>
              </w:rPr>
            </w:pPr>
          </w:p>
        </w:tc>
        <w:tc>
          <w:tcPr>
            <w:tcW w:w="12332" w:type="dxa"/>
            <w:gridSpan w:val="2"/>
            <w:tcBorders>
              <w:top w:val="nil"/>
              <w:left w:val="nil"/>
              <w:bottom w:val="nil"/>
              <w:right w:val="nil"/>
            </w:tcBorders>
            <w:noWrap/>
            <w:hideMark/>
          </w:tcPr>
          <w:p w14:paraId="3C1C957B" w14:textId="77777777" w:rsidR="00696EE1" w:rsidRPr="00696EE1" w:rsidRDefault="00696EE1" w:rsidP="00696EE1">
            <w:pPr>
              <w:numPr>
                <w:ilvl w:val="0"/>
                <w:numId w:val="10"/>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Does training result in improved patient outcomes?</w:t>
            </w:r>
          </w:p>
        </w:tc>
      </w:tr>
      <w:tr w:rsidR="00696EE1" w:rsidRPr="00696EE1" w14:paraId="246A621A" w14:textId="77777777" w:rsidTr="008D23CC">
        <w:trPr>
          <w:trHeight w:val="290"/>
        </w:trPr>
        <w:tc>
          <w:tcPr>
            <w:tcW w:w="2410" w:type="dxa"/>
            <w:vMerge/>
            <w:tcBorders>
              <w:top w:val="nil"/>
              <w:left w:val="nil"/>
              <w:bottom w:val="nil"/>
              <w:right w:val="nil"/>
            </w:tcBorders>
            <w:vAlign w:val="center"/>
            <w:hideMark/>
          </w:tcPr>
          <w:p w14:paraId="0E950E67" w14:textId="77777777" w:rsidR="00696EE1" w:rsidRPr="00696EE1" w:rsidRDefault="00696EE1" w:rsidP="008D23CC">
            <w:pPr>
              <w:rPr>
                <w:rFonts w:ascii="Times New Roman" w:hAnsi="Times New Roman"/>
                <w:lang w:eastAsia="en-GB"/>
              </w:rPr>
            </w:pPr>
          </w:p>
        </w:tc>
        <w:tc>
          <w:tcPr>
            <w:tcW w:w="12332" w:type="dxa"/>
            <w:gridSpan w:val="2"/>
            <w:tcBorders>
              <w:top w:val="nil"/>
              <w:left w:val="nil"/>
              <w:bottom w:val="nil"/>
              <w:right w:val="nil"/>
            </w:tcBorders>
            <w:noWrap/>
            <w:hideMark/>
          </w:tcPr>
          <w:p w14:paraId="07563CB8" w14:textId="77777777" w:rsidR="00696EE1" w:rsidRPr="00696EE1" w:rsidRDefault="00696EE1" w:rsidP="00696EE1">
            <w:pPr>
              <w:numPr>
                <w:ilvl w:val="0"/>
                <w:numId w:val="10"/>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Will results generalise to other mental health providers? </w:t>
            </w:r>
          </w:p>
          <w:p w14:paraId="12641445" w14:textId="77777777" w:rsidR="00696EE1" w:rsidRPr="00696EE1" w:rsidRDefault="00696EE1" w:rsidP="00696EE1">
            <w:pPr>
              <w:numPr>
                <w:ilvl w:val="0"/>
                <w:numId w:val="10"/>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Do reductions in burnout for MHWs attending training sustain over time?</w:t>
            </w:r>
          </w:p>
        </w:tc>
      </w:tr>
      <w:tr w:rsidR="00696EE1" w:rsidRPr="00696EE1" w14:paraId="2330F645" w14:textId="77777777" w:rsidTr="008D23CC">
        <w:trPr>
          <w:trHeight w:val="290"/>
        </w:trPr>
        <w:tc>
          <w:tcPr>
            <w:tcW w:w="2410" w:type="dxa"/>
            <w:vMerge w:val="restart"/>
            <w:tcBorders>
              <w:top w:val="nil"/>
              <w:left w:val="nil"/>
              <w:bottom w:val="nil"/>
              <w:right w:val="nil"/>
            </w:tcBorders>
          </w:tcPr>
          <w:p w14:paraId="20423A6B" w14:textId="77777777" w:rsidR="00696EE1" w:rsidRPr="00696EE1" w:rsidRDefault="00696EE1" w:rsidP="008D23CC">
            <w:pPr>
              <w:rPr>
                <w:rFonts w:ascii="Times New Roman" w:eastAsia="Calibri" w:hAnsi="Times New Roman"/>
                <w:lang w:val="en-GB" w:eastAsia="en-GB"/>
              </w:rPr>
            </w:pPr>
            <w:r w:rsidRPr="00696EE1">
              <w:rPr>
                <w:rFonts w:ascii="Times New Roman" w:eastAsia="Calibri" w:hAnsi="Times New Roman"/>
                <w:color w:val="000000"/>
                <w:lang w:val="en-GB" w:eastAsia="en-GB"/>
              </w:rPr>
              <w:t xml:space="preserve">Wellness/stress reduction </w:t>
            </w:r>
          </w:p>
          <w:p w14:paraId="27C7CC7A" w14:textId="77777777" w:rsidR="00696EE1" w:rsidRPr="00696EE1" w:rsidRDefault="00696EE1" w:rsidP="008D23CC">
            <w:pPr>
              <w:rPr>
                <w:rFonts w:ascii="Times New Roman" w:eastAsia="Calibri" w:hAnsi="Times New Roman"/>
                <w:color w:val="000000"/>
                <w:lang w:val="en-GB" w:eastAsia="en-GB"/>
              </w:rPr>
            </w:pPr>
          </w:p>
          <w:p w14:paraId="36FC213D"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nil"/>
              <w:right w:val="nil"/>
            </w:tcBorders>
            <w:noWrap/>
            <w:hideMark/>
          </w:tcPr>
          <w:p w14:paraId="0193EE7E" w14:textId="77777777" w:rsidR="00696EE1" w:rsidRPr="00696EE1" w:rsidRDefault="00696EE1" w:rsidP="00696EE1">
            <w:pPr>
              <w:numPr>
                <w:ilvl w:val="0"/>
                <w:numId w:val="11"/>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Recruit homogeneous samples or else stratify more varied samples by job classification</w:t>
            </w:r>
          </w:p>
        </w:tc>
      </w:tr>
      <w:tr w:rsidR="00696EE1" w:rsidRPr="00696EE1" w14:paraId="02EDF73A" w14:textId="77777777" w:rsidTr="008D23CC">
        <w:trPr>
          <w:trHeight w:val="290"/>
        </w:trPr>
        <w:tc>
          <w:tcPr>
            <w:tcW w:w="2410" w:type="dxa"/>
            <w:vMerge/>
            <w:tcBorders>
              <w:top w:val="nil"/>
              <w:left w:val="nil"/>
              <w:bottom w:val="nil"/>
              <w:right w:val="nil"/>
            </w:tcBorders>
            <w:vAlign w:val="center"/>
            <w:hideMark/>
          </w:tcPr>
          <w:p w14:paraId="28648C23" w14:textId="77777777" w:rsidR="00696EE1" w:rsidRPr="00696EE1" w:rsidRDefault="00696EE1" w:rsidP="008D23CC">
            <w:pPr>
              <w:rPr>
                <w:rFonts w:ascii="Times New Roman" w:hAnsi="Times New Roman"/>
                <w:lang w:eastAsia="en-GB"/>
              </w:rPr>
            </w:pPr>
          </w:p>
        </w:tc>
        <w:tc>
          <w:tcPr>
            <w:tcW w:w="12332" w:type="dxa"/>
            <w:gridSpan w:val="2"/>
            <w:tcBorders>
              <w:top w:val="nil"/>
              <w:left w:val="nil"/>
              <w:bottom w:val="nil"/>
              <w:right w:val="nil"/>
            </w:tcBorders>
            <w:noWrap/>
            <w:hideMark/>
          </w:tcPr>
          <w:p w14:paraId="3460DC3E" w14:textId="77777777" w:rsidR="00696EE1" w:rsidRPr="00696EE1" w:rsidRDefault="00696EE1" w:rsidP="00696EE1">
            <w:pPr>
              <w:numPr>
                <w:ilvl w:val="0"/>
                <w:numId w:val="11"/>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Larger samples, randomization to groups</w:t>
            </w:r>
          </w:p>
        </w:tc>
      </w:tr>
      <w:tr w:rsidR="00696EE1" w:rsidRPr="00696EE1" w14:paraId="13119D6E" w14:textId="77777777" w:rsidTr="008D23CC">
        <w:trPr>
          <w:trHeight w:val="290"/>
        </w:trPr>
        <w:tc>
          <w:tcPr>
            <w:tcW w:w="2410" w:type="dxa"/>
            <w:vMerge/>
            <w:tcBorders>
              <w:top w:val="nil"/>
              <w:left w:val="nil"/>
              <w:bottom w:val="nil"/>
              <w:right w:val="nil"/>
            </w:tcBorders>
            <w:vAlign w:val="center"/>
            <w:hideMark/>
          </w:tcPr>
          <w:p w14:paraId="7E322CD8" w14:textId="77777777" w:rsidR="00696EE1" w:rsidRPr="00696EE1" w:rsidRDefault="00696EE1" w:rsidP="008D23CC">
            <w:pPr>
              <w:rPr>
                <w:rFonts w:ascii="Times New Roman" w:hAnsi="Times New Roman"/>
                <w:lang w:eastAsia="en-GB"/>
              </w:rPr>
            </w:pPr>
          </w:p>
        </w:tc>
        <w:tc>
          <w:tcPr>
            <w:tcW w:w="12332" w:type="dxa"/>
            <w:gridSpan w:val="2"/>
            <w:tcBorders>
              <w:top w:val="nil"/>
              <w:left w:val="nil"/>
              <w:bottom w:val="nil"/>
              <w:right w:val="nil"/>
            </w:tcBorders>
            <w:noWrap/>
            <w:hideMark/>
          </w:tcPr>
          <w:p w14:paraId="65EF4894" w14:textId="77777777" w:rsidR="00696EE1" w:rsidRPr="00696EE1" w:rsidRDefault="00696EE1" w:rsidP="00696EE1">
            <w:pPr>
              <w:numPr>
                <w:ilvl w:val="0"/>
                <w:numId w:val="11"/>
              </w:numPr>
              <w:spacing w:line="256" w:lineRule="auto"/>
              <w:contextualSpacing/>
              <w:rPr>
                <w:rFonts w:ascii="Times New Roman" w:eastAsia="Calibri" w:hAnsi="Times New Roman"/>
                <w:lang w:val="en-GB" w:eastAsia="en-GB"/>
              </w:rPr>
            </w:pPr>
            <w:r w:rsidRPr="00696EE1">
              <w:rPr>
                <w:rFonts w:ascii="Times New Roman" w:eastAsia="Calibri" w:hAnsi="Times New Roman"/>
                <w:lang w:val="en-GB" w:eastAsia="en-GB"/>
              </w:rPr>
              <w:t>Explore differences between single and partnered MHWs, including experience and/or frequency of touch in their lives.</w:t>
            </w:r>
          </w:p>
          <w:p w14:paraId="27C03081" w14:textId="77777777" w:rsidR="00696EE1" w:rsidRPr="00696EE1" w:rsidRDefault="00696EE1" w:rsidP="008D23CC">
            <w:pPr>
              <w:ind w:left="720"/>
              <w:contextualSpacing/>
              <w:rPr>
                <w:rFonts w:ascii="Times New Roman" w:eastAsia="Calibri" w:hAnsi="Times New Roman"/>
                <w:lang w:val="en-GB" w:eastAsia="en-GB"/>
              </w:rPr>
            </w:pPr>
            <w:r w:rsidRPr="00696EE1">
              <w:rPr>
                <w:rFonts w:ascii="Times New Roman" w:eastAsia="Calibri" w:hAnsi="Times New Roman"/>
                <w:lang w:val="en-GB" w:eastAsia="en-GB"/>
              </w:rPr>
              <w:t xml:space="preserve"> </w:t>
            </w:r>
          </w:p>
        </w:tc>
      </w:tr>
      <w:tr w:rsidR="00696EE1" w:rsidRPr="00696EE1" w14:paraId="7FCCA1AA" w14:textId="77777777" w:rsidTr="008D23CC">
        <w:trPr>
          <w:trHeight w:val="290"/>
        </w:trPr>
        <w:tc>
          <w:tcPr>
            <w:tcW w:w="2410" w:type="dxa"/>
            <w:tcBorders>
              <w:top w:val="nil"/>
              <w:left w:val="nil"/>
              <w:bottom w:val="single" w:sz="12" w:space="0" w:color="auto"/>
              <w:right w:val="nil"/>
            </w:tcBorders>
          </w:tcPr>
          <w:p w14:paraId="25D15343" w14:textId="77777777" w:rsidR="00696EE1" w:rsidRPr="00696EE1" w:rsidRDefault="00696EE1" w:rsidP="008D23CC">
            <w:pPr>
              <w:rPr>
                <w:rFonts w:ascii="Times New Roman" w:eastAsia="Calibri" w:hAnsi="Times New Roman"/>
                <w:lang w:val="en-GB" w:eastAsia="en-GB"/>
              </w:rPr>
            </w:pPr>
          </w:p>
        </w:tc>
        <w:tc>
          <w:tcPr>
            <w:tcW w:w="12332" w:type="dxa"/>
            <w:gridSpan w:val="2"/>
            <w:tcBorders>
              <w:top w:val="nil"/>
              <w:left w:val="nil"/>
              <w:bottom w:val="single" w:sz="12" w:space="0" w:color="auto"/>
              <w:right w:val="nil"/>
            </w:tcBorders>
            <w:noWrap/>
          </w:tcPr>
          <w:p w14:paraId="6A74040F" w14:textId="77777777" w:rsidR="00696EE1" w:rsidRPr="00696EE1" w:rsidRDefault="00696EE1" w:rsidP="00696EE1">
            <w:pPr>
              <w:numPr>
                <w:ilvl w:val="0"/>
                <w:numId w:val="11"/>
              </w:numPr>
              <w:spacing w:line="256" w:lineRule="auto"/>
              <w:contextualSpacing/>
              <w:rPr>
                <w:rFonts w:ascii="Times New Roman" w:eastAsia="Calibri" w:hAnsi="Times New Roman"/>
                <w:lang w:val="en-GB" w:eastAsia="en-GB"/>
              </w:rPr>
            </w:pPr>
          </w:p>
        </w:tc>
      </w:tr>
    </w:tbl>
    <w:p w14:paraId="5B5B8E0D" w14:textId="6862FE60" w:rsidR="00696EE1" w:rsidRPr="00696EE1" w:rsidRDefault="00696EE1">
      <w:pPr>
        <w:rPr>
          <w:rFonts w:ascii="Times New Roman" w:hAnsi="Times New Roman" w:cs="Times New Roman"/>
        </w:rPr>
      </w:pPr>
      <w:r w:rsidRPr="00696EE1">
        <w:rPr>
          <w:rFonts w:ascii="Times New Roman" w:eastAsia="Times New Roman" w:hAnsi="Times New Roman" w:cs="Times New Roman"/>
          <w:bCs/>
          <w:i/>
          <w:lang w:eastAsia="en-GB"/>
        </w:rPr>
        <w:t xml:space="preserve">Note.  </w:t>
      </w:r>
      <w:r w:rsidRPr="00696EE1">
        <w:rPr>
          <w:rFonts w:ascii="Times New Roman" w:eastAsia="Times New Roman" w:hAnsi="Times New Roman" w:cs="Times New Roman"/>
          <w:bCs/>
          <w:lang w:eastAsia="en-GB"/>
        </w:rPr>
        <w:t xml:space="preserve">ACT = acceptance and commitment therapy; BREATHE = Burnout Reduction: Enhanced Awareness, Tools, Hand-outs, and Education; CF = compassion fatigue; CITs = counsellors in training; DBT= dialectical behaviour therapy; MBIs= mindfulness-based interventions; MHWs= mental health workers; PSI = psychosocial </w:t>
      </w:r>
      <w:proofErr w:type="gramStart"/>
      <w:r w:rsidRPr="00696EE1">
        <w:rPr>
          <w:rFonts w:ascii="Times New Roman" w:eastAsia="Times New Roman" w:hAnsi="Times New Roman" w:cs="Times New Roman"/>
          <w:bCs/>
          <w:lang w:eastAsia="en-GB"/>
        </w:rPr>
        <w:t>interventions;  STS</w:t>
      </w:r>
      <w:proofErr w:type="gramEnd"/>
      <w:r w:rsidRPr="00696EE1">
        <w:rPr>
          <w:rFonts w:ascii="Times New Roman" w:eastAsia="Times New Roman" w:hAnsi="Times New Roman" w:cs="Times New Roman"/>
          <w:bCs/>
          <w:lang w:eastAsia="en-GB"/>
        </w:rPr>
        <w:t xml:space="preserve"> = secondary traumatic stress</w:t>
      </w:r>
    </w:p>
    <w:sectPr w:rsidR="00696EE1" w:rsidRPr="00696EE1" w:rsidSect="000F1D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2BF"/>
    <w:multiLevelType w:val="hybridMultilevel"/>
    <w:tmpl w:val="9C80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39C1"/>
    <w:multiLevelType w:val="hybridMultilevel"/>
    <w:tmpl w:val="E49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22BC"/>
    <w:multiLevelType w:val="hybridMultilevel"/>
    <w:tmpl w:val="4402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32A49"/>
    <w:multiLevelType w:val="hybridMultilevel"/>
    <w:tmpl w:val="15EC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F6AD6"/>
    <w:multiLevelType w:val="hybridMultilevel"/>
    <w:tmpl w:val="3704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73C0"/>
    <w:multiLevelType w:val="hybridMultilevel"/>
    <w:tmpl w:val="1E72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B6B00"/>
    <w:multiLevelType w:val="multilevel"/>
    <w:tmpl w:val="3F3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655299"/>
    <w:multiLevelType w:val="hybridMultilevel"/>
    <w:tmpl w:val="2600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D5601"/>
    <w:multiLevelType w:val="hybridMultilevel"/>
    <w:tmpl w:val="EB7C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00D47"/>
    <w:multiLevelType w:val="multilevel"/>
    <w:tmpl w:val="198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F22B97"/>
    <w:multiLevelType w:val="multilevel"/>
    <w:tmpl w:val="114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9249189">
    <w:abstractNumId w:val="6"/>
  </w:num>
  <w:num w:numId="2" w16cid:durableId="538201243">
    <w:abstractNumId w:val="10"/>
  </w:num>
  <w:num w:numId="3" w16cid:durableId="99647339">
    <w:abstractNumId w:val="9"/>
  </w:num>
  <w:num w:numId="4" w16cid:durableId="340666497">
    <w:abstractNumId w:val="2"/>
  </w:num>
  <w:num w:numId="5" w16cid:durableId="559558879">
    <w:abstractNumId w:val="0"/>
  </w:num>
  <w:num w:numId="6" w16cid:durableId="244193634">
    <w:abstractNumId w:val="1"/>
  </w:num>
  <w:num w:numId="7" w16cid:durableId="1305351567">
    <w:abstractNumId w:val="3"/>
  </w:num>
  <w:num w:numId="8" w16cid:durableId="969936434">
    <w:abstractNumId w:val="8"/>
  </w:num>
  <w:num w:numId="9" w16cid:durableId="1157183773">
    <w:abstractNumId w:val="7"/>
  </w:num>
  <w:num w:numId="10" w16cid:durableId="491483096">
    <w:abstractNumId w:val="4"/>
  </w:num>
  <w:num w:numId="11" w16cid:durableId="204408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28"/>
    <w:rsid w:val="000F1DB0"/>
    <w:rsid w:val="00337928"/>
    <w:rsid w:val="004D64C4"/>
    <w:rsid w:val="005F2EA7"/>
    <w:rsid w:val="00696EE1"/>
    <w:rsid w:val="0079345C"/>
    <w:rsid w:val="00A34542"/>
    <w:rsid w:val="00B71EC9"/>
    <w:rsid w:val="00D32D16"/>
    <w:rsid w:val="00DF1798"/>
    <w:rsid w:val="00ED256A"/>
    <w:rsid w:val="00FF0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FD35"/>
  <w15:chartTrackingRefBased/>
  <w15:docId w15:val="{CF9008C9-02FE-4BDC-8F83-EA54475E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928"/>
    <w:rPr>
      <w:rFonts w:eastAsiaTheme="majorEastAsia" w:cstheme="majorBidi"/>
      <w:color w:val="272727" w:themeColor="text1" w:themeTint="D8"/>
    </w:rPr>
  </w:style>
  <w:style w:type="paragraph" w:styleId="Title">
    <w:name w:val="Title"/>
    <w:basedOn w:val="Normal"/>
    <w:next w:val="Normal"/>
    <w:link w:val="TitleChar"/>
    <w:uiPriority w:val="10"/>
    <w:qFormat/>
    <w:rsid w:val="00337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928"/>
    <w:pPr>
      <w:spacing w:before="160"/>
      <w:jc w:val="center"/>
    </w:pPr>
    <w:rPr>
      <w:i/>
      <w:iCs/>
      <w:color w:val="404040" w:themeColor="text1" w:themeTint="BF"/>
    </w:rPr>
  </w:style>
  <w:style w:type="character" w:customStyle="1" w:styleId="QuoteChar">
    <w:name w:val="Quote Char"/>
    <w:basedOn w:val="DefaultParagraphFont"/>
    <w:link w:val="Quote"/>
    <w:uiPriority w:val="29"/>
    <w:rsid w:val="00337928"/>
    <w:rPr>
      <w:i/>
      <w:iCs/>
      <w:color w:val="404040" w:themeColor="text1" w:themeTint="BF"/>
    </w:rPr>
  </w:style>
  <w:style w:type="paragraph" w:styleId="ListParagraph">
    <w:name w:val="List Paragraph"/>
    <w:basedOn w:val="Normal"/>
    <w:uiPriority w:val="34"/>
    <w:qFormat/>
    <w:rsid w:val="00337928"/>
    <w:pPr>
      <w:ind w:left="720"/>
      <w:contextualSpacing/>
    </w:pPr>
  </w:style>
  <w:style w:type="character" w:styleId="IntenseEmphasis">
    <w:name w:val="Intense Emphasis"/>
    <w:basedOn w:val="DefaultParagraphFont"/>
    <w:uiPriority w:val="21"/>
    <w:qFormat/>
    <w:rsid w:val="00337928"/>
    <w:rPr>
      <w:i/>
      <w:iCs/>
      <w:color w:val="0F4761" w:themeColor="accent1" w:themeShade="BF"/>
    </w:rPr>
  </w:style>
  <w:style w:type="paragraph" w:styleId="IntenseQuote">
    <w:name w:val="Intense Quote"/>
    <w:basedOn w:val="Normal"/>
    <w:next w:val="Normal"/>
    <w:link w:val="IntenseQuoteChar"/>
    <w:uiPriority w:val="30"/>
    <w:qFormat/>
    <w:rsid w:val="00337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928"/>
    <w:rPr>
      <w:i/>
      <w:iCs/>
      <w:color w:val="0F4761" w:themeColor="accent1" w:themeShade="BF"/>
    </w:rPr>
  </w:style>
  <w:style w:type="character" w:styleId="IntenseReference">
    <w:name w:val="Intense Reference"/>
    <w:basedOn w:val="DefaultParagraphFont"/>
    <w:uiPriority w:val="32"/>
    <w:qFormat/>
    <w:rsid w:val="00337928"/>
    <w:rPr>
      <w:b/>
      <w:bCs/>
      <w:smallCaps/>
      <w:color w:val="0F4761" w:themeColor="accent1" w:themeShade="BF"/>
      <w:spacing w:val="5"/>
    </w:rPr>
  </w:style>
  <w:style w:type="paragraph" w:customStyle="1" w:styleId="paragraph">
    <w:name w:val="paragraph"/>
    <w:basedOn w:val="Normal"/>
    <w:rsid w:val="003379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37928"/>
  </w:style>
  <w:style w:type="character" w:customStyle="1" w:styleId="eop">
    <w:name w:val="eop"/>
    <w:basedOn w:val="DefaultParagraphFont"/>
    <w:rsid w:val="00337928"/>
  </w:style>
  <w:style w:type="character" w:customStyle="1" w:styleId="contentcontrolboundarysink">
    <w:name w:val="contentcontrolboundarysink"/>
    <w:basedOn w:val="DefaultParagraphFont"/>
    <w:rsid w:val="00337928"/>
  </w:style>
  <w:style w:type="table" w:customStyle="1" w:styleId="APAReport5">
    <w:name w:val="APA Report5"/>
    <w:basedOn w:val="TableNormal"/>
    <w:uiPriority w:val="99"/>
    <w:rsid w:val="00696EE1"/>
    <w:pPr>
      <w:spacing w:after="0" w:line="240" w:lineRule="auto"/>
    </w:pPr>
    <w:rPr>
      <w:rFonts w:ascii="Calibri" w:eastAsia="Times New Roman" w:hAnsi="Calibri" w:cs="Times New Roman"/>
      <w:kern w:val="0"/>
      <w:lang w:val="en-US" w:eastAsia="ja-JP"/>
      <w14:ligatures w14:val="none"/>
    </w:rPr>
    <w:tblPr>
      <w:tblInd w:w="0" w:type="nil"/>
      <w:tblBorders>
        <w:top w:val="single" w:sz="12" w:space="0" w:color="auto"/>
        <w:bottom w:val="single" w:sz="12" w:space="0" w:color="auto"/>
      </w:tblBorders>
    </w:tblPr>
    <w:tblStylePr w:type="firstRow">
      <w:rPr>
        <w:rFonts w:ascii="Calibri Light" w:hAnsi="Calibri Light" w:cs="Calibri Light" w:hint="default"/>
      </w:rPr>
      <w:tbl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3">
    <w:name w:val="APA Report23"/>
    <w:basedOn w:val="TableNormal"/>
    <w:uiPriority w:val="99"/>
    <w:rsid w:val="00696EE1"/>
    <w:pPr>
      <w:spacing w:after="0" w:line="240" w:lineRule="auto"/>
    </w:pPr>
    <w:rPr>
      <w:rFonts w:ascii="Calibri" w:eastAsia="Times New Roman" w:hAnsi="Calibri" w:cs="Times New Roman"/>
      <w:kern w:val="0"/>
      <w:lang w:val="en-US" w:eastAsia="ja-JP"/>
      <w14:ligatures w14:val="none"/>
    </w:rPr>
    <w:tblPr>
      <w:tblInd w:w="0" w:type="nil"/>
      <w:tblBorders>
        <w:top w:val="single" w:sz="12" w:space="0" w:color="auto"/>
        <w:bottom w:val="single" w:sz="12" w:space="0" w:color="auto"/>
      </w:tblBorders>
    </w:tblPr>
    <w:tblStylePr w:type="firstRow">
      <w:rPr>
        <w:rFonts w:ascii="Calibri Light" w:hAnsi="Calibri Light" w:cs="Calibri Light" w:hint="default"/>
      </w:rPr>
      <w:tblPr/>
      <w:tcPr>
        <w:tcBorders>
          <w:top w:val="single" w:sz="12" w:space="0" w:color="auto"/>
          <w:left w:val="nil"/>
          <w:bottom w:val="single" w:sz="1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D256A"/>
    <w:rPr>
      <w:sz w:val="16"/>
      <w:szCs w:val="16"/>
    </w:rPr>
  </w:style>
  <w:style w:type="paragraph" w:customStyle="1" w:styleId="CommentText1">
    <w:name w:val="Comment Text1"/>
    <w:basedOn w:val="Normal"/>
    <w:next w:val="CommentText"/>
    <w:link w:val="CommentTextChar"/>
    <w:uiPriority w:val="99"/>
    <w:unhideWhenUsed/>
    <w:rsid w:val="00ED256A"/>
    <w:pPr>
      <w:spacing w:before="120" w:after="240" w:line="240" w:lineRule="auto"/>
    </w:pPr>
    <w:rPr>
      <w:rFonts w:ascii="Times New Roman" w:hAnsi="Times New Roman"/>
      <w:sz w:val="20"/>
      <w:szCs w:val="20"/>
    </w:rPr>
  </w:style>
  <w:style w:type="character" w:customStyle="1" w:styleId="CommentTextChar">
    <w:name w:val="Comment Text Char"/>
    <w:basedOn w:val="DefaultParagraphFont"/>
    <w:link w:val="CommentText1"/>
    <w:uiPriority w:val="99"/>
    <w:rsid w:val="00ED256A"/>
    <w:rPr>
      <w:rFonts w:ascii="Times New Roman" w:hAnsi="Times New Roman"/>
      <w:sz w:val="20"/>
      <w:szCs w:val="20"/>
    </w:rPr>
  </w:style>
  <w:style w:type="table" w:customStyle="1" w:styleId="APAReport">
    <w:name w:val="APA Report"/>
    <w:basedOn w:val="TableNormal"/>
    <w:uiPriority w:val="99"/>
    <w:rsid w:val="00ED256A"/>
    <w:pPr>
      <w:spacing w:after="0" w:line="240" w:lineRule="auto"/>
    </w:pPr>
    <w:rPr>
      <w:rFonts w:eastAsia="Times New Roman"/>
      <w:kern w:val="0"/>
      <w:lang w:val="en-US" w:eastAsia="ja-JP"/>
      <w14:ligatures w14:val="none"/>
    </w:rPr>
    <w:tblPr>
      <w:tblBorders>
        <w:top w:val="single" w:sz="12" w:space="0" w:color="auto"/>
        <w:bottom w:val="single" w:sz="12" w:space="0" w:color="auto"/>
      </w:tblBorders>
    </w:tblPr>
    <w:tblStylePr w:type="firstRow">
      <w:rPr>
        <w:rFonts w:ascii="Cambria" w:hAnsi="Cambr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styleId="CommentText">
    <w:name w:val="annotation text"/>
    <w:basedOn w:val="Normal"/>
    <w:link w:val="CommentTextChar1"/>
    <w:uiPriority w:val="99"/>
    <w:semiHidden/>
    <w:unhideWhenUsed/>
    <w:rsid w:val="00ED256A"/>
    <w:pPr>
      <w:spacing w:line="240" w:lineRule="auto"/>
    </w:pPr>
    <w:rPr>
      <w:sz w:val="20"/>
      <w:szCs w:val="20"/>
    </w:rPr>
  </w:style>
  <w:style w:type="character" w:customStyle="1" w:styleId="CommentTextChar1">
    <w:name w:val="Comment Text Char1"/>
    <w:basedOn w:val="DefaultParagraphFont"/>
    <w:link w:val="CommentText"/>
    <w:uiPriority w:val="99"/>
    <w:semiHidden/>
    <w:rsid w:val="00ED25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6196">
      <w:bodyDiv w:val="1"/>
      <w:marLeft w:val="0"/>
      <w:marRight w:val="0"/>
      <w:marTop w:val="0"/>
      <w:marBottom w:val="0"/>
      <w:divBdr>
        <w:top w:val="none" w:sz="0" w:space="0" w:color="auto"/>
        <w:left w:val="none" w:sz="0" w:space="0" w:color="auto"/>
        <w:bottom w:val="none" w:sz="0" w:space="0" w:color="auto"/>
        <w:right w:val="none" w:sz="0" w:space="0" w:color="auto"/>
      </w:divBdr>
      <w:divsChild>
        <w:div w:id="1037005868">
          <w:marLeft w:val="0"/>
          <w:marRight w:val="0"/>
          <w:marTop w:val="0"/>
          <w:marBottom w:val="0"/>
          <w:divBdr>
            <w:top w:val="none" w:sz="0" w:space="0" w:color="auto"/>
            <w:left w:val="none" w:sz="0" w:space="0" w:color="auto"/>
            <w:bottom w:val="none" w:sz="0" w:space="0" w:color="auto"/>
            <w:right w:val="none" w:sz="0" w:space="0" w:color="auto"/>
          </w:divBdr>
        </w:div>
        <w:div w:id="1857841870">
          <w:marLeft w:val="0"/>
          <w:marRight w:val="0"/>
          <w:marTop w:val="0"/>
          <w:marBottom w:val="0"/>
          <w:divBdr>
            <w:top w:val="none" w:sz="0" w:space="0" w:color="auto"/>
            <w:left w:val="none" w:sz="0" w:space="0" w:color="auto"/>
            <w:bottom w:val="none" w:sz="0" w:space="0" w:color="auto"/>
            <w:right w:val="none" w:sz="0" w:space="0" w:color="auto"/>
          </w:divBdr>
        </w:div>
        <w:div w:id="2049067482">
          <w:marLeft w:val="0"/>
          <w:marRight w:val="0"/>
          <w:marTop w:val="0"/>
          <w:marBottom w:val="0"/>
          <w:divBdr>
            <w:top w:val="none" w:sz="0" w:space="0" w:color="auto"/>
            <w:left w:val="none" w:sz="0" w:space="0" w:color="auto"/>
            <w:bottom w:val="none" w:sz="0" w:space="0" w:color="auto"/>
            <w:right w:val="none" w:sz="0" w:space="0" w:color="auto"/>
          </w:divBdr>
        </w:div>
        <w:div w:id="1587617761">
          <w:marLeft w:val="0"/>
          <w:marRight w:val="0"/>
          <w:marTop w:val="0"/>
          <w:marBottom w:val="0"/>
          <w:divBdr>
            <w:top w:val="none" w:sz="0" w:space="0" w:color="auto"/>
            <w:left w:val="none" w:sz="0" w:space="0" w:color="auto"/>
            <w:bottom w:val="none" w:sz="0" w:space="0" w:color="auto"/>
            <w:right w:val="none" w:sz="0" w:space="0" w:color="auto"/>
          </w:divBdr>
        </w:div>
        <w:div w:id="2139369333">
          <w:marLeft w:val="0"/>
          <w:marRight w:val="0"/>
          <w:marTop w:val="0"/>
          <w:marBottom w:val="0"/>
          <w:divBdr>
            <w:top w:val="none" w:sz="0" w:space="0" w:color="auto"/>
            <w:left w:val="none" w:sz="0" w:space="0" w:color="auto"/>
            <w:bottom w:val="none" w:sz="0" w:space="0" w:color="auto"/>
            <w:right w:val="none" w:sz="0" w:space="0" w:color="auto"/>
          </w:divBdr>
        </w:div>
        <w:div w:id="994525574">
          <w:marLeft w:val="0"/>
          <w:marRight w:val="0"/>
          <w:marTop w:val="0"/>
          <w:marBottom w:val="0"/>
          <w:divBdr>
            <w:top w:val="none" w:sz="0" w:space="0" w:color="auto"/>
            <w:left w:val="none" w:sz="0" w:space="0" w:color="auto"/>
            <w:bottom w:val="none" w:sz="0" w:space="0" w:color="auto"/>
            <w:right w:val="none" w:sz="0" w:space="0" w:color="auto"/>
          </w:divBdr>
        </w:div>
        <w:div w:id="1608465254">
          <w:marLeft w:val="0"/>
          <w:marRight w:val="0"/>
          <w:marTop w:val="0"/>
          <w:marBottom w:val="0"/>
          <w:divBdr>
            <w:top w:val="none" w:sz="0" w:space="0" w:color="auto"/>
            <w:left w:val="none" w:sz="0" w:space="0" w:color="auto"/>
            <w:bottom w:val="none" w:sz="0" w:space="0" w:color="auto"/>
            <w:right w:val="none" w:sz="0" w:space="0" w:color="auto"/>
          </w:divBdr>
        </w:div>
        <w:div w:id="1536575550">
          <w:marLeft w:val="0"/>
          <w:marRight w:val="0"/>
          <w:marTop w:val="0"/>
          <w:marBottom w:val="0"/>
          <w:divBdr>
            <w:top w:val="none" w:sz="0" w:space="0" w:color="auto"/>
            <w:left w:val="none" w:sz="0" w:space="0" w:color="auto"/>
            <w:bottom w:val="none" w:sz="0" w:space="0" w:color="auto"/>
            <w:right w:val="none" w:sz="0" w:space="0" w:color="auto"/>
          </w:divBdr>
        </w:div>
        <w:div w:id="144665965">
          <w:marLeft w:val="0"/>
          <w:marRight w:val="0"/>
          <w:marTop w:val="0"/>
          <w:marBottom w:val="0"/>
          <w:divBdr>
            <w:top w:val="none" w:sz="0" w:space="0" w:color="auto"/>
            <w:left w:val="none" w:sz="0" w:space="0" w:color="auto"/>
            <w:bottom w:val="none" w:sz="0" w:space="0" w:color="auto"/>
            <w:right w:val="none" w:sz="0" w:space="0" w:color="auto"/>
          </w:divBdr>
        </w:div>
        <w:div w:id="102382676">
          <w:marLeft w:val="0"/>
          <w:marRight w:val="0"/>
          <w:marTop w:val="0"/>
          <w:marBottom w:val="0"/>
          <w:divBdr>
            <w:top w:val="none" w:sz="0" w:space="0" w:color="auto"/>
            <w:left w:val="none" w:sz="0" w:space="0" w:color="auto"/>
            <w:bottom w:val="none" w:sz="0" w:space="0" w:color="auto"/>
            <w:right w:val="none" w:sz="0" w:space="0" w:color="auto"/>
          </w:divBdr>
        </w:div>
        <w:div w:id="1910071866">
          <w:marLeft w:val="0"/>
          <w:marRight w:val="0"/>
          <w:marTop w:val="0"/>
          <w:marBottom w:val="0"/>
          <w:divBdr>
            <w:top w:val="none" w:sz="0" w:space="0" w:color="auto"/>
            <w:left w:val="none" w:sz="0" w:space="0" w:color="auto"/>
            <w:bottom w:val="none" w:sz="0" w:space="0" w:color="auto"/>
            <w:right w:val="none" w:sz="0" w:space="0" w:color="auto"/>
          </w:divBdr>
        </w:div>
        <w:div w:id="1599873040">
          <w:marLeft w:val="0"/>
          <w:marRight w:val="0"/>
          <w:marTop w:val="0"/>
          <w:marBottom w:val="0"/>
          <w:divBdr>
            <w:top w:val="none" w:sz="0" w:space="0" w:color="auto"/>
            <w:left w:val="none" w:sz="0" w:space="0" w:color="auto"/>
            <w:bottom w:val="none" w:sz="0" w:space="0" w:color="auto"/>
            <w:right w:val="none" w:sz="0" w:space="0" w:color="auto"/>
          </w:divBdr>
        </w:div>
        <w:div w:id="560796364">
          <w:marLeft w:val="0"/>
          <w:marRight w:val="0"/>
          <w:marTop w:val="0"/>
          <w:marBottom w:val="0"/>
          <w:divBdr>
            <w:top w:val="none" w:sz="0" w:space="0" w:color="auto"/>
            <w:left w:val="none" w:sz="0" w:space="0" w:color="auto"/>
            <w:bottom w:val="none" w:sz="0" w:space="0" w:color="auto"/>
            <w:right w:val="none" w:sz="0" w:space="0" w:color="auto"/>
          </w:divBdr>
        </w:div>
        <w:div w:id="538131623">
          <w:marLeft w:val="0"/>
          <w:marRight w:val="0"/>
          <w:marTop w:val="0"/>
          <w:marBottom w:val="0"/>
          <w:divBdr>
            <w:top w:val="none" w:sz="0" w:space="0" w:color="auto"/>
            <w:left w:val="none" w:sz="0" w:space="0" w:color="auto"/>
            <w:bottom w:val="none" w:sz="0" w:space="0" w:color="auto"/>
            <w:right w:val="none" w:sz="0" w:space="0" w:color="auto"/>
          </w:divBdr>
        </w:div>
        <w:div w:id="1946306459">
          <w:marLeft w:val="0"/>
          <w:marRight w:val="0"/>
          <w:marTop w:val="0"/>
          <w:marBottom w:val="0"/>
          <w:divBdr>
            <w:top w:val="none" w:sz="0" w:space="0" w:color="auto"/>
            <w:left w:val="none" w:sz="0" w:space="0" w:color="auto"/>
            <w:bottom w:val="none" w:sz="0" w:space="0" w:color="auto"/>
            <w:right w:val="none" w:sz="0" w:space="0" w:color="auto"/>
          </w:divBdr>
        </w:div>
        <w:div w:id="265381194">
          <w:marLeft w:val="0"/>
          <w:marRight w:val="0"/>
          <w:marTop w:val="0"/>
          <w:marBottom w:val="0"/>
          <w:divBdr>
            <w:top w:val="none" w:sz="0" w:space="0" w:color="auto"/>
            <w:left w:val="none" w:sz="0" w:space="0" w:color="auto"/>
            <w:bottom w:val="none" w:sz="0" w:space="0" w:color="auto"/>
            <w:right w:val="none" w:sz="0" w:space="0" w:color="auto"/>
          </w:divBdr>
        </w:div>
        <w:div w:id="246228456">
          <w:marLeft w:val="0"/>
          <w:marRight w:val="0"/>
          <w:marTop w:val="0"/>
          <w:marBottom w:val="0"/>
          <w:divBdr>
            <w:top w:val="none" w:sz="0" w:space="0" w:color="auto"/>
            <w:left w:val="none" w:sz="0" w:space="0" w:color="auto"/>
            <w:bottom w:val="none" w:sz="0" w:space="0" w:color="auto"/>
            <w:right w:val="none" w:sz="0" w:space="0" w:color="auto"/>
          </w:divBdr>
          <w:divsChild>
            <w:div w:id="1636638100">
              <w:marLeft w:val="0"/>
              <w:marRight w:val="0"/>
              <w:marTop w:val="0"/>
              <w:marBottom w:val="0"/>
              <w:divBdr>
                <w:top w:val="none" w:sz="0" w:space="0" w:color="auto"/>
                <w:left w:val="none" w:sz="0" w:space="0" w:color="auto"/>
                <w:bottom w:val="none" w:sz="0" w:space="0" w:color="auto"/>
                <w:right w:val="none" w:sz="0" w:space="0" w:color="auto"/>
              </w:divBdr>
            </w:div>
            <w:div w:id="1200048481">
              <w:marLeft w:val="0"/>
              <w:marRight w:val="0"/>
              <w:marTop w:val="0"/>
              <w:marBottom w:val="0"/>
              <w:divBdr>
                <w:top w:val="none" w:sz="0" w:space="0" w:color="auto"/>
                <w:left w:val="none" w:sz="0" w:space="0" w:color="auto"/>
                <w:bottom w:val="none" w:sz="0" w:space="0" w:color="auto"/>
                <w:right w:val="none" w:sz="0" w:space="0" w:color="auto"/>
              </w:divBdr>
            </w:div>
            <w:div w:id="2029596561">
              <w:marLeft w:val="0"/>
              <w:marRight w:val="0"/>
              <w:marTop w:val="0"/>
              <w:marBottom w:val="0"/>
              <w:divBdr>
                <w:top w:val="none" w:sz="0" w:space="0" w:color="auto"/>
                <w:left w:val="none" w:sz="0" w:space="0" w:color="auto"/>
                <w:bottom w:val="none" w:sz="0" w:space="0" w:color="auto"/>
                <w:right w:val="none" w:sz="0" w:space="0" w:color="auto"/>
              </w:divBdr>
            </w:div>
            <w:div w:id="1818641516">
              <w:marLeft w:val="0"/>
              <w:marRight w:val="0"/>
              <w:marTop w:val="0"/>
              <w:marBottom w:val="0"/>
              <w:divBdr>
                <w:top w:val="none" w:sz="0" w:space="0" w:color="auto"/>
                <w:left w:val="none" w:sz="0" w:space="0" w:color="auto"/>
                <w:bottom w:val="none" w:sz="0" w:space="0" w:color="auto"/>
                <w:right w:val="none" w:sz="0" w:space="0" w:color="auto"/>
              </w:divBdr>
            </w:div>
            <w:div w:id="150871908">
              <w:marLeft w:val="0"/>
              <w:marRight w:val="0"/>
              <w:marTop w:val="0"/>
              <w:marBottom w:val="0"/>
              <w:divBdr>
                <w:top w:val="none" w:sz="0" w:space="0" w:color="auto"/>
                <w:left w:val="none" w:sz="0" w:space="0" w:color="auto"/>
                <w:bottom w:val="none" w:sz="0" w:space="0" w:color="auto"/>
                <w:right w:val="none" w:sz="0" w:space="0" w:color="auto"/>
              </w:divBdr>
            </w:div>
            <w:div w:id="1386487416">
              <w:marLeft w:val="0"/>
              <w:marRight w:val="0"/>
              <w:marTop w:val="0"/>
              <w:marBottom w:val="0"/>
              <w:divBdr>
                <w:top w:val="none" w:sz="0" w:space="0" w:color="auto"/>
                <w:left w:val="none" w:sz="0" w:space="0" w:color="auto"/>
                <w:bottom w:val="none" w:sz="0" w:space="0" w:color="auto"/>
                <w:right w:val="none" w:sz="0" w:space="0" w:color="auto"/>
              </w:divBdr>
            </w:div>
            <w:div w:id="1999189292">
              <w:marLeft w:val="0"/>
              <w:marRight w:val="0"/>
              <w:marTop w:val="0"/>
              <w:marBottom w:val="0"/>
              <w:divBdr>
                <w:top w:val="none" w:sz="0" w:space="0" w:color="auto"/>
                <w:left w:val="none" w:sz="0" w:space="0" w:color="auto"/>
                <w:bottom w:val="none" w:sz="0" w:space="0" w:color="auto"/>
                <w:right w:val="none" w:sz="0" w:space="0" w:color="auto"/>
              </w:divBdr>
            </w:div>
            <w:div w:id="2144078001">
              <w:marLeft w:val="0"/>
              <w:marRight w:val="0"/>
              <w:marTop w:val="0"/>
              <w:marBottom w:val="0"/>
              <w:divBdr>
                <w:top w:val="none" w:sz="0" w:space="0" w:color="auto"/>
                <w:left w:val="none" w:sz="0" w:space="0" w:color="auto"/>
                <w:bottom w:val="none" w:sz="0" w:space="0" w:color="auto"/>
                <w:right w:val="none" w:sz="0" w:space="0" w:color="auto"/>
              </w:divBdr>
            </w:div>
            <w:div w:id="126436474">
              <w:marLeft w:val="0"/>
              <w:marRight w:val="0"/>
              <w:marTop w:val="0"/>
              <w:marBottom w:val="0"/>
              <w:divBdr>
                <w:top w:val="none" w:sz="0" w:space="0" w:color="auto"/>
                <w:left w:val="none" w:sz="0" w:space="0" w:color="auto"/>
                <w:bottom w:val="none" w:sz="0" w:space="0" w:color="auto"/>
                <w:right w:val="none" w:sz="0" w:space="0" w:color="auto"/>
              </w:divBdr>
            </w:div>
            <w:div w:id="508763494">
              <w:marLeft w:val="0"/>
              <w:marRight w:val="0"/>
              <w:marTop w:val="0"/>
              <w:marBottom w:val="0"/>
              <w:divBdr>
                <w:top w:val="none" w:sz="0" w:space="0" w:color="auto"/>
                <w:left w:val="none" w:sz="0" w:space="0" w:color="auto"/>
                <w:bottom w:val="none" w:sz="0" w:space="0" w:color="auto"/>
                <w:right w:val="none" w:sz="0" w:space="0" w:color="auto"/>
              </w:divBdr>
            </w:div>
            <w:div w:id="1896617706">
              <w:marLeft w:val="0"/>
              <w:marRight w:val="0"/>
              <w:marTop w:val="0"/>
              <w:marBottom w:val="0"/>
              <w:divBdr>
                <w:top w:val="none" w:sz="0" w:space="0" w:color="auto"/>
                <w:left w:val="none" w:sz="0" w:space="0" w:color="auto"/>
                <w:bottom w:val="none" w:sz="0" w:space="0" w:color="auto"/>
                <w:right w:val="none" w:sz="0" w:space="0" w:color="auto"/>
              </w:divBdr>
            </w:div>
            <w:div w:id="725687500">
              <w:marLeft w:val="0"/>
              <w:marRight w:val="0"/>
              <w:marTop w:val="0"/>
              <w:marBottom w:val="0"/>
              <w:divBdr>
                <w:top w:val="none" w:sz="0" w:space="0" w:color="auto"/>
                <w:left w:val="none" w:sz="0" w:space="0" w:color="auto"/>
                <w:bottom w:val="none" w:sz="0" w:space="0" w:color="auto"/>
                <w:right w:val="none" w:sz="0" w:space="0" w:color="auto"/>
              </w:divBdr>
            </w:div>
            <w:div w:id="1359162557">
              <w:marLeft w:val="0"/>
              <w:marRight w:val="0"/>
              <w:marTop w:val="0"/>
              <w:marBottom w:val="0"/>
              <w:divBdr>
                <w:top w:val="none" w:sz="0" w:space="0" w:color="auto"/>
                <w:left w:val="none" w:sz="0" w:space="0" w:color="auto"/>
                <w:bottom w:val="none" w:sz="0" w:space="0" w:color="auto"/>
                <w:right w:val="none" w:sz="0" w:space="0" w:color="auto"/>
              </w:divBdr>
            </w:div>
            <w:div w:id="1488857685">
              <w:marLeft w:val="0"/>
              <w:marRight w:val="0"/>
              <w:marTop w:val="0"/>
              <w:marBottom w:val="0"/>
              <w:divBdr>
                <w:top w:val="none" w:sz="0" w:space="0" w:color="auto"/>
                <w:left w:val="none" w:sz="0" w:space="0" w:color="auto"/>
                <w:bottom w:val="none" w:sz="0" w:space="0" w:color="auto"/>
                <w:right w:val="none" w:sz="0" w:space="0" w:color="auto"/>
              </w:divBdr>
            </w:div>
            <w:div w:id="97331133">
              <w:marLeft w:val="0"/>
              <w:marRight w:val="0"/>
              <w:marTop w:val="0"/>
              <w:marBottom w:val="0"/>
              <w:divBdr>
                <w:top w:val="none" w:sz="0" w:space="0" w:color="auto"/>
                <w:left w:val="none" w:sz="0" w:space="0" w:color="auto"/>
                <w:bottom w:val="none" w:sz="0" w:space="0" w:color="auto"/>
                <w:right w:val="none" w:sz="0" w:space="0" w:color="auto"/>
              </w:divBdr>
            </w:div>
            <w:div w:id="267929342">
              <w:marLeft w:val="0"/>
              <w:marRight w:val="0"/>
              <w:marTop w:val="0"/>
              <w:marBottom w:val="0"/>
              <w:divBdr>
                <w:top w:val="none" w:sz="0" w:space="0" w:color="auto"/>
                <w:left w:val="none" w:sz="0" w:space="0" w:color="auto"/>
                <w:bottom w:val="none" w:sz="0" w:space="0" w:color="auto"/>
                <w:right w:val="none" w:sz="0" w:space="0" w:color="auto"/>
              </w:divBdr>
            </w:div>
          </w:divsChild>
        </w:div>
        <w:div w:id="1390038274">
          <w:marLeft w:val="0"/>
          <w:marRight w:val="0"/>
          <w:marTop w:val="0"/>
          <w:marBottom w:val="0"/>
          <w:divBdr>
            <w:top w:val="none" w:sz="0" w:space="0" w:color="auto"/>
            <w:left w:val="none" w:sz="0" w:space="0" w:color="auto"/>
            <w:bottom w:val="none" w:sz="0" w:space="0" w:color="auto"/>
            <w:right w:val="none" w:sz="0" w:space="0" w:color="auto"/>
          </w:divBdr>
        </w:div>
        <w:div w:id="1695770029">
          <w:marLeft w:val="0"/>
          <w:marRight w:val="0"/>
          <w:marTop w:val="0"/>
          <w:marBottom w:val="0"/>
          <w:divBdr>
            <w:top w:val="none" w:sz="0" w:space="0" w:color="auto"/>
            <w:left w:val="none" w:sz="0" w:space="0" w:color="auto"/>
            <w:bottom w:val="none" w:sz="0" w:space="0" w:color="auto"/>
            <w:right w:val="none" w:sz="0" w:space="0" w:color="auto"/>
          </w:divBdr>
        </w:div>
        <w:div w:id="1183740291">
          <w:marLeft w:val="0"/>
          <w:marRight w:val="0"/>
          <w:marTop w:val="0"/>
          <w:marBottom w:val="0"/>
          <w:divBdr>
            <w:top w:val="none" w:sz="0" w:space="0" w:color="auto"/>
            <w:left w:val="none" w:sz="0" w:space="0" w:color="auto"/>
            <w:bottom w:val="none" w:sz="0" w:space="0" w:color="auto"/>
            <w:right w:val="none" w:sz="0" w:space="0" w:color="auto"/>
          </w:divBdr>
        </w:div>
        <w:div w:id="1270313812">
          <w:marLeft w:val="0"/>
          <w:marRight w:val="0"/>
          <w:marTop w:val="0"/>
          <w:marBottom w:val="0"/>
          <w:divBdr>
            <w:top w:val="none" w:sz="0" w:space="0" w:color="auto"/>
            <w:left w:val="none" w:sz="0" w:space="0" w:color="auto"/>
            <w:bottom w:val="none" w:sz="0" w:space="0" w:color="auto"/>
            <w:right w:val="none" w:sz="0" w:space="0" w:color="auto"/>
          </w:divBdr>
        </w:div>
        <w:div w:id="418525569">
          <w:marLeft w:val="0"/>
          <w:marRight w:val="0"/>
          <w:marTop w:val="0"/>
          <w:marBottom w:val="0"/>
          <w:divBdr>
            <w:top w:val="none" w:sz="0" w:space="0" w:color="auto"/>
            <w:left w:val="none" w:sz="0" w:space="0" w:color="auto"/>
            <w:bottom w:val="none" w:sz="0" w:space="0" w:color="auto"/>
            <w:right w:val="none" w:sz="0" w:space="0" w:color="auto"/>
          </w:divBdr>
        </w:div>
      </w:divsChild>
    </w:div>
    <w:div w:id="1867869057">
      <w:bodyDiv w:val="1"/>
      <w:marLeft w:val="0"/>
      <w:marRight w:val="0"/>
      <w:marTop w:val="0"/>
      <w:marBottom w:val="0"/>
      <w:divBdr>
        <w:top w:val="none" w:sz="0" w:space="0" w:color="auto"/>
        <w:left w:val="none" w:sz="0" w:space="0" w:color="auto"/>
        <w:bottom w:val="none" w:sz="0" w:space="0" w:color="auto"/>
        <w:right w:val="none" w:sz="0" w:space="0" w:color="auto"/>
      </w:divBdr>
      <w:divsChild>
        <w:div w:id="1292132692">
          <w:marLeft w:val="0"/>
          <w:marRight w:val="0"/>
          <w:marTop w:val="0"/>
          <w:marBottom w:val="0"/>
          <w:divBdr>
            <w:top w:val="none" w:sz="0" w:space="0" w:color="auto"/>
            <w:left w:val="none" w:sz="0" w:space="0" w:color="auto"/>
            <w:bottom w:val="none" w:sz="0" w:space="0" w:color="auto"/>
            <w:right w:val="none" w:sz="0" w:space="0" w:color="auto"/>
          </w:divBdr>
          <w:divsChild>
            <w:div w:id="906645228">
              <w:marLeft w:val="0"/>
              <w:marRight w:val="0"/>
              <w:marTop w:val="0"/>
              <w:marBottom w:val="0"/>
              <w:divBdr>
                <w:top w:val="none" w:sz="0" w:space="0" w:color="auto"/>
                <w:left w:val="none" w:sz="0" w:space="0" w:color="auto"/>
                <w:bottom w:val="none" w:sz="0" w:space="0" w:color="auto"/>
                <w:right w:val="none" w:sz="0" w:space="0" w:color="auto"/>
              </w:divBdr>
            </w:div>
          </w:divsChild>
        </w:div>
        <w:div w:id="386994654">
          <w:marLeft w:val="0"/>
          <w:marRight w:val="0"/>
          <w:marTop w:val="0"/>
          <w:marBottom w:val="0"/>
          <w:divBdr>
            <w:top w:val="none" w:sz="0" w:space="0" w:color="auto"/>
            <w:left w:val="none" w:sz="0" w:space="0" w:color="auto"/>
            <w:bottom w:val="none" w:sz="0" w:space="0" w:color="auto"/>
            <w:right w:val="none" w:sz="0" w:space="0" w:color="auto"/>
          </w:divBdr>
          <w:divsChild>
            <w:div w:id="49961927">
              <w:marLeft w:val="0"/>
              <w:marRight w:val="0"/>
              <w:marTop w:val="0"/>
              <w:marBottom w:val="0"/>
              <w:divBdr>
                <w:top w:val="none" w:sz="0" w:space="0" w:color="auto"/>
                <w:left w:val="none" w:sz="0" w:space="0" w:color="auto"/>
                <w:bottom w:val="none" w:sz="0" w:space="0" w:color="auto"/>
                <w:right w:val="none" w:sz="0" w:space="0" w:color="auto"/>
              </w:divBdr>
            </w:div>
          </w:divsChild>
        </w:div>
        <w:div w:id="1079256863">
          <w:marLeft w:val="0"/>
          <w:marRight w:val="0"/>
          <w:marTop w:val="0"/>
          <w:marBottom w:val="0"/>
          <w:divBdr>
            <w:top w:val="none" w:sz="0" w:space="0" w:color="auto"/>
            <w:left w:val="none" w:sz="0" w:space="0" w:color="auto"/>
            <w:bottom w:val="none" w:sz="0" w:space="0" w:color="auto"/>
            <w:right w:val="none" w:sz="0" w:space="0" w:color="auto"/>
          </w:divBdr>
          <w:divsChild>
            <w:div w:id="1935821534">
              <w:marLeft w:val="0"/>
              <w:marRight w:val="0"/>
              <w:marTop w:val="0"/>
              <w:marBottom w:val="0"/>
              <w:divBdr>
                <w:top w:val="none" w:sz="0" w:space="0" w:color="auto"/>
                <w:left w:val="none" w:sz="0" w:space="0" w:color="auto"/>
                <w:bottom w:val="none" w:sz="0" w:space="0" w:color="auto"/>
                <w:right w:val="none" w:sz="0" w:space="0" w:color="auto"/>
              </w:divBdr>
            </w:div>
          </w:divsChild>
        </w:div>
        <w:div w:id="574245497">
          <w:marLeft w:val="0"/>
          <w:marRight w:val="0"/>
          <w:marTop w:val="0"/>
          <w:marBottom w:val="0"/>
          <w:divBdr>
            <w:top w:val="none" w:sz="0" w:space="0" w:color="auto"/>
            <w:left w:val="none" w:sz="0" w:space="0" w:color="auto"/>
            <w:bottom w:val="none" w:sz="0" w:space="0" w:color="auto"/>
            <w:right w:val="none" w:sz="0" w:space="0" w:color="auto"/>
          </w:divBdr>
          <w:divsChild>
            <w:div w:id="1496455834">
              <w:marLeft w:val="0"/>
              <w:marRight w:val="0"/>
              <w:marTop w:val="0"/>
              <w:marBottom w:val="0"/>
              <w:divBdr>
                <w:top w:val="none" w:sz="0" w:space="0" w:color="auto"/>
                <w:left w:val="none" w:sz="0" w:space="0" w:color="auto"/>
                <w:bottom w:val="none" w:sz="0" w:space="0" w:color="auto"/>
                <w:right w:val="none" w:sz="0" w:space="0" w:color="auto"/>
              </w:divBdr>
            </w:div>
          </w:divsChild>
        </w:div>
        <w:div w:id="1585456615">
          <w:marLeft w:val="0"/>
          <w:marRight w:val="0"/>
          <w:marTop w:val="0"/>
          <w:marBottom w:val="0"/>
          <w:divBdr>
            <w:top w:val="none" w:sz="0" w:space="0" w:color="auto"/>
            <w:left w:val="none" w:sz="0" w:space="0" w:color="auto"/>
            <w:bottom w:val="none" w:sz="0" w:space="0" w:color="auto"/>
            <w:right w:val="none" w:sz="0" w:space="0" w:color="auto"/>
          </w:divBdr>
          <w:divsChild>
            <w:div w:id="706101528">
              <w:marLeft w:val="0"/>
              <w:marRight w:val="0"/>
              <w:marTop w:val="0"/>
              <w:marBottom w:val="0"/>
              <w:divBdr>
                <w:top w:val="none" w:sz="0" w:space="0" w:color="auto"/>
                <w:left w:val="none" w:sz="0" w:space="0" w:color="auto"/>
                <w:bottom w:val="none" w:sz="0" w:space="0" w:color="auto"/>
                <w:right w:val="none" w:sz="0" w:space="0" w:color="auto"/>
              </w:divBdr>
            </w:div>
          </w:divsChild>
        </w:div>
        <w:div w:id="438060975">
          <w:marLeft w:val="0"/>
          <w:marRight w:val="0"/>
          <w:marTop w:val="0"/>
          <w:marBottom w:val="0"/>
          <w:divBdr>
            <w:top w:val="none" w:sz="0" w:space="0" w:color="auto"/>
            <w:left w:val="none" w:sz="0" w:space="0" w:color="auto"/>
            <w:bottom w:val="none" w:sz="0" w:space="0" w:color="auto"/>
            <w:right w:val="none" w:sz="0" w:space="0" w:color="auto"/>
          </w:divBdr>
          <w:divsChild>
            <w:div w:id="571545609">
              <w:marLeft w:val="0"/>
              <w:marRight w:val="0"/>
              <w:marTop w:val="0"/>
              <w:marBottom w:val="0"/>
              <w:divBdr>
                <w:top w:val="none" w:sz="0" w:space="0" w:color="auto"/>
                <w:left w:val="none" w:sz="0" w:space="0" w:color="auto"/>
                <w:bottom w:val="none" w:sz="0" w:space="0" w:color="auto"/>
                <w:right w:val="none" w:sz="0" w:space="0" w:color="auto"/>
              </w:divBdr>
            </w:div>
          </w:divsChild>
        </w:div>
        <w:div w:id="503056100">
          <w:marLeft w:val="0"/>
          <w:marRight w:val="0"/>
          <w:marTop w:val="0"/>
          <w:marBottom w:val="0"/>
          <w:divBdr>
            <w:top w:val="none" w:sz="0" w:space="0" w:color="auto"/>
            <w:left w:val="none" w:sz="0" w:space="0" w:color="auto"/>
            <w:bottom w:val="none" w:sz="0" w:space="0" w:color="auto"/>
            <w:right w:val="none" w:sz="0" w:space="0" w:color="auto"/>
          </w:divBdr>
          <w:divsChild>
            <w:div w:id="416219160">
              <w:marLeft w:val="0"/>
              <w:marRight w:val="0"/>
              <w:marTop w:val="0"/>
              <w:marBottom w:val="0"/>
              <w:divBdr>
                <w:top w:val="none" w:sz="0" w:space="0" w:color="auto"/>
                <w:left w:val="none" w:sz="0" w:space="0" w:color="auto"/>
                <w:bottom w:val="none" w:sz="0" w:space="0" w:color="auto"/>
                <w:right w:val="none" w:sz="0" w:space="0" w:color="auto"/>
              </w:divBdr>
            </w:div>
          </w:divsChild>
        </w:div>
        <w:div w:id="94205495">
          <w:marLeft w:val="0"/>
          <w:marRight w:val="0"/>
          <w:marTop w:val="0"/>
          <w:marBottom w:val="0"/>
          <w:divBdr>
            <w:top w:val="none" w:sz="0" w:space="0" w:color="auto"/>
            <w:left w:val="none" w:sz="0" w:space="0" w:color="auto"/>
            <w:bottom w:val="none" w:sz="0" w:space="0" w:color="auto"/>
            <w:right w:val="none" w:sz="0" w:space="0" w:color="auto"/>
          </w:divBdr>
          <w:divsChild>
            <w:div w:id="1674338364">
              <w:marLeft w:val="0"/>
              <w:marRight w:val="0"/>
              <w:marTop w:val="0"/>
              <w:marBottom w:val="0"/>
              <w:divBdr>
                <w:top w:val="none" w:sz="0" w:space="0" w:color="auto"/>
                <w:left w:val="none" w:sz="0" w:space="0" w:color="auto"/>
                <w:bottom w:val="none" w:sz="0" w:space="0" w:color="auto"/>
                <w:right w:val="none" w:sz="0" w:space="0" w:color="auto"/>
              </w:divBdr>
            </w:div>
          </w:divsChild>
        </w:div>
        <w:div w:id="896279345">
          <w:marLeft w:val="0"/>
          <w:marRight w:val="0"/>
          <w:marTop w:val="0"/>
          <w:marBottom w:val="0"/>
          <w:divBdr>
            <w:top w:val="none" w:sz="0" w:space="0" w:color="auto"/>
            <w:left w:val="none" w:sz="0" w:space="0" w:color="auto"/>
            <w:bottom w:val="none" w:sz="0" w:space="0" w:color="auto"/>
            <w:right w:val="none" w:sz="0" w:space="0" w:color="auto"/>
          </w:divBdr>
          <w:divsChild>
            <w:div w:id="1032263916">
              <w:marLeft w:val="0"/>
              <w:marRight w:val="0"/>
              <w:marTop w:val="0"/>
              <w:marBottom w:val="0"/>
              <w:divBdr>
                <w:top w:val="none" w:sz="0" w:space="0" w:color="auto"/>
                <w:left w:val="none" w:sz="0" w:space="0" w:color="auto"/>
                <w:bottom w:val="none" w:sz="0" w:space="0" w:color="auto"/>
                <w:right w:val="none" w:sz="0" w:space="0" w:color="auto"/>
              </w:divBdr>
            </w:div>
          </w:divsChild>
        </w:div>
        <w:div w:id="2010786245">
          <w:marLeft w:val="0"/>
          <w:marRight w:val="0"/>
          <w:marTop w:val="0"/>
          <w:marBottom w:val="0"/>
          <w:divBdr>
            <w:top w:val="none" w:sz="0" w:space="0" w:color="auto"/>
            <w:left w:val="none" w:sz="0" w:space="0" w:color="auto"/>
            <w:bottom w:val="none" w:sz="0" w:space="0" w:color="auto"/>
            <w:right w:val="none" w:sz="0" w:space="0" w:color="auto"/>
          </w:divBdr>
          <w:divsChild>
            <w:div w:id="641544459">
              <w:marLeft w:val="0"/>
              <w:marRight w:val="0"/>
              <w:marTop w:val="0"/>
              <w:marBottom w:val="0"/>
              <w:divBdr>
                <w:top w:val="none" w:sz="0" w:space="0" w:color="auto"/>
                <w:left w:val="none" w:sz="0" w:space="0" w:color="auto"/>
                <w:bottom w:val="none" w:sz="0" w:space="0" w:color="auto"/>
                <w:right w:val="none" w:sz="0" w:space="0" w:color="auto"/>
              </w:divBdr>
            </w:div>
          </w:divsChild>
        </w:div>
        <w:div w:id="535892592">
          <w:marLeft w:val="0"/>
          <w:marRight w:val="0"/>
          <w:marTop w:val="0"/>
          <w:marBottom w:val="0"/>
          <w:divBdr>
            <w:top w:val="none" w:sz="0" w:space="0" w:color="auto"/>
            <w:left w:val="none" w:sz="0" w:space="0" w:color="auto"/>
            <w:bottom w:val="none" w:sz="0" w:space="0" w:color="auto"/>
            <w:right w:val="none" w:sz="0" w:space="0" w:color="auto"/>
          </w:divBdr>
          <w:divsChild>
            <w:div w:id="1932816069">
              <w:marLeft w:val="0"/>
              <w:marRight w:val="0"/>
              <w:marTop w:val="0"/>
              <w:marBottom w:val="0"/>
              <w:divBdr>
                <w:top w:val="none" w:sz="0" w:space="0" w:color="auto"/>
                <w:left w:val="none" w:sz="0" w:space="0" w:color="auto"/>
                <w:bottom w:val="none" w:sz="0" w:space="0" w:color="auto"/>
                <w:right w:val="none" w:sz="0" w:space="0" w:color="auto"/>
              </w:divBdr>
            </w:div>
          </w:divsChild>
        </w:div>
        <w:div w:id="1858959403">
          <w:marLeft w:val="0"/>
          <w:marRight w:val="0"/>
          <w:marTop w:val="0"/>
          <w:marBottom w:val="0"/>
          <w:divBdr>
            <w:top w:val="none" w:sz="0" w:space="0" w:color="auto"/>
            <w:left w:val="none" w:sz="0" w:space="0" w:color="auto"/>
            <w:bottom w:val="none" w:sz="0" w:space="0" w:color="auto"/>
            <w:right w:val="none" w:sz="0" w:space="0" w:color="auto"/>
          </w:divBdr>
          <w:divsChild>
            <w:div w:id="1606115424">
              <w:marLeft w:val="0"/>
              <w:marRight w:val="0"/>
              <w:marTop w:val="0"/>
              <w:marBottom w:val="0"/>
              <w:divBdr>
                <w:top w:val="none" w:sz="0" w:space="0" w:color="auto"/>
                <w:left w:val="none" w:sz="0" w:space="0" w:color="auto"/>
                <w:bottom w:val="none" w:sz="0" w:space="0" w:color="auto"/>
                <w:right w:val="none" w:sz="0" w:space="0" w:color="auto"/>
              </w:divBdr>
            </w:div>
          </w:divsChild>
        </w:div>
        <w:div w:id="1281064164">
          <w:marLeft w:val="0"/>
          <w:marRight w:val="0"/>
          <w:marTop w:val="0"/>
          <w:marBottom w:val="0"/>
          <w:divBdr>
            <w:top w:val="none" w:sz="0" w:space="0" w:color="auto"/>
            <w:left w:val="none" w:sz="0" w:space="0" w:color="auto"/>
            <w:bottom w:val="none" w:sz="0" w:space="0" w:color="auto"/>
            <w:right w:val="none" w:sz="0" w:space="0" w:color="auto"/>
          </w:divBdr>
          <w:divsChild>
            <w:div w:id="672873531">
              <w:marLeft w:val="0"/>
              <w:marRight w:val="0"/>
              <w:marTop w:val="0"/>
              <w:marBottom w:val="0"/>
              <w:divBdr>
                <w:top w:val="none" w:sz="0" w:space="0" w:color="auto"/>
                <w:left w:val="none" w:sz="0" w:space="0" w:color="auto"/>
                <w:bottom w:val="none" w:sz="0" w:space="0" w:color="auto"/>
                <w:right w:val="none" w:sz="0" w:space="0" w:color="auto"/>
              </w:divBdr>
            </w:div>
          </w:divsChild>
        </w:div>
        <w:div w:id="1314679409">
          <w:marLeft w:val="0"/>
          <w:marRight w:val="0"/>
          <w:marTop w:val="0"/>
          <w:marBottom w:val="0"/>
          <w:divBdr>
            <w:top w:val="none" w:sz="0" w:space="0" w:color="auto"/>
            <w:left w:val="none" w:sz="0" w:space="0" w:color="auto"/>
            <w:bottom w:val="none" w:sz="0" w:space="0" w:color="auto"/>
            <w:right w:val="none" w:sz="0" w:space="0" w:color="auto"/>
          </w:divBdr>
          <w:divsChild>
            <w:div w:id="1800756116">
              <w:marLeft w:val="0"/>
              <w:marRight w:val="0"/>
              <w:marTop w:val="0"/>
              <w:marBottom w:val="0"/>
              <w:divBdr>
                <w:top w:val="none" w:sz="0" w:space="0" w:color="auto"/>
                <w:left w:val="none" w:sz="0" w:space="0" w:color="auto"/>
                <w:bottom w:val="none" w:sz="0" w:space="0" w:color="auto"/>
                <w:right w:val="none" w:sz="0" w:space="0" w:color="auto"/>
              </w:divBdr>
            </w:div>
          </w:divsChild>
        </w:div>
        <w:div w:id="367266517">
          <w:marLeft w:val="0"/>
          <w:marRight w:val="0"/>
          <w:marTop w:val="0"/>
          <w:marBottom w:val="0"/>
          <w:divBdr>
            <w:top w:val="none" w:sz="0" w:space="0" w:color="auto"/>
            <w:left w:val="none" w:sz="0" w:space="0" w:color="auto"/>
            <w:bottom w:val="none" w:sz="0" w:space="0" w:color="auto"/>
            <w:right w:val="none" w:sz="0" w:space="0" w:color="auto"/>
          </w:divBdr>
          <w:divsChild>
            <w:div w:id="260532769">
              <w:marLeft w:val="0"/>
              <w:marRight w:val="0"/>
              <w:marTop w:val="0"/>
              <w:marBottom w:val="0"/>
              <w:divBdr>
                <w:top w:val="none" w:sz="0" w:space="0" w:color="auto"/>
                <w:left w:val="none" w:sz="0" w:space="0" w:color="auto"/>
                <w:bottom w:val="none" w:sz="0" w:space="0" w:color="auto"/>
                <w:right w:val="none" w:sz="0" w:space="0" w:color="auto"/>
              </w:divBdr>
            </w:div>
          </w:divsChild>
        </w:div>
        <w:div w:id="633751601">
          <w:marLeft w:val="0"/>
          <w:marRight w:val="0"/>
          <w:marTop w:val="0"/>
          <w:marBottom w:val="0"/>
          <w:divBdr>
            <w:top w:val="none" w:sz="0" w:space="0" w:color="auto"/>
            <w:left w:val="none" w:sz="0" w:space="0" w:color="auto"/>
            <w:bottom w:val="none" w:sz="0" w:space="0" w:color="auto"/>
            <w:right w:val="none" w:sz="0" w:space="0" w:color="auto"/>
          </w:divBdr>
          <w:divsChild>
            <w:div w:id="98836413">
              <w:marLeft w:val="0"/>
              <w:marRight w:val="0"/>
              <w:marTop w:val="0"/>
              <w:marBottom w:val="0"/>
              <w:divBdr>
                <w:top w:val="none" w:sz="0" w:space="0" w:color="auto"/>
                <w:left w:val="none" w:sz="0" w:space="0" w:color="auto"/>
                <w:bottom w:val="none" w:sz="0" w:space="0" w:color="auto"/>
                <w:right w:val="none" w:sz="0" w:space="0" w:color="auto"/>
              </w:divBdr>
            </w:div>
          </w:divsChild>
        </w:div>
        <w:div w:id="271667626">
          <w:marLeft w:val="0"/>
          <w:marRight w:val="0"/>
          <w:marTop w:val="0"/>
          <w:marBottom w:val="0"/>
          <w:divBdr>
            <w:top w:val="none" w:sz="0" w:space="0" w:color="auto"/>
            <w:left w:val="none" w:sz="0" w:space="0" w:color="auto"/>
            <w:bottom w:val="none" w:sz="0" w:space="0" w:color="auto"/>
            <w:right w:val="none" w:sz="0" w:space="0" w:color="auto"/>
          </w:divBdr>
          <w:divsChild>
            <w:div w:id="238372309">
              <w:marLeft w:val="0"/>
              <w:marRight w:val="0"/>
              <w:marTop w:val="0"/>
              <w:marBottom w:val="0"/>
              <w:divBdr>
                <w:top w:val="none" w:sz="0" w:space="0" w:color="auto"/>
                <w:left w:val="none" w:sz="0" w:space="0" w:color="auto"/>
                <w:bottom w:val="none" w:sz="0" w:space="0" w:color="auto"/>
                <w:right w:val="none" w:sz="0" w:space="0" w:color="auto"/>
              </w:divBdr>
            </w:div>
          </w:divsChild>
        </w:div>
        <w:div w:id="2135564327">
          <w:marLeft w:val="0"/>
          <w:marRight w:val="0"/>
          <w:marTop w:val="0"/>
          <w:marBottom w:val="0"/>
          <w:divBdr>
            <w:top w:val="none" w:sz="0" w:space="0" w:color="auto"/>
            <w:left w:val="none" w:sz="0" w:space="0" w:color="auto"/>
            <w:bottom w:val="none" w:sz="0" w:space="0" w:color="auto"/>
            <w:right w:val="none" w:sz="0" w:space="0" w:color="auto"/>
          </w:divBdr>
          <w:divsChild>
            <w:div w:id="1994868501">
              <w:marLeft w:val="0"/>
              <w:marRight w:val="0"/>
              <w:marTop w:val="0"/>
              <w:marBottom w:val="0"/>
              <w:divBdr>
                <w:top w:val="none" w:sz="0" w:space="0" w:color="auto"/>
                <w:left w:val="none" w:sz="0" w:space="0" w:color="auto"/>
                <w:bottom w:val="none" w:sz="0" w:space="0" w:color="auto"/>
                <w:right w:val="none" w:sz="0" w:space="0" w:color="auto"/>
              </w:divBdr>
            </w:div>
          </w:divsChild>
        </w:div>
        <w:div w:id="1186360666">
          <w:marLeft w:val="0"/>
          <w:marRight w:val="0"/>
          <w:marTop w:val="0"/>
          <w:marBottom w:val="0"/>
          <w:divBdr>
            <w:top w:val="none" w:sz="0" w:space="0" w:color="auto"/>
            <w:left w:val="none" w:sz="0" w:space="0" w:color="auto"/>
            <w:bottom w:val="none" w:sz="0" w:space="0" w:color="auto"/>
            <w:right w:val="none" w:sz="0" w:space="0" w:color="auto"/>
          </w:divBdr>
          <w:divsChild>
            <w:div w:id="377702166">
              <w:marLeft w:val="0"/>
              <w:marRight w:val="0"/>
              <w:marTop w:val="0"/>
              <w:marBottom w:val="0"/>
              <w:divBdr>
                <w:top w:val="none" w:sz="0" w:space="0" w:color="auto"/>
                <w:left w:val="none" w:sz="0" w:space="0" w:color="auto"/>
                <w:bottom w:val="none" w:sz="0" w:space="0" w:color="auto"/>
                <w:right w:val="none" w:sz="0" w:space="0" w:color="auto"/>
              </w:divBdr>
            </w:div>
          </w:divsChild>
        </w:div>
        <w:div w:id="19208866">
          <w:marLeft w:val="0"/>
          <w:marRight w:val="0"/>
          <w:marTop w:val="0"/>
          <w:marBottom w:val="0"/>
          <w:divBdr>
            <w:top w:val="none" w:sz="0" w:space="0" w:color="auto"/>
            <w:left w:val="none" w:sz="0" w:space="0" w:color="auto"/>
            <w:bottom w:val="none" w:sz="0" w:space="0" w:color="auto"/>
            <w:right w:val="none" w:sz="0" w:space="0" w:color="auto"/>
          </w:divBdr>
          <w:divsChild>
            <w:div w:id="987443000">
              <w:marLeft w:val="0"/>
              <w:marRight w:val="0"/>
              <w:marTop w:val="0"/>
              <w:marBottom w:val="0"/>
              <w:divBdr>
                <w:top w:val="none" w:sz="0" w:space="0" w:color="auto"/>
                <w:left w:val="none" w:sz="0" w:space="0" w:color="auto"/>
                <w:bottom w:val="none" w:sz="0" w:space="0" w:color="auto"/>
                <w:right w:val="none" w:sz="0" w:space="0" w:color="auto"/>
              </w:divBdr>
            </w:div>
          </w:divsChild>
        </w:div>
        <w:div w:id="166942259">
          <w:marLeft w:val="0"/>
          <w:marRight w:val="0"/>
          <w:marTop w:val="0"/>
          <w:marBottom w:val="0"/>
          <w:divBdr>
            <w:top w:val="none" w:sz="0" w:space="0" w:color="auto"/>
            <w:left w:val="none" w:sz="0" w:space="0" w:color="auto"/>
            <w:bottom w:val="none" w:sz="0" w:space="0" w:color="auto"/>
            <w:right w:val="none" w:sz="0" w:space="0" w:color="auto"/>
          </w:divBdr>
          <w:divsChild>
            <w:div w:id="1209486425">
              <w:marLeft w:val="0"/>
              <w:marRight w:val="0"/>
              <w:marTop w:val="0"/>
              <w:marBottom w:val="0"/>
              <w:divBdr>
                <w:top w:val="none" w:sz="0" w:space="0" w:color="auto"/>
                <w:left w:val="none" w:sz="0" w:space="0" w:color="auto"/>
                <w:bottom w:val="none" w:sz="0" w:space="0" w:color="auto"/>
                <w:right w:val="none" w:sz="0" w:space="0" w:color="auto"/>
              </w:divBdr>
            </w:div>
          </w:divsChild>
        </w:div>
        <w:div w:id="1819610036">
          <w:marLeft w:val="0"/>
          <w:marRight w:val="0"/>
          <w:marTop w:val="0"/>
          <w:marBottom w:val="0"/>
          <w:divBdr>
            <w:top w:val="none" w:sz="0" w:space="0" w:color="auto"/>
            <w:left w:val="none" w:sz="0" w:space="0" w:color="auto"/>
            <w:bottom w:val="none" w:sz="0" w:space="0" w:color="auto"/>
            <w:right w:val="none" w:sz="0" w:space="0" w:color="auto"/>
          </w:divBdr>
          <w:divsChild>
            <w:div w:id="186917806">
              <w:marLeft w:val="0"/>
              <w:marRight w:val="0"/>
              <w:marTop w:val="0"/>
              <w:marBottom w:val="0"/>
              <w:divBdr>
                <w:top w:val="none" w:sz="0" w:space="0" w:color="auto"/>
                <w:left w:val="none" w:sz="0" w:space="0" w:color="auto"/>
                <w:bottom w:val="none" w:sz="0" w:space="0" w:color="auto"/>
                <w:right w:val="none" w:sz="0" w:space="0" w:color="auto"/>
              </w:divBdr>
            </w:div>
          </w:divsChild>
        </w:div>
        <w:div w:id="1902672749">
          <w:marLeft w:val="0"/>
          <w:marRight w:val="0"/>
          <w:marTop w:val="0"/>
          <w:marBottom w:val="0"/>
          <w:divBdr>
            <w:top w:val="none" w:sz="0" w:space="0" w:color="auto"/>
            <w:left w:val="none" w:sz="0" w:space="0" w:color="auto"/>
            <w:bottom w:val="none" w:sz="0" w:space="0" w:color="auto"/>
            <w:right w:val="none" w:sz="0" w:space="0" w:color="auto"/>
          </w:divBdr>
          <w:divsChild>
            <w:div w:id="305739816">
              <w:marLeft w:val="0"/>
              <w:marRight w:val="0"/>
              <w:marTop w:val="0"/>
              <w:marBottom w:val="0"/>
              <w:divBdr>
                <w:top w:val="none" w:sz="0" w:space="0" w:color="auto"/>
                <w:left w:val="none" w:sz="0" w:space="0" w:color="auto"/>
                <w:bottom w:val="none" w:sz="0" w:space="0" w:color="auto"/>
                <w:right w:val="none" w:sz="0" w:space="0" w:color="auto"/>
              </w:divBdr>
            </w:div>
          </w:divsChild>
        </w:div>
        <w:div w:id="1524704093">
          <w:marLeft w:val="0"/>
          <w:marRight w:val="0"/>
          <w:marTop w:val="0"/>
          <w:marBottom w:val="0"/>
          <w:divBdr>
            <w:top w:val="none" w:sz="0" w:space="0" w:color="auto"/>
            <w:left w:val="none" w:sz="0" w:space="0" w:color="auto"/>
            <w:bottom w:val="none" w:sz="0" w:space="0" w:color="auto"/>
            <w:right w:val="none" w:sz="0" w:space="0" w:color="auto"/>
          </w:divBdr>
          <w:divsChild>
            <w:div w:id="860124110">
              <w:marLeft w:val="0"/>
              <w:marRight w:val="0"/>
              <w:marTop w:val="0"/>
              <w:marBottom w:val="0"/>
              <w:divBdr>
                <w:top w:val="none" w:sz="0" w:space="0" w:color="auto"/>
                <w:left w:val="none" w:sz="0" w:space="0" w:color="auto"/>
                <w:bottom w:val="none" w:sz="0" w:space="0" w:color="auto"/>
                <w:right w:val="none" w:sz="0" w:space="0" w:color="auto"/>
              </w:divBdr>
            </w:div>
          </w:divsChild>
        </w:div>
        <w:div w:id="1306934753">
          <w:marLeft w:val="0"/>
          <w:marRight w:val="0"/>
          <w:marTop w:val="0"/>
          <w:marBottom w:val="0"/>
          <w:divBdr>
            <w:top w:val="none" w:sz="0" w:space="0" w:color="auto"/>
            <w:left w:val="none" w:sz="0" w:space="0" w:color="auto"/>
            <w:bottom w:val="none" w:sz="0" w:space="0" w:color="auto"/>
            <w:right w:val="none" w:sz="0" w:space="0" w:color="auto"/>
          </w:divBdr>
          <w:divsChild>
            <w:div w:id="1162500518">
              <w:marLeft w:val="0"/>
              <w:marRight w:val="0"/>
              <w:marTop w:val="0"/>
              <w:marBottom w:val="0"/>
              <w:divBdr>
                <w:top w:val="none" w:sz="0" w:space="0" w:color="auto"/>
                <w:left w:val="none" w:sz="0" w:space="0" w:color="auto"/>
                <w:bottom w:val="none" w:sz="0" w:space="0" w:color="auto"/>
                <w:right w:val="none" w:sz="0" w:space="0" w:color="auto"/>
              </w:divBdr>
            </w:div>
          </w:divsChild>
        </w:div>
        <w:div w:id="1144200137">
          <w:marLeft w:val="0"/>
          <w:marRight w:val="0"/>
          <w:marTop w:val="0"/>
          <w:marBottom w:val="0"/>
          <w:divBdr>
            <w:top w:val="none" w:sz="0" w:space="0" w:color="auto"/>
            <w:left w:val="none" w:sz="0" w:space="0" w:color="auto"/>
            <w:bottom w:val="none" w:sz="0" w:space="0" w:color="auto"/>
            <w:right w:val="none" w:sz="0" w:space="0" w:color="auto"/>
          </w:divBdr>
          <w:divsChild>
            <w:div w:id="1997682977">
              <w:marLeft w:val="0"/>
              <w:marRight w:val="0"/>
              <w:marTop w:val="0"/>
              <w:marBottom w:val="0"/>
              <w:divBdr>
                <w:top w:val="none" w:sz="0" w:space="0" w:color="auto"/>
                <w:left w:val="none" w:sz="0" w:space="0" w:color="auto"/>
                <w:bottom w:val="none" w:sz="0" w:space="0" w:color="auto"/>
                <w:right w:val="none" w:sz="0" w:space="0" w:color="auto"/>
              </w:divBdr>
            </w:div>
          </w:divsChild>
        </w:div>
        <w:div w:id="211312161">
          <w:marLeft w:val="0"/>
          <w:marRight w:val="0"/>
          <w:marTop w:val="0"/>
          <w:marBottom w:val="0"/>
          <w:divBdr>
            <w:top w:val="none" w:sz="0" w:space="0" w:color="auto"/>
            <w:left w:val="none" w:sz="0" w:space="0" w:color="auto"/>
            <w:bottom w:val="none" w:sz="0" w:space="0" w:color="auto"/>
            <w:right w:val="none" w:sz="0" w:space="0" w:color="auto"/>
          </w:divBdr>
          <w:divsChild>
            <w:div w:id="2028365284">
              <w:marLeft w:val="0"/>
              <w:marRight w:val="0"/>
              <w:marTop w:val="0"/>
              <w:marBottom w:val="0"/>
              <w:divBdr>
                <w:top w:val="none" w:sz="0" w:space="0" w:color="auto"/>
                <w:left w:val="none" w:sz="0" w:space="0" w:color="auto"/>
                <w:bottom w:val="none" w:sz="0" w:space="0" w:color="auto"/>
                <w:right w:val="none" w:sz="0" w:space="0" w:color="auto"/>
              </w:divBdr>
            </w:div>
          </w:divsChild>
        </w:div>
        <w:div w:id="1764179376">
          <w:marLeft w:val="0"/>
          <w:marRight w:val="0"/>
          <w:marTop w:val="0"/>
          <w:marBottom w:val="0"/>
          <w:divBdr>
            <w:top w:val="none" w:sz="0" w:space="0" w:color="auto"/>
            <w:left w:val="none" w:sz="0" w:space="0" w:color="auto"/>
            <w:bottom w:val="none" w:sz="0" w:space="0" w:color="auto"/>
            <w:right w:val="none" w:sz="0" w:space="0" w:color="auto"/>
          </w:divBdr>
          <w:divsChild>
            <w:div w:id="773595054">
              <w:marLeft w:val="0"/>
              <w:marRight w:val="0"/>
              <w:marTop w:val="0"/>
              <w:marBottom w:val="0"/>
              <w:divBdr>
                <w:top w:val="none" w:sz="0" w:space="0" w:color="auto"/>
                <w:left w:val="none" w:sz="0" w:space="0" w:color="auto"/>
                <w:bottom w:val="none" w:sz="0" w:space="0" w:color="auto"/>
                <w:right w:val="none" w:sz="0" w:space="0" w:color="auto"/>
              </w:divBdr>
            </w:div>
          </w:divsChild>
        </w:div>
        <w:div w:id="1350639690">
          <w:marLeft w:val="0"/>
          <w:marRight w:val="0"/>
          <w:marTop w:val="0"/>
          <w:marBottom w:val="0"/>
          <w:divBdr>
            <w:top w:val="none" w:sz="0" w:space="0" w:color="auto"/>
            <w:left w:val="none" w:sz="0" w:space="0" w:color="auto"/>
            <w:bottom w:val="none" w:sz="0" w:space="0" w:color="auto"/>
            <w:right w:val="none" w:sz="0" w:space="0" w:color="auto"/>
          </w:divBdr>
          <w:divsChild>
            <w:div w:id="663892924">
              <w:marLeft w:val="0"/>
              <w:marRight w:val="0"/>
              <w:marTop w:val="0"/>
              <w:marBottom w:val="0"/>
              <w:divBdr>
                <w:top w:val="none" w:sz="0" w:space="0" w:color="auto"/>
                <w:left w:val="none" w:sz="0" w:space="0" w:color="auto"/>
                <w:bottom w:val="none" w:sz="0" w:space="0" w:color="auto"/>
                <w:right w:val="none" w:sz="0" w:space="0" w:color="auto"/>
              </w:divBdr>
            </w:div>
          </w:divsChild>
        </w:div>
        <w:div w:id="1565674463">
          <w:marLeft w:val="0"/>
          <w:marRight w:val="0"/>
          <w:marTop w:val="0"/>
          <w:marBottom w:val="0"/>
          <w:divBdr>
            <w:top w:val="none" w:sz="0" w:space="0" w:color="auto"/>
            <w:left w:val="none" w:sz="0" w:space="0" w:color="auto"/>
            <w:bottom w:val="none" w:sz="0" w:space="0" w:color="auto"/>
            <w:right w:val="none" w:sz="0" w:space="0" w:color="auto"/>
          </w:divBdr>
          <w:divsChild>
            <w:div w:id="1314675470">
              <w:marLeft w:val="0"/>
              <w:marRight w:val="0"/>
              <w:marTop w:val="0"/>
              <w:marBottom w:val="0"/>
              <w:divBdr>
                <w:top w:val="none" w:sz="0" w:space="0" w:color="auto"/>
                <w:left w:val="none" w:sz="0" w:space="0" w:color="auto"/>
                <w:bottom w:val="none" w:sz="0" w:space="0" w:color="auto"/>
                <w:right w:val="none" w:sz="0" w:space="0" w:color="auto"/>
              </w:divBdr>
            </w:div>
          </w:divsChild>
        </w:div>
        <w:div w:id="1018123578">
          <w:marLeft w:val="0"/>
          <w:marRight w:val="0"/>
          <w:marTop w:val="0"/>
          <w:marBottom w:val="0"/>
          <w:divBdr>
            <w:top w:val="none" w:sz="0" w:space="0" w:color="auto"/>
            <w:left w:val="none" w:sz="0" w:space="0" w:color="auto"/>
            <w:bottom w:val="none" w:sz="0" w:space="0" w:color="auto"/>
            <w:right w:val="none" w:sz="0" w:space="0" w:color="auto"/>
          </w:divBdr>
          <w:divsChild>
            <w:div w:id="1104034471">
              <w:marLeft w:val="0"/>
              <w:marRight w:val="0"/>
              <w:marTop w:val="0"/>
              <w:marBottom w:val="0"/>
              <w:divBdr>
                <w:top w:val="none" w:sz="0" w:space="0" w:color="auto"/>
                <w:left w:val="none" w:sz="0" w:space="0" w:color="auto"/>
                <w:bottom w:val="none" w:sz="0" w:space="0" w:color="auto"/>
                <w:right w:val="none" w:sz="0" w:space="0" w:color="auto"/>
              </w:divBdr>
            </w:div>
          </w:divsChild>
        </w:div>
        <w:div w:id="1308247299">
          <w:marLeft w:val="0"/>
          <w:marRight w:val="0"/>
          <w:marTop w:val="0"/>
          <w:marBottom w:val="0"/>
          <w:divBdr>
            <w:top w:val="none" w:sz="0" w:space="0" w:color="auto"/>
            <w:left w:val="none" w:sz="0" w:space="0" w:color="auto"/>
            <w:bottom w:val="none" w:sz="0" w:space="0" w:color="auto"/>
            <w:right w:val="none" w:sz="0" w:space="0" w:color="auto"/>
          </w:divBdr>
          <w:divsChild>
            <w:div w:id="1134719326">
              <w:marLeft w:val="0"/>
              <w:marRight w:val="0"/>
              <w:marTop w:val="0"/>
              <w:marBottom w:val="0"/>
              <w:divBdr>
                <w:top w:val="none" w:sz="0" w:space="0" w:color="auto"/>
                <w:left w:val="none" w:sz="0" w:space="0" w:color="auto"/>
                <w:bottom w:val="none" w:sz="0" w:space="0" w:color="auto"/>
                <w:right w:val="none" w:sz="0" w:space="0" w:color="auto"/>
              </w:divBdr>
            </w:div>
          </w:divsChild>
        </w:div>
        <w:div w:id="1715034562">
          <w:marLeft w:val="0"/>
          <w:marRight w:val="0"/>
          <w:marTop w:val="0"/>
          <w:marBottom w:val="0"/>
          <w:divBdr>
            <w:top w:val="none" w:sz="0" w:space="0" w:color="auto"/>
            <w:left w:val="none" w:sz="0" w:space="0" w:color="auto"/>
            <w:bottom w:val="none" w:sz="0" w:space="0" w:color="auto"/>
            <w:right w:val="none" w:sz="0" w:space="0" w:color="auto"/>
          </w:divBdr>
          <w:divsChild>
            <w:div w:id="330840037">
              <w:marLeft w:val="0"/>
              <w:marRight w:val="0"/>
              <w:marTop w:val="0"/>
              <w:marBottom w:val="0"/>
              <w:divBdr>
                <w:top w:val="none" w:sz="0" w:space="0" w:color="auto"/>
                <w:left w:val="none" w:sz="0" w:space="0" w:color="auto"/>
                <w:bottom w:val="none" w:sz="0" w:space="0" w:color="auto"/>
                <w:right w:val="none" w:sz="0" w:space="0" w:color="auto"/>
              </w:divBdr>
            </w:div>
          </w:divsChild>
        </w:div>
        <w:div w:id="1741319673">
          <w:marLeft w:val="0"/>
          <w:marRight w:val="0"/>
          <w:marTop w:val="0"/>
          <w:marBottom w:val="0"/>
          <w:divBdr>
            <w:top w:val="none" w:sz="0" w:space="0" w:color="auto"/>
            <w:left w:val="none" w:sz="0" w:space="0" w:color="auto"/>
            <w:bottom w:val="none" w:sz="0" w:space="0" w:color="auto"/>
            <w:right w:val="none" w:sz="0" w:space="0" w:color="auto"/>
          </w:divBdr>
          <w:divsChild>
            <w:div w:id="211621899">
              <w:marLeft w:val="0"/>
              <w:marRight w:val="0"/>
              <w:marTop w:val="0"/>
              <w:marBottom w:val="0"/>
              <w:divBdr>
                <w:top w:val="none" w:sz="0" w:space="0" w:color="auto"/>
                <w:left w:val="none" w:sz="0" w:space="0" w:color="auto"/>
                <w:bottom w:val="none" w:sz="0" w:space="0" w:color="auto"/>
                <w:right w:val="none" w:sz="0" w:space="0" w:color="auto"/>
              </w:divBdr>
            </w:div>
          </w:divsChild>
        </w:div>
        <w:div w:id="1681349655">
          <w:marLeft w:val="0"/>
          <w:marRight w:val="0"/>
          <w:marTop w:val="0"/>
          <w:marBottom w:val="0"/>
          <w:divBdr>
            <w:top w:val="none" w:sz="0" w:space="0" w:color="auto"/>
            <w:left w:val="none" w:sz="0" w:space="0" w:color="auto"/>
            <w:bottom w:val="none" w:sz="0" w:space="0" w:color="auto"/>
            <w:right w:val="none" w:sz="0" w:space="0" w:color="auto"/>
          </w:divBdr>
          <w:divsChild>
            <w:div w:id="2146652485">
              <w:marLeft w:val="0"/>
              <w:marRight w:val="0"/>
              <w:marTop w:val="0"/>
              <w:marBottom w:val="0"/>
              <w:divBdr>
                <w:top w:val="none" w:sz="0" w:space="0" w:color="auto"/>
                <w:left w:val="none" w:sz="0" w:space="0" w:color="auto"/>
                <w:bottom w:val="none" w:sz="0" w:space="0" w:color="auto"/>
                <w:right w:val="none" w:sz="0" w:space="0" w:color="auto"/>
              </w:divBdr>
            </w:div>
          </w:divsChild>
        </w:div>
        <w:div w:id="1594437477">
          <w:marLeft w:val="0"/>
          <w:marRight w:val="0"/>
          <w:marTop w:val="0"/>
          <w:marBottom w:val="0"/>
          <w:divBdr>
            <w:top w:val="none" w:sz="0" w:space="0" w:color="auto"/>
            <w:left w:val="none" w:sz="0" w:space="0" w:color="auto"/>
            <w:bottom w:val="none" w:sz="0" w:space="0" w:color="auto"/>
            <w:right w:val="none" w:sz="0" w:space="0" w:color="auto"/>
          </w:divBdr>
          <w:divsChild>
            <w:div w:id="257297304">
              <w:marLeft w:val="0"/>
              <w:marRight w:val="0"/>
              <w:marTop w:val="0"/>
              <w:marBottom w:val="0"/>
              <w:divBdr>
                <w:top w:val="none" w:sz="0" w:space="0" w:color="auto"/>
                <w:left w:val="none" w:sz="0" w:space="0" w:color="auto"/>
                <w:bottom w:val="none" w:sz="0" w:space="0" w:color="auto"/>
                <w:right w:val="none" w:sz="0" w:space="0" w:color="auto"/>
              </w:divBdr>
            </w:div>
          </w:divsChild>
        </w:div>
        <w:div w:id="1816986587">
          <w:marLeft w:val="0"/>
          <w:marRight w:val="0"/>
          <w:marTop w:val="0"/>
          <w:marBottom w:val="0"/>
          <w:divBdr>
            <w:top w:val="none" w:sz="0" w:space="0" w:color="auto"/>
            <w:left w:val="none" w:sz="0" w:space="0" w:color="auto"/>
            <w:bottom w:val="none" w:sz="0" w:space="0" w:color="auto"/>
            <w:right w:val="none" w:sz="0" w:space="0" w:color="auto"/>
          </w:divBdr>
          <w:divsChild>
            <w:div w:id="1585871453">
              <w:marLeft w:val="0"/>
              <w:marRight w:val="0"/>
              <w:marTop w:val="0"/>
              <w:marBottom w:val="0"/>
              <w:divBdr>
                <w:top w:val="none" w:sz="0" w:space="0" w:color="auto"/>
                <w:left w:val="none" w:sz="0" w:space="0" w:color="auto"/>
                <w:bottom w:val="none" w:sz="0" w:space="0" w:color="auto"/>
                <w:right w:val="none" w:sz="0" w:space="0" w:color="auto"/>
              </w:divBdr>
            </w:div>
          </w:divsChild>
        </w:div>
        <w:div w:id="1006981508">
          <w:marLeft w:val="0"/>
          <w:marRight w:val="0"/>
          <w:marTop w:val="0"/>
          <w:marBottom w:val="0"/>
          <w:divBdr>
            <w:top w:val="none" w:sz="0" w:space="0" w:color="auto"/>
            <w:left w:val="none" w:sz="0" w:space="0" w:color="auto"/>
            <w:bottom w:val="none" w:sz="0" w:space="0" w:color="auto"/>
            <w:right w:val="none" w:sz="0" w:space="0" w:color="auto"/>
          </w:divBdr>
          <w:divsChild>
            <w:div w:id="1777210237">
              <w:marLeft w:val="0"/>
              <w:marRight w:val="0"/>
              <w:marTop w:val="0"/>
              <w:marBottom w:val="0"/>
              <w:divBdr>
                <w:top w:val="none" w:sz="0" w:space="0" w:color="auto"/>
                <w:left w:val="none" w:sz="0" w:space="0" w:color="auto"/>
                <w:bottom w:val="none" w:sz="0" w:space="0" w:color="auto"/>
                <w:right w:val="none" w:sz="0" w:space="0" w:color="auto"/>
              </w:divBdr>
            </w:div>
          </w:divsChild>
        </w:div>
        <w:div w:id="744646613">
          <w:marLeft w:val="0"/>
          <w:marRight w:val="0"/>
          <w:marTop w:val="0"/>
          <w:marBottom w:val="0"/>
          <w:divBdr>
            <w:top w:val="none" w:sz="0" w:space="0" w:color="auto"/>
            <w:left w:val="none" w:sz="0" w:space="0" w:color="auto"/>
            <w:bottom w:val="none" w:sz="0" w:space="0" w:color="auto"/>
            <w:right w:val="none" w:sz="0" w:space="0" w:color="auto"/>
          </w:divBdr>
          <w:divsChild>
            <w:div w:id="1236864302">
              <w:marLeft w:val="0"/>
              <w:marRight w:val="0"/>
              <w:marTop w:val="0"/>
              <w:marBottom w:val="0"/>
              <w:divBdr>
                <w:top w:val="none" w:sz="0" w:space="0" w:color="auto"/>
                <w:left w:val="none" w:sz="0" w:space="0" w:color="auto"/>
                <w:bottom w:val="none" w:sz="0" w:space="0" w:color="auto"/>
                <w:right w:val="none" w:sz="0" w:space="0" w:color="auto"/>
              </w:divBdr>
            </w:div>
          </w:divsChild>
        </w:div>
        <w:div w:id="519046675">
          <w:marLeft w:val="0"/>
          <w:marRight w:val="0"/>
          <w:marTop w:val="0"/>
          <w:marBottom w:val="0"/>
          <w:divBdr>
            <w:top w:val="none" w:sz="0" w:space="0" w:color="auto"/>
            <w:left w:val="none" w:sz="0" w:space="0" w:color="auto"/>
            <w:bottom w:val="none" w:sz="0" w:space="0" w:color="auto"/>
            <w:right w:val="none" w:sz="0" w:space="0" w:color="auto"/>
          </w:divBdr>
          <w:divsChild>
            <w:div w:id="109011432">
              <w:marLeft w:val="0"/>
              <w:marRight w:val="0"/>
              <w:marTop w:val="0"/>
              <w:marBottom w:val="0"/>
              <w:divBdr>
                <w:top w:val="none" w:sz="0" w:space="0" w:color="auto"/>
                <w:left w:val="none" w:sz="0" w:space="0" w:color="auto"/>
                <w:bottom w:val="none" w:sz="0" w:space="0" w:color="auto"/>
                <w:right w:val="none" w:sz="0" w:space="0" w:color="auto"/>
              </w:divBdr>
            </w:div>
          </w:divsChild>
        </w:div>
        <w:div w:id="1175806327">
          <w:marLeft w:val="0"/>
          <w:marRight w:val="0"/>
          <w:marTop w:val="0"/>
          <w:marBottom w:val="0"/>
          <w:divBdr>
            <w:top w:val="none" w:sz="0" w:space="0" w:color="auto"/>
            <w:left w:val="none" w:sz="0" w:space="0" w:color="auto"/>
            <w:bottom w:val="none" w:sz="0" w:space="0" w:color="auto"/>
            <w:right w:val="none" w:sz="0" w:space="0" w:color="auto"/>
          </w:divBdr>
          <w:divsChild>
            <w:div w:id="570583172">
              <w:marLeft w:val="0"/>
              <w:marRight w:val="0"/>
              <w:marTop w:val="0"/>
              <w:marBottom w:val="0"/>
              <w:divBdr>
                <w:top w:val="none" w:sz="0" w:space="0" w:color="auto"/>
                <w:left w:val="none" w:sz="0" w:space="0" w:color="auto"/>
                <w:bottom w:val="none" w:sz="0" w:space="0" w:color="auto"/>
                <w:right w:val="none" w:sz="0" w:space="0" w:color="auto"/>
              </w:divBdr>
            </w:div>
          </w:divsChild>
        </w:div>
        <w:div w:id="1953435907">
          <w:marLeft w:val="0"/>
          <w:marRight w:val="0"/>
          <w:marTop w:val="0"/>
          <w:marBottom w:val="0"/>
          <w:divBdr>
            <w:top w:val="none" w:sz="0" w:space="0" w:color="auto"/>
            <w:left w:val="none" w:sz="0" w:space="0" w:color="auto"/>
            <w:bottom w:val="none" w:sz="0" w:space="0" w:color="auto"/>
            <w:right w:val="none" w:sz="0" w:space="0" w:color="auto"/>
          </w:divBdr>
          <w:divsChild>
            <w:div w:id="1067538424">
              <w:marLeft w:val="0"/>
              <w:marRight w:val="0"/>
              <w:marTop w:val="0"/>
              <w:marBottom w:val="0"/>
              <w:divBdr>
                <w:top w:val="none" w:sz="0" w:space="0" w:color="auto"/>
                <w:left w:val="none" w:sz="0" w:space="0" w:color="auto"/>
                <w:bottom w:val="none" w:sz="0" w:space="0" w:color="auto"/>
                <w:right w:val="none" w:sz="0" w:space="0" w:color="auto"/>
              </w:divBdr>
            </w:div>
          </w:divsChild>
        </w:div>
        <w:div w:id="240991916">
          <w:marLeft w:val="0"/>
          <w:marRight w:val="0"/>
          <w:marTop w:val="0"/>
          <w:marBottom w:val="0"/>
          <w:divBdr>
            <w:top w:val="none" w:sz="0" w:space="0" w:color="auto"/>
            <w:left w:val="none" w:sz="0" w:space="0" w:color="auto"/>
            <w:bottom w:val="none" w:sz="0" w:space="0" w:color="auto"/>
            <w:right w:val="none" w:sz="0" w:space="0" w:color="auto"/>
          </w:divBdr>
          <w:divsChild>
            <w:div w:id="927812620">
              <w:marLeft w:val="0"/>
              <w:marRight w:val="0"/>
              <w:marTop w:val="0"/>
              <w:marBottom w:val="0"/>
              <w:divBdr>
                <w:top w:val="none" w:sz="0" w:space="0" w:color="auto"/>
                <w:left w:val="none" w:sz="0" w:space="0" w:color="auto"/>
                <w:bottom w:val="none" w:sz="0" w:space="0" w:color="auto"/>
                <w:right w:val="none" w:sz="0" w:space="0" w:color="auto"/>
              </w:divBdr>
            </w:div>
          </w:divsChild>
        </w:div>
        <w:div w:id="462382066">
          <w:marLeft w:val="0"/>
          <w:marRight w:val="0"/>
          <w:marTop w:val="0"/>
          <w:marBottom w:val="0"/>
          <w:divBdr>
            <w:top w:val="none" w:sz="0" w:space="0" w:color="auto"/>
            <w:left w:val="none" w:sz="0" w:space="0" w:color="auto"/>
            <w:bottom w:val="none" w:sz="0" w:space="0" w:color="auto"/>
            <w:right w:val="none" w:sz="0" w:space="0" w:color="auto"/>
          </w:divBdr>
          <w:divsChild>
            <w:div w:id="1949117951">
              <w:marLeft w:val="0"/>
              <w:marRight w:val="0"/>
              <w:marTop w:val="0"/>
              <w:marBottom w:val="0"/>
              <w:divBdr>
                <w:top w:val="none" w:sz="0" w:space="0" w:color="auto"/>
                <w:left w:val="none" w:sz="0" w:space="0" w:color="auto"/>
                <w:bottom w:val="none" w:sz="0" w:space="0" w:color="auto"/>
                <w:right w:val="none" w:sz="0" w:space="0" w:color="auto"/>
              </w:divBdr>
            </w:div>
          </w:divsChild>
        </w:div>
        <w:div w:id="1938365180">
          <w:marLeft w:val="0"/>
          <w:marRight w:val="0"/>
          <w:marTop w:val="0"/>
          <w:marBottom w:val="0"/>
          <w:divBdr>
            <w:top w:val="none" w:sz="0" w:space="0" w:color="auto"/>
            <w:left w:val="none" w:sz="0" w:space="0" w:color="auto"/>
            <w:bottom w:val="none" w:sz="0" w:space="0" w:color="auto"/>
            <w:right w:val="none" w:sz="0" w:space="0" w:color="auto"/>
          </w:divBdr>
          <w:divsChild>
            <w:div w:id="1349065900">
              <w:marLeft w:val="0"/>
              <w:marRight w:val="0"/>
              <w:marTop w:val="0"/>
              <w:marBottom w:val="0"/>
              <w:divBdr>
                <w:top w:val="none" w:sz="0" w:space="0" w:color="auto"/>
                <w:left w:val="none" w:sz="0" w:space="0" w:color="auto"/>
                <w:bottom w:val="none" w:sz="0" w:space="0" w:color="auto"/>
                <w:right w:val="none" w:sz="0" w:space="0" w:color="auto"/>
              </w:divBdr>
            </w:div>
          </w:divsChild>
        </w:div>
        <w:div w:id="544803513">
          <w:marLeft w:val="0"/>
          <w:marRight w:val="0"/>
          <w:marTop w:val="0"/>
          <w:marBottom w:val="0"/>
          <w:divBdr>
            <w:top w:val="none" w:sz="0" w:space="0" w:color="auto"/>
            <w:left w:val="none" w:sz="0" w:space="0" w:color="auto"/>
            <w:bottom w:val="none" w:sz="0" w:space="0" w:color="auto"/>
            <w:right w:val="none" w:sz="0" w:space="0" w:color="auto"/>
          </w:divBdr>
          <w:divsChild>
            <w:div w:id="1433088211">
              <w:marLeft w:val="0"/>
              <w:marRight w:val="0"/>
              <w:marTop w:val="0"/>
              <w:marBottom w:val="0"/>
              <w:divBdr>
                <w:top w:val="none" w:sz="0" w:space="0" w:color="auto"/>
                <w:left w:val="none" w:sz="0" w:space="0" w:color="auto"/>
                <w:bottom w:val="none" w:sz="0" w:space="0" w:color="auto"/>
                <w:right w:val="none" w:sz="0" w:space="0" w:color="auto"/>
              </w:divBdr>
            </w:div>
          </w:divsChild>
        </w:div>
        <w:div w:id="1510294423">
          <w:marLeft w:val="0"/>
          <w:marRight w:val="0"/>
          <w:marTop w:val="0"/>
          <w:marBottom w:val="0"/>
          <w:divBdr>
            <w:top w:val="none" w:sz="0" w:space="0" w:color="auto"/>
            <w:left w:val="none" w:sz="0" w:space="0" w:color="auto"/>
            <w:bottom w:val="none" w:sz="0" w:space="0" w:color="auto"/>
            <w:right w:val="none" w:sz="0" w:space="0" w:color="auto"/>
          </w:divBdr>
          <w:divsChild>
            <w:div w:id="1876573644">
              <w:marLeft w:val="0"/>
              <w:marRight w:val="0"/>
              <w:marTop w:val="0"/>
              <w:marBottom w:val="0"/>
              <w:divBdr>
                <w:top w:val="none" w:sz="0" w:space="0" w:color="auto"/>
                <w:left w:val="none" w:sz="0" w:space="0" w:color="auto"/>
                <w:bottom w:val="none" w:sz="0" w:space="0" w:color="auto"/>
                <w:right w:val="none" w:sz="0" w:space="0" w:color="auto"/>
              </w:divBdr>
            </w:div>
          </w:divsChild>
        </w:div>
        <w:div w:id="1199975113">
          <w:marLeft w:val="0"/>
          <w:marRight w:val="0"/>
          <w:marTop w:val="0"/>
          <w:marBottom w:val="0"/>
          <w:divBdr>
            <w:top w:val="none" w:sz="0" w:space="0" w:color="auto"/>
            <w:left w:val="none" w:sz="0" w:space="0" w:color="auto"/>
            <w:bottom w:val="none" w:sz="0" w:space="0" w:color="auto"/>
            <w:right w:val="none" w:sz="0" w:space="0" w:color="auto"/>
          </w:divBdr>
          <w:divsChild>
            <w:div w:id="231895713">
              <w:marLeft w:val="0"/>
              <w:marRight w:val="0"/>
              <w:marTop w:val="0"/>
              <w:marBottom w:val="0"/>
              <w:divBdr>
                <w:top w:val="none" w:sz="0" w:space="0" w:color="auto"/>
                <w:left w:val="none" w:sz="0" w:space="0" w:color="auto"/>
                <w:bottom w:val="none" w:sz="0" w:space="0" w:color="auto"/>
                <w:right w:val="none" w:sz="0" w:space="0" w:color="auto"/>
              </w:divBdr>
            </w:div>
          </w:divsChild>
        </w:div>
        <w:div w:id="770205573">
          <w:marLeft w:val="0"/>
          <w:marRight w:val="0"/>
          <w:marTop w:val="0"/>
          <w:marBottom w:val="0"/>
          <w:divBdr>
            <w:top w:val="none" w:sz="0" w:space="0" w:color="auto"/>
            <w:left w:val="none" w:sz="0" w:space="0" w:color="auto"/>
            <w:bottom w:val="none" w:sz="0" w:space="0" w:color="auto"/>
            <w:right w:val="none" w:sz="0" w:space="0" w:color="auto"/>
          </w:divBdr>
          <w:divsChild>
            <w:div w:id="1947543776">
              <w:marLeft w:val="0"/>
              <w:marRight w:val="0"/>
              <w:marTop w:val="0"/>
              <w:marBottom w:val="0"/>
              <w:divBdr>
                <w:top w:val="none" w:sz="0" w:space="0" w:color="auto"/>
                <w:left w:val="none" w:sz="0" w:space="0" w:color="auto"/>
                <w:bottom w:val="none" w:sz="0" w:space="0" w:color="auto"/>
                <w:right w:val="none" w:sz="0" w:space="0" w:color="auto"/>
              </w:divBdr>
            </w:div>
          </w:divsChild>
        </w:div>
        <w:div w:id="1663122789">
          <w:marLeft w:val="0"/>
          <w:marRight w:val="0"/>
          <w:marTop w:val="0"/>
          <w:marBottom w:val="0"/>
          <w:divBdr>
            <w:top w:val="none" w:sz="0" w:space="0" w:color="auto"/>
            <w:left w:val="none" w:sz="0" w:space="0" w:color="auto"/>
            <w:bottom w:val="none" w:sz="0" w:space="0" w:color="auto"/>
            <w:right w:val="none" w:sz="0" w:space="0" w:color="auto"/>
          </w:divBdr>
          <w:divsChild>
            <w:div w:id="78990023">
              <w:marLeft w:val="0"/>
              <w:marRight w:val="0"/>
              <w:marTop w:val="0"/>
              <w:marBottom w:val="0"/>
              <w:divBdr>
                <w:top w:val="none" w:sz="0" w:space="0" w:color="auto"/>
                <w:left w:val="none" w:sz="0" w:space="0" w:color="auto"/>
                <w:bottom w:val="none" w:sz="0" w:space="0" w:color="auto"/>
                <w:right w:val="none" w:sz="0" w:space="0" w:color="auto"/>
              </w:divBdr>
            </w:div>
          </w:divsChild>
        </w:div>
        <w:div w:id="871572665">
          <w:marLeft w:val="0"/>
          <w:marRight w:val="0"/>
          <w:marTop w:val="0"/>
          <w:marBottom w:val="0"/>
          <w:divBdr>
            <w:top w:val="none" w:sz="0" w:space="0" w:color="auto"/>
            <w:left w:val="none" w:sz="0" w:space="0" w:color="auto"/>
            <w:bottom w:val="none" w:sz="0" w:space="0" w:color="auto"/>
            <w:right w:val="none" w:sz="0" w:space="0" w:color="auto"/>
          </w:divBdr>
          <w:divsChild>
            <w:div w:id="1476677002">
              <w:marLeft w:val="0"/>
              <w:marRight w:val="0"/>
              <w:marTop w:val="0"/>
              <w:marBottom w:val="0"/>
              <w:divBdr>
                <w:top w:val="none" w:sz="0" w:space="0" w:color="auto"/>
                <w:left w:val="none" w:sz="0" w:space="0" w:color="auto"/>
                <w:bottom w:val="none" w:sz="0" w:space="0" w:color="auto"/>
                <w:right w:val="none" w:sz="0" w:space="0" w:color="auto"/>
              </w:divBdr>
            </w:div>
          </w:divsChild>
        </w:div>
        <w:div w:id="734815032">
          <w:marLeft w:val="0"/>
          <w:marRight w:val="0"/>
          <w:marTop w:val="0"/>
          <w:marBottom w:val="0"/>
          <w:divBdr>
            <w:top w:val="none" w:sz="0" w:space="0" w:color="auto"/>
            <w:left w:val="none" w:sz="0" w:space="0" w:color="auto"/>
            <w:bottom w:val="none" w:sz="0" w:space="0" w:color="auto"/>
            <w:right w:val="none" w:sz="0" w:space="0" w:color="auto"/>
          </w:divBdr>
          <w:divsChild>
            <w:div w:id="1293707145">
              <w:marLeft w:val="0"/>
              <w:marRight w:val="0"/>
              <w:marTop w:val="0"/>
              <w:marBottom w:val="0"/>
              <w:divBdr>
                <w:top w:val="none" w:sz="0" w:space="0" w:color="auto"/>
                <w:left w:val="none" w:sz="0" w:space="0" w:color="auto"/>
                <w:bottom w:val="none" w:sz="0" w:space="0" w:color="auto"/>
                <w:right w:val="none" w:sz="0" w:space="0" w:color="auto"/>
              </w:divBdr>
            </w:div>
          </w:divsChild>
        </w:div>
        <w:div w:id="1678192658">
          <w:marLeft w:val="0"/>
          <w:marRight w:val="0"/>
          <w:marTop w:val="0"/>
          <w:marBottom w:val="0"/>
          <w:divBdr>
            <w:top w:val="none" w:sz="0" w:space="0" w:color="auto"/>
            <w:left w:val="none" w:sz="0" w:space="0" w:color="auto"/>
            <w:bottom w:val="none" w:sz="0" w:space="0" w:color="auto"/>
            <w:right w:val="none" w:sz="0" w:space="0" w:color="auto"/>
          </w:divBdr>
          <w:divsChild>
            <w:div w:id="2010327392">
              <w:marLeft w:val="0"/>
              <w:marRight w:val="0"/>
              <w:marTop w:val="0"/>
              <w:marBottom w:val="0"/>
              <w:divBdr>
                <w:top w:val="none" w:sz="0" w:space="0" w:color="auto"/>
                <w:left w:val="none" w:sz="0" w:space="0" w:color="auto"/>
                <w:bottom w:val="none" w:sz="0" w:space="0" w:color="auto"/>
                <w:right w:val="none" w:sz="0" w:space="0" w:color="auto"/>
              </w:divBdr>
            </w:div>
          </w:divsChild>
        </w:div>
        <w:div w:id="1677805241">
          <w:marLeft w:val="0"/>
          <w:marRight w:val="0"/>
          <w:marTop w:val="0"/>
          <w:marBottom w:val="0"/>
          <w:divBdr>
            <w:top w:val="none" w:sz="0" w:space="0" w:color="auto"/>
            <w:left w:val="none" w:sz="0" w:space="0" w:color="auto"/>
            <w:bottom w:val="none" w:sz="0" w:space="0" w:color="auto"/>
            <w:right w:val="none" w:sz="0" w:space="0" w:color="auto"/>
          </w:divBdr>
          <w:divsChild>
            <w:div w:id="725183685">
              <w:marLeft w:val="0"/>
              <w:marRight w:val="0"/>
              <w:marTop w:val="0"/>
              <w:marBottom w:val="0"/>
              <w:divBdr>
                <w:top w:val="none" w:sz="0" w:space="0" w:color="auto"/>
                <w:left w:val="none" w:sz="0" w:space="0" w:color="auto"/>
                <w:bottom w:val="none" w:sz="0" w:space="0" w:color="auto"/>
                <w:right w:val="none" w:sz="0" w:space="0" w:color="auto"/>
              </w:divBdr>
            </w:div>
          </w:divsChild>
        </w:div>
        <w:div w:id="453446730">
          <w:marLeft w:val="0"/>
          <w:marRight w:val="0"/>
          <w:marTop w:val="0"/>
          <w:marBottom w:val="0"/>
          <w:divBdr>
            <w:top w:val="none" w:sz="0" w:space="0" w:color="auto"/>
            <w:left w:val="none" w:sz="0" w:space="0" w:color="auto"/>
            <w:bottom w:val="none" w:sz="0" w:space="0" w:color="auto"/>
            <w:right w:val="none" w:sz="0" w:space="0" w:color="auto"/>
          </w:divBdr>
          <w:divsChild>
            <w:div w:id="1135759600">
              <w:marLeft w:val="0"/>
              <w:marRight w:val="0"/>
              <w:marTop w:val="0"/>
              <w:marBottom w:val="0"/>
              <w:divBdr>
                <w:top w:val="none" w:sz="0" w:space="0" w:color="auto"/>
                <w:left w:val="none" w:sz="0" w:space="0" w:color="auto"/>
                <w:bottom w:val="none" w:sz="0" w:space="0" w:color="auto"/>
                <w:right w:val="none" w:sz="0" w:space="0" w:color="auto"/>
              </w:divBdr>
            </w:div>
          </w:divsChild>
        </w:div>
        <w:div w:id="881210398">
          <w:marLeft w:val="0"/>
          <w:marRight w:val="0"/>
          <w:marTop w:val="0"/>
          <w:marBottom w:val="0"/>
          <w:divBdr>
            <w:top w:val="none" w:sz="0" w:space="0" w:color="auto"/>
            <w:left w:val="none" w:sz="0" w:space="0" w:color="auto"/>
            <w:bottom w:val="none" w:sz="0" w:space="0" w:color="auto"/>
            <w:right w:val="none" w:sz="0" w:space="0" w:color="auto"/>
          </w:divBdr>
          <w:divsChild>
            <w:div w:id="1865824304">
              <w:marLeft w:val="0"/>
              <w:marRight w:val="0"/>
              <w:marTop w:val="0"/>
              <w:marBottom w:val="0"/>
              <w:divBdr>
                <w:top w:val="none" w:sz="0" w:space="0" w:color="auto"/>
                <w:left w:val="none" w:sz="0" w:space="0" w:color="auto"/>
                <w:bottom w:val="none" w:sz="0" w:space="0" w:color="auto"/>
                <w:right w:val="none" w:sz="0" w:space="0" w:color="auto"/>
              </w:divBdr>
            </w:div>
          </w:divsChild>
        </w:div>
        <w:div w:id="1108817300">
          <w:marLeft w:val="0"/>
          <w:marRight w:val="0"/>
          <w:marTop w:val="0"/>
          <w:marBottom w:val="0"/>
          <w:divBdr>
            <w:top w:val="none" w:sz="0" w:space="0" w:color="auto"/>
            <w:left w:val="none" w:sz="0" w:space="0" w:color="auto"/>
            <w:bottom w:val="none" w:sz="0" w:space="0" w:color="auto"/>
            <w:right w:val="none" w:sz="0" w:space="0" w:color="auto"/>
          </w:divBdr>
          <w:divsChild>
            <w:div w:id="1916741456">
              <w:marLeft w:val="0"/>
              <w:marRight w:val="0"/>
              <w:marTop w:val="0"/>
              <w:marBottom w:val="0"/>
              <w:divBdr>
                <w:top w:val="none" w:sz="0" w:space="0" w:color="auto"/>
                <w:left w:val="none" w:sz="0" w:space="0" w:color="auto"/>
                <w:bottom w:val="none" w:sz="0" w:space="0" w:color="auto"/>
                <w:right w:val="none" w:sz="0" w:space="0" w:color="auto"/>
              </w:divBdr>
            </w:div>
          </w:divsChild>
        </w:div>
        <w:div w:id="40060231">
          <w:marLeft w:val="0"/>
          <w:marRight w:val="0"/>
          <w:marTop w:val="0"/>
          <w:marBottom w:val="0"/>
          <w:divBdr>
            <w:top w:val="none" w:sz="0" w:space="0" w:color="auto"/>
            <w:left w:val="none" w:sz="0" w:space="0" w:color="auto"/>
            <w:bottom w:val="none" w:sz="0" w:space="0" w:color="auto"/>
            <w:right w:val="none" w:sz="0" w:space="0" w:color="auto"/>
          </w:divBdr>
          <w:divsChild>
            <w:div w:id="1472207">
              <w:marLeft w:val="0"/>
              <w:marRight w:val="0"/>
              <w:marTop w:val="0"/>
              <w:marBottom w:val="0"/>
              <w:divBdr>
                <w:top w:val="none" w:sz="0" w:space="0" w:color="auto"/>
                <w:left w:val="none" w:sz="0" w:space="0" w:color="auto"/>
                <w:bottom w:val="none" w:sz="0" w:space="0" w:color="auto"/>
                <w:right w:val="none" w:sz="0" w:space="0" w:color="auto"/>
              </w:divBdr>
            </w:div>
          </w:divsChild>
        </w:div>
        <w:div w:id="1252398871">
          <w:marLeft w:val="0"/>
          <w:marRight w:val="0"/>
          <w:marTop w:val="0"/>
          <w:marBottom w:val="0"/>
          <w:divBdr>
            <w:top w:val="none" w:sz="0" w:space="0" w:color="auto"/>
            <w:left w:val="none" w:sz="0" w:space="0" w:color="auto"/>
            <w:bottom w:val="none" w:sz="0" w:space="0" w:color="auto"/>
            <w:right w:val="none" w:sz="0" w:space="0" w:color="auto"/>
          </w:divBdr>
          <w:divsChild>
            <w:div w:id="1439830079">
              <w:marLeft w:val="0"/>
              <w:marRight w:val="0"/>
              <w:marTop w:val="0"/>
              <w:marBottom w:val="0"/>
              <w:divBdr>
                <w:top w:val="none" w:sz="0" w:space="0" w:color="auto"/>
                <w:left w:val="none" w:sz="0" w:space="0" w:color="auto"/>
                <w:bottom w:val="none" w:sz="0" w:space="0" w:color="auto"/>
                <w:right w:val="none" w:sz="0" w:space="0" w:color="auto"/>
              </w:divBdr>
            </w:div>
          </w:divsChild>
        </w:div>
        <w:div w:id="661469054">
          <w:marLeft w:val="0"/>
          <w:marRight w:val="0"/>
          <w:marTop w:val="0"/>
          <w:marBottom w:val="0"/>
          <w:divBdr>
            <w:top w:val="none" w:sz="0" w:space="0" w:color="auto"/>
            <w:left w:val="none" w:sz="0" w:space="0" w:color="auto"/>
            <w:bottom w:val="none" w:sz="0" w:space="0" w:color="auto"/>
            <w:right w:val="none" w:sz="0" w:space="0" w:color="auto"/>
          </w:divBdr>
          <w:divsChild>
            <w:div w:id="1764842153">
              <w:marLeft w:val="0"/>
              <w:marRight w:val="0"/>
              <w:marTop w:val="0"/>
              <w:marBottom w:val="0"/>
              <w:divBdr>
                <w:top w:val="none" w:sz="0" w:space="0" w:color="auto"/>
                <w:left w:val="none" w:sz="0" w:space="0" w:color="auto"/>
                <w:bottom w:val="none" w:sz="0" w:space="0" w:color="auto"/>
                <w:right w:val="none" w:sz="0" w:space="0" w:color="auto"/>
              </w:divBdr>
            </w:div>
          </w:divsChild>
        </w:div>
        <w:div w:id="1075012403">
          <w:marLeft w:val="0"/>
          <w:marRight w:val="0"/>
          <w:marTop w:val="0"/>
          <w:marBottom w:val="0"/>
          <w:divBdr>
            <w:top w:val="none" w:sz="0" w:space="0" w:color="auto"/>
            <w:left w:val="none" w:sz="0" w:space="0" w:color="auto"/>
            <w:bottom w:val="none" w:sz="0" w:space="0" w:color="auto"/>
            <w:right w:val="none" w:sz="0" w:space="0" w:color="auto"/>
          </w:divBdr>
          <w:divsChild>
            <w:div w:id="27948949">
              <w:marLeft w:val="0"/>
              <w:marRight w:val="0"/>
              <w:marTop w:val="0"/>
              <w:marBottom w:val="0"/>
              <w:divBdr>
                <w:top w:val="none" w:sz="0" w:space="0" w:color="auto"/>
                <w:left w:val="none" w:sz="0" w:space="0" w:color="auto"/>
                <w:bottom w:val="none" w:sz="0" w:space="0" w:color="auto"/>
                <w:right w:val="none" w:sz="0" w:space="0" w:color="auto"/>
              </w:divBdr>
            </w:div>
          </w:divsChild>
        </w:div>
        <w:div w:id="2113166105">
          <w:marLeft w:val="0"/>
          <w:marRight w:val="0"/>
          <w:marTop w:val="0"/>
          <w:marBottom w:val="0"/>
          <w:divBdr>
            <w:top w:val="none" w:sz="0" w:space="0" w:color="auto"/>
            <w:left w:val="none" w:sz="0" w:space="0" w:color="auto"/>
            <w:bottom w:val="none" w:sz="0" w:space="0" w:color="auto"/>
            <w:right w:val="none" w:sz="0" w:space="0" w:color="auto"/>
          </w:divBdr>
          <w:divsChild>
            <w:div w:id="966424988">
              <w:marLeft w:val="0"/>
              <w:marRight w:val="0"/>
              <w:marTop w:val="0"/>
              <w:marBottom w:val="0"/>
              <w:divBdr>
                <w:top w:val="none" w:sz="0" w:space="0" w:color="auto"/>
                <w:left w:val="none" w:sz="0" w:space="0" w:color="auto"/>
                <w:bottom w:val="none" w:sz="0" w:space="0" w:color="auto"/>
                <w:right w:val="none" w:sz="0" w:space="0" w:color="auto"/>
              </w:divBdr>
            </w:div>
          </w:divsChild>
        </w:div>
        <w:div w:id="901672434">
          <w:marLeft w:val="0"/>
          <w:marRight w:val="0"/>
          <w:marTop w:val="0"/>
          <w:marBottom w:val="0"/>
          <w:divBdr>
            <w:top w:val="none" w:sz="0" w:space="0" w:color="auto"/>
            <w:left w:val="none" w:sz="0" w:space="0" w:color="auto"/>
            <w:bottom w:val="none" w:sz="0" w:space="0" w:color="auto"/>
            <w:right w:val="none" w:sz="0" w:space="0" w:color="auto"/>
          </w:divBdr>
          <w:divsChild>
            <w:div w:id="1682775817">
              <w:marLeft w:val="0"/>
              <w:marRight w:val="0"/>
              <w:marTop w:val="0"/>
              <w:marBottom w:val="0"/>
              <w:divBdr>
                <w:top w:val="none" w:sz="0" w:space="0" w:color="auto"/>
                <w:left w:val="none" w:sz="0" w:space="0" w:color="auto"/>
                <w:bottom w:val="none" w:sz="0" w:space="0" w:color="auto"/>
                <w:right w:val="none" w:sz="0" w:space="0" w:color="auto"/>
              </w:divBdr>
            </w:div>
          </w:divsChild>
        </w:div>
        <w:div w:id="122963661">
          <w:marLeft w:val="0"/>
          <w:marRight w:val="0"/>
          <w:marTop w:val="0"/>
          <w:marBottom w:val="0"/>
          <w:divBdr>
            <w:top w:val="none" w:sz="0" w:space="0" w:color="auto"/>
            <w:left w:val="none" w:sz="0" w:space="0" w:color="auto"/>
            <w:bottom w:val="none" w:sz="0" w:space="0" w:color="auto"/>
            <w:right w:val="none" w:sz="0" w:space="0" w:color="auto"/>
          </w:divBdr>
          <w:divsChild>
            <w:div w:id="216552354">
              <w:marLeft w:val="0"/>
              <w:marRight w:val="0"/>
              <w:marTop w:val="0"/>
              <w:marBottom w:val="0"/>
              <w:divBdr>
                <w:top w:val="none" w:sz="0" w:space="0" w:color="auto"/>
                <w:left w:val="none" w:sz="0" w:space="0" w:color="auto"/>
                <w:bottom w:val="none" w:sz="0" w:space="0" w:color="auto"/>
                <w:right w:val="none" w:sz="0" w:space="0" w:color="auto"/>
              </w:divBdr>
            </w:div>
          </w:divsChild>
        </w:div>
        <w:div w:id="1250385798">
          <w:marLeft w:val="0"/>
          <w:marRight w:val="0"/>
          <w:marTop w:val="0"/>
          <w:marBottom w:val="0"/>
          <w:divBdr>
            <w:top w:val="none" w:sz="0" w:space="0" w:color="auto"/>
            <w:left w:val="none" w:sz="0" w:space="0" w:color="auto"/>
            <w:bottom w:val="none" w:sz="0" w:space="0" w:color="auto"/>
            <w:right w:val="none" w:sz="0" w:space="0" w:color="auto"/>
          </w:divBdr>
          <w:divsChild>
            <w:div w:id="1326779501">
              <w:marLeft w:val="0"/>
              <w:marRight w:val="0"/>
              <w:marTop w:val="0"/>
              <w:marBottom w:val="0"/>
              <w:divBdr>
                <w:top w:val="none" w:sz="0" w:space="0" w:color="auto"/>
                <w:left w:val="none" w:sz="0" w:space="0" w:color="auto"/>
                <w:bottom w:val="none" w:sz="0" w:space="0" w:color="auto"/>
                <w:right w:val="none" w:sz="0" w:space="0" w:color="auto"/>
              </w:divBdr>
            </w:div>
          </w:divsChild>
        </w:div>
        <w:div w:id="530262885">
          <w:marLeft w:val="0"/>
          <w:marRight w:val="0"/>
          <w:marTop w:val="0"/>
          <w:marBottom w:val="0"/>
          <w:divBdr>
            <w:top w:val="none" w:sz="0" w:space="0" w:color="auto"/>
            <w:left w:val="none" w:sz="0" w:space="0" w:color="auto"/>
            <w:bottom w:val="none" w:sz="0" w:space="0" w:color="auto"/>
            <w:right w:val="none" w:sz="0" w:space="0" w:color="auto"/>
          </w:divBdr>
          <w:divsChild>
            <w:div w:id="966475367">
              <w:marLeft w:val="0"/>
              <w:marRight w:val="0"/>
              <w:marTop w:val="0"/>
              <w:marBottom w:val="0"/>
              <w:divBdr>
                <w:top w:val="none" w:sz="0" w:space="0" w:color="auto"/>
                <w:left w:val="none" w:sz="0" w:space="0" w:color="auto"/>
                <w:bottom w:val="none" w:sz="0" w:space="0" w:color="auto"/>
                <w:right w:val="none" w:sz="0" w:space="0" w:color="auto"/>
              </w:divBdr>
            </w:div>
          </w:divsChild>
        </w:div>
        <w:div w:id="1800487004">
          <w:marLeft w:val="0"/>
          <w:marRight w:val="0"/>
          <w:marTop w:val="0"/>
          <w:marBottom w:val="0"/>
          <w:divBdr>
            <w:top w:val="none" w:sz="0" w:space="0" w:color="auto"/>
            <w:left w:val="none" w:sz="0" w:space="0" w:color="auto"/>
            <w:bottom w:val="none" w:sz="0" w:space="0" w:color="auto"/>
            <w:right w:val="none" w:sz="0" w:space="0" w:color="auto"/>
          </w:divBdr>
          <w:divsChild>
            <w:div w:id="1652174944">
              <w:marLeft w:val="0"/>
              <w:marRight w:val="0"/>
              <w:marTop w:val="0"/>
              <w:marBottom w:val="0"/>
              <w:divBdr>
                <w:top w:val="none" w:sz="0" w:space="0" w:color="auto"/>
                <w:left w:val="none" w:sz="0" w:space="0" w:color="auto"/>
                <w:bottom w:val="none" w:sz="0" w:space="0" w:color="auto"/>
                <w:right w:val="none" w:sz="0" w:space="0" w:color="auto"/>
              </w:divBdr>
            </w:div>
          </w:divsChild>
        </w:div>
        <w:div w:id="369645809">
          <w:marLeft w:val="0"/>
          <w:marRight w:val="0"/>
          <w:marTop w:val="0"/>
          <w:marBottom w:val="0"/>
          <w:divBdr>
            <w:top w:val="none" w:sz="0" w:space="0" w:color="auto"/>
            <w:left w:val="none" w:sz="0" w:space="0" w:color="auto"/>
            <w:bottom w:val="none" w:sz="0" w:space="0" w:color="auto"/>
            <w:right w:val="none" w:sz="0" w:space="0" w:color="auto"/>
          </w:divBdr>
          <w:divsChild>
            <w:div w:id="697699720">
              <w:marLeft w:val="0"/>
              <w:marRight w:val="0"/>
              <w:marTop w:val="0"/>
              <w:marBottom w:val="0"/>
              <w:divBdr>
                <w:top w:val="none" w:sz="0" w:space="0" w:color="auto"/>
                <w:left w:val="none" w:sz="0" w:space="0" w:color="auto"/>
                <w:bottom w:val="none" w:sz="0" w:space="0" w:color="auto"/>
                <w:right w:val="none" w:sz="0" w:space="0" w:color="auto"/>
              </w:divBdr>
            </w:div>
          </w:divsChild>
        </w:div>
        <w:div w:id="125777293">
          <w:marLeft w:val="0"/>
          <w:marRight w:val="0"/>
          <w:marTop w:val="0"/>
          <w:marBottom w:val="0"/>
          <w:divBdr>
            <w:top w:val="none" w:sz="0" w:space="0" w:color="auto"/>
            <w:left w:val="none" w:sz="0" w:space="0" w:color="auto"/>
            <w:bottom w:val="none" w:sz="0" w:space="0" w:color="auto"/>
            <w:right w:val="none" w:sz="0" w:space="0" w:color="auto"/>
          </w:divBdr>
          <w:divsChild>
            <w:div w:id="9189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BC28DCEC64209A2BC12DEAB8A6A20"/>
        <w:category>
          <w:name w:val="General"/>
          <w:gallery w:val="placeholder"/>
        </w:category>
        <w:types>
          <w:type w:val="bbPlcHdr"/>
        </w:types>
        <w:behaviors>
          <w:behavior w:val="content"/>
        </w:behaviors>
        <w:guid w:val="{66CDC66B-5B0A-4DBC-947B-4D8502AA5DD8}"/>
      </w:docPartPr>
      <w:docPartBody>
        <w:p w:rsidR="007406ED" w:rsidRDefault="007406ED" w:rsidP="007406ED">
          <w:pPr>
            <w:pStyle w:val="AE7BC28DCEC64209A2BC12DEAB8A6A20"/>
          </w:pPr>
          <w:r w:rsidRPr="001433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ED"/>
    <w:rsid w:val="0074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6ED"/>
    <w:rPr>
      <w:color w:val="808080"/>
    </w:rPr>
  </w:style>
  <w:style w:type="paragraph" w:customStyle="1" w:styleId="22A7F1E6B4E0429CA43B2186BEC42EF4">
    <w:name w:val="22A7F1E6B4E0429CA43B2186BEC42EF4"/>
    <w:rsid w:val="007406ED"/>
  </w:style>
  <w:style w:type="paragraph" w:customStyle="1" w:styleId="AE7BC28DCEC64209A2BC12DEAB8A6A20">
    <w:name w:val="AE7BC28DCEC64209A2BC12DEAB8A6A20"/>
    <w:rsid w:val="00740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May</dc:creator>
  <cp:keywords/>
  <dc:description/>
  <cp:lastModifiedBy>Hannah May</cp:lastModifiedBy>
  <cp:revision>9</cp:revision>
  <dcterms:created xsi:type="dcterms:W3CDTF">2024-03-14T07:18:00Z</dcterms:created>
  <dcterms:modified xsi:type="dcterms:W3CDTF">2024-04-17T18:37:00Z</dcterms:modified>
</cp:coreProperties>
</file>