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LineNumbers/>
        <w:spacing w:after="120" w:line="360" w:lineRule="auto"/>
        <w:jc w:val="center"/>
        <w:rPr>
          <w:rFonts w:ascii="Times New Roman" w:hAnsi="Times New Roman" w:eastAsia="Times New Roman"/>
          <w:b/>
          <w:bCs/>
          <w:sz w:val="36"/>
          <w:szCs w:val="36"/>
          <w:lang w:val="en-US" w:eastAsia="de-CH"/>
        </w:rPr>
      </w:pPr>
      <w:bookmarkStart w:id="0" w:name="OLE_LINK1"/>
      <w:r>
        <w:rPr>
          <w:rFonts w:hint="eastAsia" w:ascii="Times New Roman" w:hAnsi="Times New Roman" w:eastAsia="Times New Roman"/>
          <w:b/>
          <w:bCs/>
          <w:sz w:val="36"/>
          <w:szCs w:val="36"/>
          <w:lang w:val="en-US" w:eastAsia="de-CH"/>
        </w:rPr>
        <w:t>Supportin</w:t>
      </w:r>
      <w:r>
        <w:rPr>
          <w:rFonts w:hint="eastAsia" w:ascii="Times New Roman" w:hAnsi="Times New Roman" w:eastAsia="宋体"/>
          <w:b/>
          <w:bCs/>
          <w:sz w:val="36"/>
          <w:szCs w:val="36"/>
          <w:lang w:val="en-US" w:eastAsia="zh-CN"/>
        </w:rPr>
        <w:t>g</w:t>
      </w:r>
      <w:bookmarkEnd w:id="0"/>
      <w:r>
        <w:rPr>
          <w:rFonts w:ascii="Times New Roman" w:hAnsi="Times New Roman" w:eastAsia="Times New Roman"/>
          <w:b/>
          <w:bCs/>
          <w:sz w:val="36"/>
          <w:szCs w:val="36"/>
          <w:lang w:val="en-US" w:eastAsia="de-CH"/>
        </w:rPr>
        <w:t xml:space="preserve"> Figures</w:t>
      </w:r>
    </w:p>
    <w:p>
      <w:pPr>
        <w:spacing w:line="360" w:lineRule="auto"/>
        <w:jc w:val="both"/>
        <w:rPr>
          <w:rFonts w:ascii="Times New Roman" w:hAnsi="Times New Roman"/>
          <w:b/>
          <w:bCs/>
        </w:rPr>
      </w:pPr>
      <w:r>
        <w:rPr>
          <w:rFonts w:ascii="Times New Roman" w:hAnsi="Times New Roman"/>
          <w:b/>
          <w:bCs/>
        </w:rPr>
        <w:drawing>
          <wp:inline distT="0" distB="0" distL="0" distR="0">
            <wp:extent cx="5274310" cy="6702425"/>
            <wp:effectExtent l="0" t="0" r="2540" b="3175"/>
            <wp:docPr id="1" name="图片 1" descr="D:/我的资料/我的投稿/Pan Cancer/PLOS ONE/修稿版/图片/Figure S1.jpg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我的资料/我的投稿/Pan Cancer/PLOS ONE/修稿版/图片/Figure S1.jpgFigure S1"/>
                    <pic:cNvPicPr>
                      <a:picLocks noChangeAspect="1"/>
                    </pic:cNvPicPr>
                  </pic:nvPicPr>
                  <pic:blipFill>
                    <a:blip r:embed="rId6"/>
                    <a:srcRect l="834" r="834"/>
                    <a:stretch>
                      <a:fillRect/>
                    </a:stretch>
                  </pic:blipFill>
                  <pic:spPr>
                    <a:xfrm>
                      <a:off x="0" y="0"/>
                      <a:ext cx="5274310" cy="6702425"/>
                    </a:xfrm>
                    <a:prstGeom prst="rect">
                      <a:avLst/>
                    </a:prstGeom>
                    <a:ln>
                      <a:noFill/>
                    </a:ln>
                  </pic:spPr>
                </pic:pic>
              </a:graphicData>
            </a:graphic>
          </wp:inline>
        </w:drawing>
      </w:r>
    </w:p>
    <w:p>
      <w:pPr>
        <w:spacing w:line="360" w:lineRule="auto"/>
        <w:jc w:val="both"/>
        <w:rPr>
          <w:rFonts w:ascii="Times New Roman" w:hAnsi="Times New Roman"/>
        </w:rPr>
      </w:pPr>
      <w:r>
        <w:rPr>
          <w:rFonts w:ascii="Times New Roman" w:hAnsi="Times New Roman"/>
          <w:b/>
          <w:bCs/>
        </w:rPr>
        <w:t>S1</w:t>
      </w:r>
      <w:r>
        <w:rPr>
          <w:rFonts w:hint="eastAsia" w:ascii="Times New Roman" w:hAnsi="Times New Roman" w:eastAsia="宋体"/>
          <w:b/>
          <w:bCs/>
          <w:lang w:val="en-US" w:eastAsia="zh-CN"/>
        </w:rPr>
        <w:t xml:space="preserve"> </w:t>
      </w:r>
      <w:r>
        <w:rPr>
          <w:rFonts w:ascii="Times New Roman" w:hAnsi="Times New Roman"/>
          <w:b/>
          <w:bCs/>
        </w:rPr>
        <w:t xml:space="preserve">Fig. The expression level of RRM2 and its clinical correlation in pan-cancer. </w:t>
      </w:r>
      <w:r>
        <w:rPr>
          <w:rFonts w:ascii="Times New Roman" w:hAnsi="Times New Roman"/>
        </w:rPr>
        <w:t>(A-L) The clinical correlation between RRM2 expression level and age in KIRP, LAML, LGG, LIHC, LUAD, LUSC, PAAD, PCPG, READ, STAD, TGCT and THYM, respectively. (M-O) The clinical correlation between RRM2 expression level and race in KIRP, LIHC and THYM, respectively. (P-X) The clinical correlation between RRM2 expression level and tumor stage of tumor patient in KIRC, KIRP, LIHC, LUAD, LUSC, PAAD, SKCM, TGCT, and YHCA, respectively. (Y-AG) The clinical correlation between RRM2 expression level and tumor status of tumor patient in KIRC, KIRP, LGG, LUAD, OV, PAAD, PCPG, PRAD and UVM, respectively. The number above the horizontal line represents the p-value between the two groups.</w:t>
      </w:r>
    </w:p>
    <w:p>
      <w:pPr>
        <w:spacing w:line="360" w:lineRule="auto"/>
        <w:jc w:val="both"/>
        <w:rPr>
          <w:rFonts w:ascii="Times New Roman" w:hAnsi="Times New Roman"/>
        </w:rPr>
      </w:pPr>
      <w:r>
        <w:rPr>
          <w:rFonts w:ascii="Times New Roman" w:hAnsi="Times New Roman"/>
        </w:rPr>
        <w:drawing>
          <wp:inline distT="0" distB="0" distL="0" distR="0">
            <wp:extent cx="5274310" cy="5685155"/>
            <wp:effectExtent l="0" t="0" r="2540" b="10795"/>
            <wp:docPr id="2" name="图片 2" descr="D:/我的资料/我的投稿/Pan Cancer/PLOS ONE/修稿版/图片/Figure S2.jpg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资料/我的投稿/Pan Cancer/PLOS ONE/修稿版/图片/Figure S2.jpgFigure S2"/>
                    <pic:cNvPicPr>
                      <a:picLocks noChangeAspect="1"/>
                    </pic:cNvPicPr>
                  </pic:nvPicPr>
                  <pic:blipFill>
                    <a:blip r:embed="rId7"/>
                    <a:srcRect l="302" r="302"/>
                    <a:stretch>
                      <a:fillRect/>
                    </a:stretch>
                  </pic:blipFill>
                  <pic:spPr>
                    <a:xfrm>
                      <a:off x="0" y="0"/>
                      <a:ext cx="5274310" cy="5685155"/>
                    </a:xfrm>
                    <a:prstGeom prst="rect">
                      <a:avLst/>
                    </a:prstGeom>
                    <a:ln>
                      <a:noFill/>
                    </a:ln>
                  </pic:spPr>
                </pic:pic>
              </a:graphicData>
            </a:graphic>
          </wp:inline>
        </w:drawing>
      </w:r>
    </w:p>
    <w:p>
      <w:pPr>
        <w:spacing w:line="360" w:lineRule="auto"/>
        <w:jc w:val="both"/>
        <w:rPr>
          <w:rFonts w:ascii="Times New Roman" w:hAnsi="Times New Roman"/>
          <w:b/>
          <w:bCs/>
          <w:szCs w:val="24"/>
        </w:rPr>
      </w:pPr>
      <w:r>
        <w:rPr>
          <w:rFonts w:ascii="Times New Roman" w:hAnsi="Times New Roman"/>
          <w:b/>
          <w:bCs/>
        </w:rPr>
        <w:t>S2</w:t>
      </w:r>
      <w:r>
        <w:rPr>
          <w:rFonts w:hint="eastAsia" w:ascii="Times New Roman" w:hAnsi="Times New Roman" w:eastAsia="宋体"/>
          <w:b/>
          <w:bCs/>
          <w:lang w:val="en-US" w:eastAsia="zh-CN"/>
        </w:rPr>
        <w:t xml:space="preserve"> </w:t>
      </w:r>
      <w:r>
        <w:rPr>
          <w:rFonts w:ascii="Times New Roman" w:hAnsi="Times New Roman"/>
          <w:b/>
          <w:bCs/>
        </w:rPr>
        <w:t>Fig. Prognostic value of RRM2 in pan-cancer.</w:t>
      </w:r>
      <w:r>
        <w:rPr>
          <w:rFonts w:ascii="Times New Roman" w:hAnsi="Times New Roman"/>
          <w:b/>
          <w:bCs/>
          <w:szCs w:val="24"/>
        </w:rPr>
        <w:t xml:space="preserve"> </w:t>
      </w:r>
      <w:r>
        <w:rPr>
          <w:rFonts w:ascii="Times New Roman" w:hAnsi="Times New Roman"/>
        </w:rPr>
        <w:t>(A-AB) Correlation between expression level of RRM2 and OS, DSS, DFI and PFI in pan-cancer, using the Kaplan-Meier method. OS, Overall survival (years); DSS, Disease-specific survival (years); DFI, Disease-free interval (years); PFI, Progression-free interval (years).</w:t>
      </w:r>
    </w:p>
    <w:p>
      <w:pPr>
        <w:spacing w:line="360" w:lineRule="auto"/>
        <w:jc w:val="both"/>
        <w:rPr>
          <w:rFonts w:ascii="Times New Roman" w:hAnsi="Times New Roman"/>
        </w:rPr>
      </w:pPr>
      <w:r>
        <w:rPr>
          <w:rFonts w:ascii="Times New Roman" w:hAnsi="Times New Roman"/>
        </w:rPr>
        <w:drawing>
          <wp:inline distT="0" distB="0" distL="0" distR="0">
            <wp:extent cx="5274310" cy="7459345"/>
            <wp:effectExtent l="0" t="0" r="2540" b="8255"/>
            <wp:docPr id="3" name="图片 3" descr="D:/我的资料/我的投稿/Pan Cancer/PLOS ONE/修稿版/图片/Figure S3.jpg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我的资料/我的投稿/Pan Cancer/PLOS ONE/修稿版/图片/Figure S3.jpgFigure S3"/>
                    <pic:cNvPicPr>
                      <a:picLocks noChangeAspect="1"/>
                    </pic:cNvPicPr>
                  </pic:nvPicPr>
                  <pic:blipFill>
                    <a:blip r:embed="rId8"/>
                    <a:srcRect t="12" b="12"/>
                    <a:stretch>
                      <a:fillRect/>
                    </a:stretch>
                  </pic:blipFill>
                  <pic:spPr>
                    <a:xfrm>
                      <a:off x="0" y="0"/>
                      <a:ext cx="5274310" cy="7459345"/>
                    </a:xfrm>
                    <a:prstGeom prst="rect">
                      <a:avLst/>
                    </a:prstGeom>
                  </pic:spPr>
                </pic:pic>
              </a:graphicData>
            </a:graphic>
          </wp:inline>
        </w:drawing>
      </w:r>
    </w:p>
    <w:p>
      <w:pPr>
        <w:spacing w:line="360" w:lineRule="auto"/>
        <w:jc w:val="both"/>
        <w:rPr>
          <w:rFonts w:ascii="Times New Roman" w:hAnsi="Times New Roman"/>
          <w:color w:val="000000" w:themeColor="text1"/>
          <w14:textFill>
            <w14:solidFill>
              <w14:schemeClr w14:val="tx1"/>
            </w14:solidFill>
          </w14:textFill>
        </w:rPr>
      </w:pPr>
      <w:r>
        <w:rPr>
          <w:rFonts w:ascii="Times New Roman" w:hAnsi="Times New Roman"/>
          <w:b/>
          <w:bCs/>
        </w:rPr>
        <w:t>S3</w:t>
      </w:r>
      <w:r>
        <w:rPr>
          <w:rFonts w:hint="eastAsia" w:ascii="Times New Roman" w:hAnsi="Times New Roman" w:eastAsia="宋体"/>
          <w:b/>
          <w:bCs/>
          <w:lang w:val="en-US" w:eastAsia="zh-CN"/>
        </w:rPr>
        <w:t xml:space="preserve"> </w:t>
      </w:r>
      <w:r>
        <w:rPr>
          <w:rFonts w:ascii="Times New Roman" w:hAnsi="Times New Roman"/>
          <w:b/>
          <w:bCs/>
        </w:rPr>
        <w:t xml:space="preserve">Fig. Correlation analysis between RRM2 expression and immune infiltration of cancer-associated cells. </w:t>
      </w:r>
      <w:r>
        <w:rPr>
          <w:rFonts w:ascii="Times New Roman" w:hAnsi="Times New Roman"/>
        </w:rPr>
        <w:t>(A-CI) T</w:t>
      </w:r>
      <w:r>
        <w:rPr>
          <w:rFonts w:ascii="Times New Roman" w:hAnsi="Times New Roman"/>
          <w:color w:val="000000" w:themeColor="text1"/>
          <w14:textFill>
            <w14:solidFill>
              <w14:schemeClr w14:val="tx1"/>
            </w14:solidFill>
          </w14:textFill>
        </w:rPr>
        <w:t xml:space="preserve">he </w:t>
      </w:r>
      <w:r>
        <w:rPr>
          <w:rFonts w:ascii="Times New Roman" w:hAnsi="Times New Roman"/>
        </w:rPr>
        <w:t>correlation</w:t>
      </w:r>
      <w:r>
        <w:rPr>
          <w:rFonts w:ascii="Times New Roman" w:hAnsi="Times New Roman"/>
          <w:color w:val="000000" w:themeColor="text1"/>
          <w14:textFill>
            <w14:solidFill>
              <w14:schemeClr w14:val="tx1"/>
            </w14:solidFill>
          </w14:textFill>
        </w:rPr>
        <w:t xml:space="preserve"> between RRM2 gene expression and the infiltration level of diverse immune cells in pan-cancer.</w:t>
      </w:r>
    </w:p>
    <w:p>
      <w:pPr>
        <w:spacing w:line="360"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274310" cy="4738370"/>
            <wp:effectExtent l="0" t="0" r="2540" b="5080"/>
            <wp:docPr id="4" name="图片 4" descr="D:/我的资料/我的投稿/Pan Cancer/PLOS ONE/修稿版/图片/Figure S4.jpg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我的资料/我的投稿/Pan Cancer/PLOS ONE/修稿版/图片/Figure S4.jpgFigure S4"/>
                    <pic:cNvPicPr>
                      <a:picLocks noChangeAspect="1"/>
                    </pic:cNvPicPr>
                  </pic:nvPicPr>
                  <pic:blipFill>
                    <a:blip r:embed="rId9"/>
                    <a:srcRect l="1970" r="1970"/>
                    <a:stretch>
                      <a:fillRect/>
                    </a:stretch>
                  </pic:blipFill>
                  <pic:spPr>
                    <a:xfrm>
                      <a:off x="0" y="0"/>
                      <a:ext cx="5274310" cy="4738370"/>
                    </a:xfrm>
                    <a:prstGeom prst="rect">
                      <a:avLst/>
                    </a:prstGeom>
                    <a:ln>
                      <a:noFill/>
                    </a:ln>
                  </pic:spPr>
                </pic:pic>
              </a:graphicData>
            </a:graphic>
          </wp:inline>
        </w:drawing>
      </w:r>
      <w:bookmarkStart w:id="1" w:name="_GoBack"/>
      <w:bookmarkEnd w:id="1"/>
    </w:p>
    <w:p>
      <w:pPr>
        <w:spacing w:line="360" w:lineRule="auto"/>
        <w:jc w:val="both"/>
        <w:rPr>
          <w:rFonts w:ascii="Times New Roman" w:hAnsi="Times New Roman"/>
          <w:b/>
          <w:bCs/>
        </w:rPr>
      </w:pPr>
      <w:r>
        <w:rPr>
          <w:rFonts w:ascii="Times New Roman" w:hAnsi="Times New Roman"/>
          <w:b/>
          <w:bCs/>
        </w:rPr>
        <w:t>S4</w:t>
      </w:r>
      <w:r>
        <w:rPr>
          <w:rFonts w:hint="eastAsia" w:ascii="Times New Roman" w:hAnsi="Times New Roman" w:eastAsia="宋体"/>
          <w:b/>
          <w:bCs/>
          <w:lang w:val="en-US" w:eastAsia="zh-CN"/>
        </w:rPr>
        <w:t xml:space="preserve"> </w:t>
      </w:r>
      <w:r>
        <w:rPr>
          <w:rFonts w:ascii="Times New Roman" w:hAnsi="Times New Roman"/>
          <w:b/>
          <w:bCs/>
        </w:rPr>
        <w:t>Fig. Gene set enrichment analysis (GSEA) of RRM2 in pan-cancer.</w:t>
      </w:r>
    </w:p>
    <w:p>
      <w:pPr>
        <w:numPr>
          <w:ilvl w:val="0"/>
          <w:numId w:val="1"/>
        </w:numPr>
        <w:spacing w:line="360" w:lineRule="auto"/>
        <w:jc w:val="both"/>
        <w:rPr>
          <w:rFonts w:ascii="Times New Roman" w:hAnsi="Times New Roman"/>
        </w:rPr>
      </w:pPr>
      <w:r>
        <w:rPr>
          <w:rFonts w:ascii="Times New Roman" w:hAnsi="Times New Roman"/>
        </w:rPr>
        <w:t>N) Gene set enrichment analysis (GSEA) of RRM2 in pan-cancer.</w:t>
      </w:r>
    </w:p>
    <w:p>
      <w:pPr>
        <w:spacing w:line="360" w:lineRule="auto"/>
        <w:jc w:val="both"/>
        <w:rPr>
          <w:rFonts w:ascii="Times New Roman" w:hAnsi="Times New Roman"/>
        </w:rPr>
      </w:pPr>
    </w:p>
    <w:p>
      <w:pPr>
        <w:spacing w:line="360" w:lineRule="auto"/>
        <w:jc w:val="both"/>
        <w:rPr>
          <w:rFonts w:ascii="Times New Roman" w:hAnsi="Times New Roman"/>
        </w:rPr>
      </w:pPr>
    </w:p>
    <w:p>
      <w:pPr>
        <w:spacing w:line="360" w:lineRule="auto"/>
        <w:jc w:val="both"/>
        <w:rPr>
          <w:rFonts w:ascii="Times New Roman" w:hAnsi="Times New Roman"/>
        </w:rPr>
      </w:pPr>
    </w:p>
    <w:p>
      <w:pPr>
        <w:spacing w:line="360" w:lineRule="auto"/>
        <w:jc w:val="both"/>
        <w:rPr>
          <w:rFonts w:ascii="Times New Roman" w:hAnsi="Times New Roman"/>
        </w:rPr>
      </w:pPr>
    </w:p>
    <w:p>
      <w:pPr>
        <w:spacing w:line="360" w:lineRule="auto"/>
        <w:jc w:val="both"/>
        <w:rPr>
          <w:rFonts w:ascii="Times New Roman" w:hAnsi="Times New Roman"/>
        </w:rPr>
      </w:pPr>
    </w:p>
    <w:p>
      <w:pPr>
        <w:spacing w:line="360" w:lineRule="auto"/>
        <w:jc w:val="both"/>
        <w:rPr>
          <w:rFonts w:ascii="Times New Roman" w:hAnsi="Times New Roman"/>
        </w:rPr>
      </w:pPr>
    </w:p>
    <w:p>
      <w:pPr>
        <w:spacing w:line="360" w:lineRule="auto"/>
        <w:jc w:val="both"/>
        <w:rPr>
          <w:rFonts w:ascii="Times New Roman" w:hAnsi="Times New Roman"/>
        </w:rPr>
      </w:pPr>
    </w:p>
    <w:p>
      <w:pPr>
        <w:suppressLineNumbers/>
        <w:spacing w:after="120" w:line="360" w:lineRule="auto"/>
        <w:jc w:val="center"/>
        <w:rPr>
          <w:rFonts w:ascii="Times New Roman" w:hAnsi="Times New Roman" w:eastAsia="Times New Roman"/>
          <w:b/>
          <w:bCs/>
          <w:sz w:val="26"/>
          <w:szCs w:val="26"/>
          <w:lang w:val="en-US" w:eastAsia="de-CH"/>
        </w:rPr>
      </w:pPr>
      <w:r>
        <w:rPr>
          <w:rFonts w:hint="eastAsia" w:ascii="Times New Roman" w:hAnsi="Times New Roman" w:eastAsia="Times New Roman"/>
          <w:b/>
          <w:bCs/>
          <w:sz w:val="36"/>
          <w:szCs w:val="36"/>
          <w:lang w:val="en-US" w:eastAsia="de-CH"/>
        </w:rPr>
        <w:t>Supportin</w:t>
      </w:r>
      <w:r>
        <w:rPr>
          <w:rFonts w:hint="eastAsia" w:ascii="Times New Roman" w:hAnsi="Times New Roman" w:eastAsia="宋体"/>
          <w:b/>
          <w:bCs/>
          <w:sz w:val="36"/>
          <w:szCs w:val="36"/>
          <w:lang w:val="en-US" w:eastAsia="zh-CN"/>
        </w:rPr>
        <w:t>g</w:t>
      </w:r>
      <w:r>
        <w:rPr>
          <w:rFonts w:ascii="Times New Roman" w:hAnsi="Times New Roman" w:eastAsia="Times New Roman"/>
          <w:b/>
          <w:bCs/>
          <w:sz w:val="26"/>
          <w:szCs w:val="26"/>
          <w:lang w:val="en-US" w:eastAsia="de-CH"/>
        </w:rPr>
        <w:t xml:space="preserve"> </w:t>
      </w:r>
      <w:r>
        <w:rPr>
          <w:rFonts w:ascii="Times New Roman" w:hAnsi="Times New Roman" w:eastAsia="Times New Roman"/>
          <w:b/>
          <w:bCs/>
          <w:sz w:val="36"/>
          <w:szCs w:val="36"/>
          <w:lang w:val="en-US" w:eastAsia="de-CH"/>
        </w:rPr>
        <w:t>Tables</w:t>
      </w:r>
    </w:p>
    <w:p>
      <w:pPr>
        <w:rPr>
          <w:rFonts w:ascii="Times New Roman" w:hAnsi="Times New Roman"/>
          <w:b/>
          <w:bCs/>
          <w:szCs w:val="24"/>
        </w:rPr>
      </w:pPr>
    </w:p>
    <w:tbl>
      <w:tblPr>
        <w:tblStyle w:val="4"/>
        <w:tblW w:w="8382" w:type="pct"/>
        <w:tblInd w:w="-1701"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37"/>
        <w:gridCol w:w="4646"/>
        <w:gridCol w:w="4103"/>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Borders>
              <w:bottom w:val="single" w:color="7E7E7E" w:themeColor="text1" w:themeTint="80" w:sz="4" w:space="0"/>
              <w:insideH w:val="single" w:sz="4" w:space="0"/>
            </w:tcBorders>
          </w:tcPr>
          <w:p>
            <w:pPr>
              <w:rPr>
                <w:rFonts w:ascii="Times New Roman" w:hAnsi="Times New Roman"/>
                <w:b/>
                <w:bCs/>
                <w:sz w:val="18"/>
                <w:szCs w:val="18"/>
              </w:rPr>
            </w:pPr>
            <w:r>
              <w:rPr>
                <w:rFonts w:ascii="Times New Roman" w:hAnsi="Times New Roman"/>
                <w:b w:val="0"/>
                <w:bCs w:val="0"/>
                <w:sz w:val="18"/>
                <w:szCs w:val="18"/>
              </w:rPr>
              <w:t>KEGG ID</w:t>
            </w:r>
          </w:p>
        </w:tc>
        <w:tc>
          <w:tcPr>
            <w:tcW w:w="1626" w:type="pct"/>
            <w:tcBorders>
              <w:bottom w:val="single" w:color="7E7E7E" w:themeColor="text1" w:themeTint="80" w:sz="4" w:space="0"/>
              <w:insideH w:val="single" w:sz="4" w:space="0"/>
            </w:tcBorders>
          </w:tcPr>
          <w:p>
            <w:pPr>
              <w:rPr>
                <w:rFonts w:ascii="Times New Roman" w:hAnsi="Times New Roman"/>
                <w:b/>
                <w:bCs/>
                <w:sz w:val="18"/>
                <w:szCs w:val="18"/>
              </w:rPr>
            </w:pPr>
            <w:r>
              <w:rPr>
                <w:rFonts w:ascii="Times New Roman" w:hAnsi="Times New Roman"/>
                <w:b w:val="0"/>
                <w:bCs w:val="0"/>
                <w:sz w:val="18"/>
                <w:szCs w:val="18"/>
              </w:rPr>
              <w:t>Cancer Types</w:t>
            </w:r>
          </w:p>
        </w:tc>
        <w:tc>
          <w:tcPr>
            <w:tcW w:w="1437" w:type="pct"/>
            <w:tcBorders>
              <w:bottom w:val="single" w:color="7E7E7E" w:themeColor="text1" w:themeTint="80" w:sz="4" w:space="0"/>
              <w:insideH w:val="single" w:sz="4" w:space="0"/>
            </w:tcBorders>
          </w:tcPr>
          <w:p>
            <w:pPr>
              <w:rPr>
                <w:rFonts w:ascii="Times New Roman" w:hAnsi="Times New Roman"/>
                <w:b w:val="0"/>
                <w:bCs w:val="0"/>
                <w:sz w:val="18"/>
                <w:szCs w:val="18"/>
              </w:rPr>
            </w:pPr>
            <w:r>
              <w:rPr>
                <w:rFonts w:ascii="Times New Roman" w:hAnsi="Times New Roman"/>
                <w:b w:val="0"/>
                <w:bCs w:val="0"/>
                <w:sz w:val="18"/>
                <w:szCs w:val="18"/>
              </w:rPr>
              <w:t xml:space="preserve">Number of </w:t>
            </w:r>
          </w:p>
          <w:p>
            <w:pPr>
              <w:rPr>
                <w:rFonts w:ascii="Times New Roman" w:hAnsi="Times New Roman"/>
                <w:b/>
                <w:bCs/>
                <w:sz w:val="18"/>
                <w:szCs w:val="18"/>
              </w:rPr>
            </w:pPr>
            <w:r>
              <w:rPr>
                <w:rFonts w:ascii="Times New Roman" w:hAnsi="Times New Roman"/>
                <w:b w:val="0"/>
                <w:bCs w:val="0"/>
                <w:sz w:val="18"/>
                <w:szCs w:val="18"/>
              </w:rPr>
              <w:t>Cancer Types</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KEGG_CELL_CYCLE</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BRCA, ESCA, HNSC, OV, STAD, THCA,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KEGG_OLFACTORY_TRANSDUCTION</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BRCA, ESCA, LUSC, OV, PRAD,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KEGG_CYTOSOLIC_DNA_SENSING_PATHWAY</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ESCA, GBM, LUSC, OV, SARC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KEGG_DNA_REPLICATION</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BRCA, ESCA, STAD, THYM,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KEGG_ANTIGEN_PROCESSING_AND_PRESENTATION</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BRCA, ESCA, GBM, LUSC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KEGG_NATURAL_KILLER_CELL_MEDIATED_CYTOTOXICITY</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BRCA, ESCA, OV,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KEGG_SPLICEOSOME</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ESCA, OV, STAD,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KEGG_ASCORBATE_AND_ALDARATE_METABOLISM</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BRCA, PRAD, SARC,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KEGG_CELL_ADHESION_MOLECULES_CAMS</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ESCA, READ, STAD,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KEGG_NEUROACTIVE_LIGAND_RECEPTOR_INTERACTION</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ESCA, HNSC, STAD,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KEGG_PENTOSE_AND_GLUCURONATE_INTERCONVERSIONS</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BRCA, PRAD, SARC,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KEGG_REGULATION_OF_AUTOPHAGY</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ESCA, GBM, LUSC, OV</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KEGG_RIG_I_LIKE_RECEPTOR_SIGNALING_PATHWAY</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ESCA, GBM, LUSC, THYM</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KEGG_BASE_EXCISION_REPAIR</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PRAD, STAD, THYM</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1938" w:type="pct"/>
          </w:tcPr>
          <w:p>
            <w:pPr>
              <w:rPr>
                <w:rFonts w:ascii="Times New Roman" w:hAnsi="Times New Roman"/>
                <w:b/>
                <w:bCs/>
                <w:sz w:val="18"/>
                <w:szCs w:val="18"/>
              </w:rPr>
            </w:pPr>
            <w:r>
              <w:rPr>
                <w:rFonts w:ascii="Times New Roman" w:hAnsi="Times New Roman"/>
                <w:b w:val="0"/>
                <w:bCs w:val="0"/>
                <w:sz w:val="18"/>
                <w:szCs w:val="18"/>
              </w:rPr>
              <w:t>KEGG_CALCIUM_SIGNALING_PATHWAY</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ESCA, STAD,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KEGG_DRUG_METABOLISM_CYTOCHROME_P450</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READ, STAD</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KEGG_GRAFT_VERSUS_HOST_DISEASE</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BRCA,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KEGG_HOMOLOGOUS_RECOMBINATION</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PRAD, STAD, THYM</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KEGG_HYPERTROPHIC_CARDIOMYOPATHY_HCM</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HNSC, STAD,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KEGG_LEISHMANIA_INFECTION</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BLCA, ESCA,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KEGG_PORPHYRIN_AND_CHLOROPHYLL_METABOLISM</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BRCA, SARC, UCEC</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KEGG_RETINOL_METABOLISM</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READ, STAD, THYM</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KEGG_SYSTEMIC_LUPUS_ERYTHEMATOSUS</w:t>
            </w:r>
          </w:p>
        </w:tc>
        <w:tc>
          <w:tcPr>
            <w:tcW w:w="1626"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BRCA, OV, THCA</w:t>
            </w:r>
          </w:p>
        </w:tc>
        <w:tc>
          <w:tcPr>
            <w:tcW w:w="1437" w:type="pct"/>
            <w:tcBorders>
              <w:top w:val="nil"/>
              <w:left w:val="nil"/>
              <w:bottom w:val="nil"/>
              <w:right w:val="nil"/>
            </w:tcBorders>
            <w:shd w:val="clear" w:color="auto" w:fill="auto"/>
            <w:vAlign w:val="center"/>
          </w:tcPr>
          <w:p>
            <w:pPr>
              <w:rPr>
                <w:rFonts w:ascii="Times New Roman" w:hAnsi="Times New Roman"/>
                <w:sz w:val="18"/>
                <w:szCs w:val="18"/>
              </w:rPr>
            </w:pPr>
            <w:r>
              <w:rPr>
                <w:rFonts w:ascii="Times New Roman" w:hAnsi="Times New Roman" w:eastAsia="等线"/>
                <w:color w:val="000000"/>
                <w:sz w:val="18"/>
                <w:szCs w:val="18"/>
              </w:rPr>
              <w:t>3</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8" w:type="pct"/>
          </w:tcPr>
          <w:p>
            <w:pPr>
              <w:rPr>
                <w:rFonts w:ascii="Times New Roman" w:hAnsi="Times New Roman"/>
                <w:b/>
                <w:bCs/>
                <w:sz w:val="18"/>
                <w:szCs w:val="18"/>
              </w:rPr>
            </w:pPr>
            <w:r>
              <w:rPr>
                <w:rFonts w:ascii="Times New Roman" w:hAnsi="Times New Roman"/>
                <w:b w:val="0"/>
                <w:bCs w:val="0"/>
                <w:sz w:val="18"/>
                <w:szCs w:val="18"/>
              </w:rPr>
              <w:t>KEGG_TOLL_LIKE_RECEPTOR_SIGNALING_PATHWAY</w:t>
            </w:r>
          </w:p>
        </w:tc>
        <w:tc>
          <w:tcPr>
            <w:tcW w:w="1626" w:type="pct"/>
          </w:tcPr>
          <w:p>
            <w:pPr>
              <w:rPr>
                <w:rFonts w:ascii="Times New Roman" w:hAnsi="Times New Roman" w:eastAsia="等线"/>
                <w:color w:val="000000"/>
                <w:sz w:val="18"/>
                <w:szCs w:val="18"/>
              </w:rPr>
            </w:pPr>
            <w:r>
              <w:rPr>
                <w:rFonts w:ascii="Times New Roman" w:hAnsi="Times New Roman" w:eastAsia="等线"/>
                <w:color w:val="000000"/>
                <w:sz w:val="18"/>
                <w:szCs w:val="18"/>
              </w:rPr>
              <w:t>BLCA, GBM, LUSC</w:t>
            </w:r>
          </w:p>
        </w:tc>
        <w:tc>
          <w:tcPr>
            <w:tcW w:w="1437" w:type="pct"/>
          </w:tcPr>
          <w:p>
            <w:pPr>
              <w:rPr>
                <w:rFonts w:ascii="Times New Roman" w:hAnsi="Times New Roman"/>
                <w:sz w:val="18"/>
                <w:szCs w:val="18"/>
              </w:rPr>
            </w:pPr>
            <w:r>
              <w:rPr>
                <w:rFonts w:ascii="Times New Roman" w:hAnsi="Times New Roman" w:eastAsia="等线"/>
                <w:color w:val="000000"/>
                <w:sz w:val="18"/>
                <w:szCs w:val="18"/>
              </w:rPr>
              <w:t>3</w:t>
            </w:r>
          </w:p>
        </w:tc>
      </w:tr>
    </w:tbl>
    <w:p>
      <w:pPr>
        <w:jc w:val="both"/>
        <w:rPr>
          <w:rFonts w:ascii="Times New Roman" w:hAnsi="Times New Roman"/>
          <w:b/>
          <w:bCs/>
        </w:rPr>
      </w:pPr>
      <w:r>
        <w:rPr>
          <w:rFonts w:ascii="Times New Roman" w:hAnsi="Times New Roman"/>
          <w:b/>
          <w:bCs/>
          <w:szCs w:val="24"/>
        </w:rPr>
        <w:t xml:space="preserve">    </w:t>
      </w:r>
      <w:r>
        <w:rPr>
          <w:rFonts w:hint="eastAsia" w:ascii="Times New Roman" w:hAnsi="Times New Roman" w:eastAsia="宋体"/>
          <w:b/>
          <w:bCs/>
          <w:szCs w:val="24"/>
          <w:lang w:val="en-US" w:eastAsia="zh-CN"/>
        </w:rPr>
        <w:t>S1</w:t>
      </w:r>
      <w:r>
        <w:rPr>
          <w:rFonts w:ascii="Times New Roman" w:hAnsi="Times New Roman"/>
          <w:b/>
          <w:bCs/>
          <w:szCs w:val="24"/>
        </w:rPr>
        <w:t xml:space="preserve"> Table</w:t>
      </w:r>
      <w:r>
        <w:rPr>
          <w:rFonts w:hint="eastAsia" w:ascii="Times New Roman" w:hAnsi="Times New Roman" w:eastAsia="宋体"/>
          <w:b/>
          <w:bCs/>
          <w:szCs w:val="24"/>
          <w:lang w:val="en-US" w:eastAsia="zh-CN"/>
        </w:rPr>
        <w:t xml:space="preserve">. </w:t>
      </w:r>
      <w:r>
        <w:rPr>
          <w:rFonts w:ascii="Times New Roman" w:hAnsi="Times New Roman"/>
          <w:b/>
        </w:rPr>
        <w:t>The KEGG pathway that RRM2 regulates in pan-cancer by using GSEA.</w:t>
      </w:r>
    </w:p>
    <w:p/>
    <w:p/>
    <w:p/>
    <w:p/>
    <w:p/>
    <w:p/>
    <w:p/>
    <w:p/>
    <w:p/>
    <w:p/>
    <w:p/>
    <w:p/>
    <w:p/>
    <w:p>
      <w:pPr>
        <w:ind w:left="-297" w:leftChars="-135"/>
        <w:jc w:val="center"/>
        <w:rPr>
          <w:rFonts w:ascii="Times New Roman" w:hAnsi="Times New Roman"/>
          <w:b/>
          <w:bCs/>
        </w:rPr>
      </w:pPr>
    </w:p>
    <w:p>
      <w:pPr>
        <w:ind w:left="-297" w:leftChars="-135"/>
        <w:jc w:val="center"/>
        <w:rPr>
          <w:rFonts w:ascii="Times New Roman" w:hAnsi="Times New Roman"/>
          <w:b/>
          <w:bCs/>
        </w:rPr>
      </w:pPr>
    </w:p>
    <w:p>
      <w:pPr>
        <w:ind w:left="-297" w:leftChars="-135"/>
        <w:jc w:val="center"/>
        <w:rPr>
          <w:rFonts w:ascii="Times New Roman" w:hAnsi="Times New Roman"/>
          <w:b/>
          <w:bCs/>
        </w:rPr>
      </w:pPr>
    </w:p>
    <w:p>
      <w:pPr>
        <w:ind w:left="-297" w:leftChars="-135"/>
        <w:jc w:val="center"/>
        <w:rPr>
          <w:rFonts w:ascii="Times New Roman" w:hAnsi="Times New Roman"/>
          <w:b/>
          <w:bCs/>
        </w:rPr>
      </w:pPr>
    </w:p>
    <w:p>
      <w:pPr>
        <w:ind w:left="-297" w:leftChars="-135"/>
        <w:jc w:val="center"/>
        <w:rPr>
          <w:rFonts w:ascii="Times New Roman" w:hAnsi="Times New Roman"/>
          <w:b/>
          <w:bCs/>
        </w:rPr>
      </w:pPr>
    </w:p>
    <w:tbl>
      <w:tblPr>
        <w:tblStyle w:val="4"/>
        <w:tblW w:w="0" w:type="auto"/>
        <w:tblInd w:w="-284"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12"/>
        <w:gridCol w:w="2875"/>
        <w:gridCol w:w="1725"/>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Borders>
              <w:bottom w:val="single" w:color="7E7E7E" w:themeColor="text1" w:themeTint="80" w:sz="4" w:space="0"/>
              <w:insideH w:val="single" w:sz="4" w:space="0"/>
            </w:tcBorders>
          </w:tcPr>
          <w:p>
            <w:pPr>
              <w:rPr>
                <w:rFonts w:ascii="Times New Roman" w:hAnsi="Times New Roman"/>
                <w:b w:val="0"/>
                <w:bCs w:val="0"/>
              </w:rPr>
            </w:pPr>
            <w:r>
              <w:rPr>
                <w:rFonts w:ascii="Times New Roman" w:hAnsi="Times New Roman"/>
                <w:b/>
                <w:bCs/>
              </w:rPr>
              <w:t>Drug Target</w:t>
            </w:r>
          </w:p>
        </w:tc>
        <w:tc>
          <w:tcPr>
            <w:tcW w:w="2875" w:type="dxa"/>
            <w:tcBorders>
              <w:bottom w:val="single" w:color="7E7E7E" w:themeColor="text1" w:themeTint="80" w:sz="4" w:space="0"/>
              <w:insideH w:val="single" w:sz="4" w:space="0"/>
            </w:tcBorders>
          </w:tcPr>
          <w:p>
            <w:pPr>
              <w:rPr>
                <w:rFonts w:ascii="Times New Roman" w:hAnsi="Times New Roman"/>
                <w:b w:val="0"/>
                <w:bCs w:val="0"/>
              </w:rPr>
            </w:pPr>
            <w:r>
              <w:rPr>
                <w:rFonts w:ascii="Times New Roman" w:hAnsi="Times New Roman"/>
                <w:b/>
                <w:bCs/>
              </w:rPr>
              <w:t>Drug Name (Approved)</w:t>
            </w:r>
          </w:p>
        </w:tc>
        <w:tc>
          <w:tcPr>
            <w:tcW w:w="1725" w:type="dxa"/>
            <w:tcBorders>
              <w:bottom w:val="single" w:color="7E7E7E" w:themeColor="text1" w:themeTint="80" w:sz="4" w:space="0"/>
              <w:insideH w:val="single" w:sz="4" w:space="0"/>
            </w:tcBorders>
          </w:tcPr>
          <w:p>
            <w:pPr>
              <w:rPr>
                <w:rFonts w:ascii="Times New Roman" w:hAnsi="Times New Roman"/>
                <w:b w:val="0"/>
                <w:bCs w:val="0"/>
              </w:rPr>
            </w:pPr>
            <w:r>
              <w:rPr>
                <w:rFonts w:ascii="Times New Roman" w:hAnsi="Times New Roman"/>
                <w:b/>
                <w:bCs/>
              </w:rPr>
              <w:t>Drug ID</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b/>
                <w:bCs/>
                <w:sz w:val="20"/>
                <w:szCs w:val="20"/>
              </w:rPr>
            </w:pPr>
            <w:r>
              <w:rPr>
                <w:rFonts w:ascii="Times New Roman" w:hAnsi="Times New Roman" w:eastAsia="等线"/>
                <w:b w:val="0"/>
                <w:bCs w:val="0"/>
                <w:color w:val="000000"/>
                <w:sz w:val="20"/>
                <w:szCs w:val="20"/>
              </w:rPr>
              <w:t>Histone deacetylase 1 (HDAC1)</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Phenylbutyrate</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D0B7CH</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ind w:left="-1153" w:leftChars="-524" w:firstLine="1100" w:firstLineChars="550"/>
              <w:rPr>
                <w:rFonts w:ascii="Times New Roman" w:hAnsi="Times New Roman"/>
                <w:b/>
                <w:bCs/>
                <w:sz w:val="20"/>
                <w:szCs w:val="20"/>
              </w:rPr>
            </w:pPr>
            <w:r>
              <w:rPr>
                <w:rFonts w:ascii="Times New Roman" w:hAnsi="Times New Roman" w:eastAsia="等线"/>
                <w:b w:val="0"/>
                <w:bCs w:val="0"/>
                <w:color w:val="000000"/>
                <w:sz w:val="20"/>
                <w:szCs w:val="20"/>
              </w:rPr>
              <w:t>Histone deacetylase 1 (HDAC1)</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Romidepsin</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D0L7LC</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b/>
                <w:bCs/>
                <w:sz w:val="20"/>
                <w:szCs w:val="20"/>
              </w:rPr>
            </w:pPr>
            <w:r>
              <w:rPr>
                <w:rFonts w:ascii="Times New Roman" w:hAnsi="Times New Roman" w:eastAsia="等线"/>
                <w:b w:val="0"/>
                <w:bCs w:val="0"/>
                <w:color w:val="000000"/>
                <w:sz w:val="20"/>
                <w:szCs w:val="20"/>
              </w:rPr>
              <w:t>Histone deacetylase 1 (HDAC1)</w:t>
            </w:r>
          </w:p>
        </w:tc>
        <w:tc>
          <w:tcPr>
            <w:tcW w:w="2875" w:type="dxa"/>
            <w:tcBorders>
              <w:top w:val="nil"/>
              <w:left w:val="nil"/>
              <w:bottom w:val="nil"/>
              <w:right w:val="nil"/>
            </w:tcBorders>
            <w:shd w:val="clear" w:color="auto" w:fill="auto"/>
            <w:vAlign w:val="center"/>
          </w:tcPr>
          <w:p>
            <w:pPr>
              <w:ind w:left="438" w:hanging="438" w:hangingChars="219"/>
              <w:rPr>
                <w:rFonts w:ascii="Times New Roman" w:hAnsi="Times New Roman"/>
                <w:sz w:val="20"/>
                <w:szCs w:val="20"/>
              </w:rPr>
            </w:pPr>
            <w:r>
              <w:rPr>
                <w:rFonts w:ascii="Times New Roman" w:hAnsi="Times New Roman" w:eastAsia="等线"/>
                <w:color w:val="000000"/>
                <w:sz w:val="20"/>
                <w:szCs w:val="20"/>
              </w:rPr>
              <w:t>ITF2357</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D0GH3Q</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b/>
                <w:bCs/>
                <w:sz w:val="20"/>
                <w:szCs w:val="20"/>
              </w:rPr>
            </w:pPr>
            <w:r>
              <w:rPr>
                <w:rFonts w:ascii="Times New Roman" w:hAnsi="Times New Roman" w:eastAsia="等线"/>
                <w:b w:val="0"/>
                <w:bCs w:val="0"/>
                <w:color w:val="000000"/>
                <w:sz w:val="20"/>
                <w:szCs w:val="20"/>
              </w:rPr>
              <w:t>Tyrosine-protein kinase ABL1 (ABL)</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Adenosine triphosphate</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D01BYB</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b/>
                <w:bCs/>
                <w:sz w:val="20"/>
                <w:szCs w:val="20"/>
              </w:rPr>
            </w:pPr>
            <w:r>
              <w:rPr>
                <w:rFonts w:ascii="Times New Roman" w:hAnsi="Times New Roman" w:eastAsia="等线"/>
                <w:b w:val="0"/>
                <w:bCs w:val="0"/>
                <w:color w:val="000000"/>
                <w:sz w:val="20"/>
                <w:szCs w:val="20"/>
              </w:rPr>
              <w:t>Tyrosine-protein kinase ABL1 (ABL)</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Bosutinib</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D0OB0F</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b/>
                <w:bCs/>
                <w:sz w:val="20"/>
                <w:szCs w:val="20"/>
              </w:rPr>
            </w:pPr>
            <w:r>
              <w:rPr>
                <w:rFonts w:ascii="Times New Roman" w:hAnsi="Times New Roman" w:eastAsia="等线"/>
                <w:b w:val="0"/>
                <w:bCs w:val="0"/>
                <w:color w:val="000000"/>
                <w:sz w:val="20"/>
                <w:szCs w:val="20"/>
              </w:rPr>
              <w:t>Tyrosine-protein kinase ABL1 (ABL)</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SKI-758</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D03MNN</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b/>
                <w:bCs/>
                <w:sz w:val="20"/>
                <w:szCs w:val="20"/>
              </w:rPr>
            </w:pPr>
            <w:r>
              <w:rPr>
                <w:rFonts w:ascii="Times New Roman" w:hAnsi="Times New Roman" w:eastAsia="等线"/>
                <w:b w:val="0"/>
                <w:bCs w:val="0"/>
                <w:color w:val="000000"/>
                <w:sz w:val="20"/>
                <w:szCs w:val="20"/>
              </w:rPr>
              <w:t>Tyrosine-protein kinase ABL1 (ABL)</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Ponatinib</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D0H0EQ</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Cyclin-dependent kinase 4 (CDK4)</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Apremilast</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D07ESC</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Cyclin-dependent kinase 4 (CDK4)</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LY2835219</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D05SBO</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Cyclin-dependent kinase 4 (CDK4)</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Ribociclib Succinate</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D01HVT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Cyclin-dependent kinase 6 (CDK6)</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Apremilast</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D07ESC</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Cyclin-dependent kinase 6 (CDK6)</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LY2835219</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D05SBO</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Cyclin-dependent kinase 6 (CDK6)</w:t>
            </w:r>
          </w:p>
        </w:tc>
        <w:tc>
          <w:tcPr>
            <w:tcW w:w="287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Ribociclib Succinate</w:t>
            </w:r>
          </w:p>
        </w:tc>
        <w:tc>
          <w:tcPr>
            <w:tcW w:w="1725" w:type="dxa"/>
            <w:tcBorders>
              <w:top w:val="nil"/>
              <w:left w:val="nil"/>
              <w:bottom w:val="nil"/>
              <w:right w:val="nil"/>
            </w:tcBorders>
            <w:shd w:val="clear" w:color="auto" w:fill="auto"/>
            <w:vAlign w:val="center"/>
          </w:tcPr>
          <w:p>
            <w:pPr>
              <w:rPr>
                <w:rFonts w:ascii="Times New Roman" w:hAnsi="Times New Roman"/>
                <w:sz w:val="20"/>
                <w:szCs w:val="20"/>
              </w:rPr>
            </w:pPr>
            <w:r>
              <w:rPr>
                <w:rFonts w:ascii="Times New Roman" w:hAnsi="Times New Roman" w:eastAsia="等线"/>
                <w:color w:val="000000"/>
                <w:sz w:val="20"/>
                <w:szCs w:val="20"/>
              </w:rPr>
              <w:t>D01HVT</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2" w:type="dxa"/>
          </w:tcPr>
          <w:p>
            <w:pPr>
              <w:rPr>
                <w:rFonts w:ascii="Times New Roman" w:hAnsi="Times New Roman" w:eastAsia="等线"/>
                <w:b/>
                <w:bCs/>
                <w:color w:val="000000"/>
                <w:sz w:val="20"/>
                <w:szCs w:val="20"/>
              </w:rPr>
            </w:pPr>
            <w:r>
              <w:rPr>
                <w:rFonts w:ascii="Times New Roman" w:hAnsi="Times New Roman" w:eastAsia="等线"/>
                <w:b w:val="0"/>
                <w:bCs w:val="0"/>
                <w:color w:val="000000"/>
                <w:sz w:val="20"/>
                <w:szCs w:val="20"/>
              </w:rPr>
              <w:t>Transforming growth factor beta 1 (TGFB1)</w:t>
            </w:r>
          </w:p>
        </w:tc>
        <w:tc>
          <w:tcPr>
            <w:tcW w:w="2875" w:type="dxa"/>
          </w:tcPr>
          <w:p>
            <w:pPr>
              <w:rPr>
                <w:rFonts w:ascii="Times New Roman" w:hAnsi="Times New Roman"/>
                <w:sz w:val="20"/>
                <w:szCs w:val="20"/>
              </w:rPr>
            </w:pPr>
            <w:r>
              <w:rPr>
                <w:rFonts w:ascii="Times New Roman" w:hAnsi="Times New Roman"/>
                <w:sz w:val="20"/>
                <w:szCs w:val="20"/>
              </w:rPr>
              <w:t>Pirfenidone</w:t>
            </w:r>
          </w:p>
        </w:tc>
        <w:tc>
          <w:tcPr>
            <w:tcW w:w="1725" w:type="dxa"/>
          </w:tcPr>
          <w:p>
            <w:pPr>
              <w:rPr>
                <w:rFonts w:ascii="Times New Roman" w:hAnsi="Times New Roman"/>
                <w:sz w:val="20"/>
                <w:szCs w:val="20"/>
              </w:rPr>
            </w:pPr>
            <w:r>
              <w:rPr>
                <w:rFonts w:ascii="Times New Roman" w:hAnsi="Times New Roman"/>
                <w:sz w:val="20"/>
                <w:szCs w:val="20"/>
              </w:rPr>
              <w:t>D02WCI</w:t>
            </w:r>
          </w:p>
        </w:tc>
      </w:tr>
    </w:tbl>
    <w:p>
      <w:pPr>
        <w:ind w:left="-297" w:leftChars="-135"/>
        <w:jc w:val="center"/>
        <w:rPr>
          <w:rFonts w:ascii="Times New Roman" w:hAnsi="Times New Roman"/>
          <w:b/>
          <w:bCs/>
        </w:rPr>
      </w:pPr>
      <w:r>
        <w:rPr>
          <w:rFonts w:hint="eastAsia" w:ascii="Times New Roman" w:hAnsi="Times New Roman"/>
          <w:b/>
          <w:bCs/>
        </w:rPr>
        <w:t>S</w:t>
      </w:r>
      <w:r>
        <w:rPr>
          <w:rFonts w:hint="eastAsia" w:ascii="Times New Roman" w:hAnsi="Times New Roman" w:eastAsia="宋体"/>
          <w:b/>
          <w:bCs/>
          <w:lang w:val="en-US" w:eastAsia="zh-CN"/>
        </w:rPr>
        <w:t>2</w:t>
      </w:r>
      <w:r>
        <w:rPr>
          <w:rFonts w:ascii="Times New Roman" w:hAnsi="Times New Roman"/>
          <w:b/>
          <w:bCs/>
        </w:rPr>
        <w:t xml:space="preserve"> table</w:t>
      </w:r>
      <w:r>
        <w:rPr>
          <w:rFonts w:hint="eastAsia" w:ascii="Times New Roman" w:hAnsi="Times New Roman" w:eastAsia="宋体"/>
          <w:b/>
          <w:bCs/>
          <w:lang w:val="en-US" w:eastAsia="zh-CN"/>
        </w:rPr>
        <w:t>.</w:t>
      </w:r>
      <w:r>
        <w:rPr>
          <w:rFonts w:ascii="Times New Roman" w:hAnsi="Times New Roman"/>
          <w:b/>
          <w:bCs/>
        </w:rPr>
        <w:t xml:space="preserve"> Potential drug prediction of RRM2 for pan-cancer</w:t>
      </w:r>
    </w:p>
    <w:p/>
    <w:p>
      <w:pPr>
        <w:spacing w:line="360" w:lineRule="auto"/>
        <w:jc w:val="both"/>
        <w:rPr>
          <w:rFonts w:ascii="Times New Roman" w:hAnsi="Times New Roman"/>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15E6DB"/>
    <w:multiLevelType w:val="singleLevel"/>
    <w:tmpl w:val="5D15E6DB"/>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lMjY1NTk4N2RiODI5OTVkMTNmNmVkZjA2MWZjZTQifQ=="/>
  </w:docVars>
  <w:rsids>
    <w:rsidRoot w:val="004C55B4"/>
    <w:rsid w:val="00494F25"/>
    <w:rsid w:val="004C55B4"/>
    <w:rsid w:val="006C48B0"/>
    <w:rsid w:val="008C6651"/>
    <w:rsid w:val="00D37E09"/>
    <w:rsid w:val="00D85C0D"/>
    <w:rsid w:val="00E665F3"/>
    <w:rsid w:val="017160BD"/>
    <w:rsid w:val="2428216C"/>
    <w:rsid w:val="2AD653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de-CH" w:eastAsia="en-US"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customStyle="1" w:styleId="4">
    <w:name w:val="无格式表格 21"/>
    <w:basedOn w:val="2"/>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594</Words>
  <Characters>3386</Characters>
  <Lines>28</Lines>
  <Paragraphs>7</Paragraphs>
  <TotalTime>1</TotalTime>
  <ScaleCrop>false</ScaleCrop>
  <LinksUpToDate>false</LinksUpToDate>
  <CharactersWithSpaces>3973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2023-07-17T14:21:00Z</dcterms:created>
  <dc:creator>Osborn Zeng</dc:creator>
  <cp:lastModifiedBy>Osborn</cp:lastModifiedBy>
  <dcterms:modified xsi:type="dcterms:W3CDTF">2024-01-29T07:39:08Z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4F6702BB85804A1983EA5BAA2BE35C97_13</vt:lpwstr>
  </property>
</Properties>
</file>