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A21E" w14:textId="2C0EB9D8" w:rsidR="00443C43" w:rsidRPr="00364583" w:rsidRDefault="00133BF6" w:rsidP="00443C43">
      <w:pPr>
        <w:pStyle w:val="DSENHeading2"/>
        <w:rPr>
          <w:u w:val="single"/>
          <w:lang w:val="en-CA"/>
        </w:rPr>
      </w:pPr>
      <w:r w:rsidRPr="00364583">
        <w:rPr>
          <w:u w:val="single"/>
          <w:lang w:val="en-CA"/>
        </w:rPr>
        <w:t>S13 Text</w:t>
      </w:r>
      <w:r w:rsidR="00443C43" w:rsidRPr="00364583">
        <w:rPr>
          <w:u w:val="single"/>
          <w:lang w:val="en-CA"/>
        </w:rPr>
        <w:t>: Summary table of cannabis comparisons for older adult</w:t>
      </w:r>
      <w:r w:rsidR="00651D12">
        <w:rPr>
          <w:u w:val="single"/>
          <w:lang w:val="en-CA"/>
        </w:rPr>
        <w:t>s who used</w:t>
      </w:r>
      <w:r w:rsidR="00443C43" w:rsidRPr="00364583">
        <w:rPr>
          <w:u w:val="single"/>
          <w:lang w:val="en-CA"/>
        </w:rPr>
        <w:t xml:space="preserve"> cannabis</w:t>
      </w:r>
    </w:p>
    <w:p w14:paraId="3A0243BB" w14:textId="769E7050" w:rsidR="00C47D65" w:rsidRDefault="001949CD" w:rsidP="00364583">
      <w:pPr>
        <w:pStyle w:val="DSENBodytext"/>
        <w:spacing w:line="240" w:lineRule="auto"/>
        <w:contextualSpacing/>
      </w:pPr>
      <w:r>
        <w:t>Data</w:t>
      </w:r>
      <w:r w:rsidR="000840F6">
        <w:t xml:space="preserve"> from a priori </w:t>
      </w:r>
      <w:r>
        <w:t xml:space="preserve">identified </w:t>
      </w:r>
      <w:r w:rsidR="000840F6">
        <w:t xml:space="preserve">cannabis comparisons of interest (i.e., cannabis comparisons made amongst </w:t>
      </w:r>
      <w:r w:rsidR="00651D12">
        <w:t xml:space="preserve">those who used </w:t>
      </w:r>
      <w:r w:rsidR="000840F6">
        <w:t>cannabis) as described in our protocol are presented</w:t>
      </w:r>
      <w:r>
        <w:t xml:space="preserve"> below as a narrative summary</w:t>
      </w:r>
      <w:r w:rsidR="00C47D65">
        <w:t>, stratified by patient condition,</w:t>
      </w:r>
      <w:r>
        <w:t xml:space="preserve"> </w:t>
      </w:r>
      <w:r w:rsidR="00C47D65">
        <w:t>with a</w:t>
      </w:r>
      <w:r>
        <w:t xml:space="preserve"> detailed table</w:t>
      </w:r>
      <w:r w:rsidR="000840F6">
        <w:t xml:space="preserve">. </w:t>
      </w:r>
      <w:r w:rsidR="00C47D65">
        <w:t>We sought data related to the effects of types (e.g., medical vs recreational), frequencies, and durations of use; doses</w:t>
      </w:r>
      <w:r w:rsidR="00BF4337">
        <w:t>;</w:t>
      </w:r>
      <w:r w:rsidR="00C47D65">
        <w:t xml:space="preserve"> concentrations</w:t>
      </w:r>
      <w:r w:rsidR="00BF4337">
        <w:t>;</w:t>
      </w:r>
      <w:r w:rsidR="00C47D65">
        <w:t xml:space="preserve"> modes of consumption</w:t>
      </w:r>
      <w:r w:rsidR="00BF4337">
        <w:t>;</w:t>
      </w:r>
      <w:r w:rsidR="00C47D65">
        <w:t xml:space="preserve"> plant characteristics</w:t>
      </w:r>
      <w:r w:rsidR="00C67FC9">
        <w:t>, and co-use of other substances</w:t>
      </w:r>
      <w:r w:rsidR="00C47D65">
        <w:t>. Findings from studies reporting this information included the following</w:t>
      </w:r>
      <w:r w:rsidR="00BF4337">
        <w:t xml:space="preserve"> (stratified by patient condition)</w:t>
      </w:r>
      <w:r w:rsidR="00C47D65">
        <w:t xml:space="preserve">: </w:t>
      </w:r>
    </w:p>
    <w:p w14:paraId="42C2D1BD" w14:textId="77777777" w:rsidR="00364583" w:rsidRDefault="00364583" w:rsidP="00364583">
      <w:pPr>
        <w:pStyle w:val="DSENBodytext"/>
        <w:spacing w:line="240" w:lineRule="auto"/>
        <w:contextualSpacing/>
        <w:rPr>
          <w:i/>
          <w:iCs/>
        </w:rPr>
      </w:pPr>
    </w:p>
    <w:p w14:paraId="03ED3E45" w14:textId="2D1CBE71" w:rsidR="00C47D65" w:rsidRPr="005F4E4D" w:rsidRDefault="00C47D65" w:rsidP="00364583">
      <w:pPr>
        <w:pStyle w:val="DSENBodytext"/>
        <w:spacing w:line="240" w:lineRule="auto"/>
        <w:rPr>
          <w:b/>
          <w:bCs/>
        </w:rPr>
      </w:pPr>
      <w:r w:rsidRPr="005F4E4D">
        <w:rPr>
          <w:b/>
          <w:bCs/>
        </w:rPr>
        <w:t>Older general public:</w:t>
      </w:r>
    </w:p>
    <w:p w14:paraId="3F7A8EAB" w14:textId="3D7B2A9D" w:rsidR="00C47D65" w:rsidRDefault="00C47D65" w:rsidP="00364583">
      <w:pPr>
        <w:pStyle w:val="DSENBodytext"/>
        <w:numPr>
          <w:ilvl w:val="0"/>
          <w:numId w:val="12"/>
        </w:numPr>
        <w:spacing w:line="240" w:lineRule="auto"/>
        <w:contextualSpacing/>
      </w:pPr>
      <w:r w:rsidRPr="00DD142D">
        <w:rPr>
          <w:b/>
          <w:bCs/>
          <w:i/>
          <w:iCs/>
          <w:u w:val="single"/>
        </w:rPr>
        <w:t>Types of use:</w:t>
      </w:r>
      <w:r>
        <w:t xml:space="preserve"> There was no significant difference between any medical use and recreational-only cannabis use regarding the presence of either marijuana abuse or dependence per DSM-IV criteria</w:t>
      </w:r>
      <w:r w:rsidR="0065786C" w:rsidRPr="0065786C">
        <w:rPr>
          <w:szCs w:val="24"/>
          <w:vertAlign w:val="superscript"/>
        </w:rPr>
        <w:t>4</w:t>
      </w:r>
      <w:r>
        <w:t>. However, compared to non-medical use, medical use overseen by a physician was significantly associated with the occurrence of mental health disorders, increased numbers of chronic medical conditions, injuries, and substituting cannabis for a prescription drug</w:t>
      </w:r>
      <w:r w:rsidR="0065786C" w:rsidRPr="0065786C">
        <w:rPr>
          <w:szCs w:val="24"/>
          <w:vertAlign w:val="superscript"/>
        </w:rPr>
        <w:t>106</w:t>
      </w:r>
      <w:r>
        <w:t>, although there were no significant differences in the groups regarding past-year marijuana use disorder, and ED visits with hospital admission</w:t>
      </w:r>
      <w:r w:rsidR="0065786C" w:rsidRPr="0065786C">
        <w:rPr>
          <w:szCs w:val="24"/>
          <w:vertAlign w:val="superscript"/>
        </w:rPr>
        <w:t>106</w:t>
      </w:r>
      <w:r>
        <w:t xml:space="preserve">. Amongst </w:t>
      </w:r>
      <w:r w:rsidR="00651D12">
        <w:t xml:space="preserve">those who used </w:t>
      </w:r>
      <w:r>
        <w:t xml:space="preserve">medical cannabis, there as no significant difference in past-year opioid use between </w:t>
      </w:r>
      <w:r w:rsidR="00651D12">
        <w:t xml:space="preserve">those who used for </w:t>
      </w:r>
      <w:r>
        <w:t>mixed</w:t>
      </w:r>
      <w:r w:rsidR="00651D12">
        <w:t xml:space="preserve"> </w:t>
      </w:r>
      <w:r>
        <w:t>purpose</w:t>
      </w:r>
      <w:r w:rsidR="00651D12">
        <w:t>s</w:t>
      </w:r>
      <w:r>
        <w:t xml:space="preserve"> and those </w:t>
      </w:r>
      <w:r w:rsidR="00651D12">
        <w:t>who used</w:t>
      </w:r>
      <w:r>
        <w:t xml:space="preserve"> strictly for medical purposes</w:t>
      </w:r>
      <w:r w:rsidR="0065786C" w:rsidRPr="0065786C">
        <w:rPr>
          <w:szCs w:val="24"/>
          <w:vertAlign w:val="superscript"/>
        </w:rPr>
        <w:t>109</w:t>
      </w:r>
      <w:r>
        <w:t>.</w:t>
      </w:r>
    </w:p>
    <w:p w14:paraId="5BC01966" w14:textId="1831F88C" w:rsidR="00C47D65" w:rsidRDefault="00C47D65" w:rsidP="00364583">
      <w:pPr>
        <w:pStyle w:val="DSENBodytext"/>
        <w:numPr>
          <w:ilvl w:val="0"/>
          <w:numId w:val="12"/>
        </w:numPr>
        <w:spacing w:line="240" w:lineRule="auto"/>
        <w:contextualSpacing/>
      </w:pPr>
      <w:r>
        <w:rPr>
          <w:b/>
          <w:bCs/>
          <w:i/>
          <w:iCs/>
          <w:u w:val="single"/>
        </w:rPr>
        <w:t>Doses:</w:t>
      </w:r>
      <w:r>
        <w:t xml:space="preserve"> The number of joints usually smoked in a day in the past 12 months was not significantly associated with past-year ED visits or past-year injuries</w:t>
      </w:r>
      <w:r w:rsidR="0065786C" w:rsidRPr="0065786C">
        <w:rPr>
          <w:szCs w:val="24"/>
          <w:vertAlign w:val="superscript"/>
        </w:rPr>
        <w:t>106</w:t>
      </w:r>
      <w:r>
        <w:t xml:space="preserve">; however, a higher number of joints smoked when using the most was significantly associated with a greater risk of lifetime </w:t>
      </w:r>
      <w:r w:rsidRPr="0003193C">
        <w:t>occurrence of any substance use disorder, including CUD</w:t>
      </w:r>
      <w:r w:rsidR="0065786C" w:rsidRPr="0065786C">
        <w:rPr>
          <w:szCs w:val="24"/>
          <w:vertAlign w:val="superscript"/>
        </w:rPr>
        <w:t>105</w:t>
      </w:r>
      <w:r w:rsidRPr="0003193C">
        <w:t>, but not with lifetime occurrence of any mental health disorders</w:t>
      </w:r>
      <w:r w:rsidR="0065786C" w:rsidRPr="0065786C">
        <w:rPr>
          <w:szCs w:val="24"/>
          <w:vertAlign w:val="superscript"/>
        </w:rPr>
        <w:t>105</w:t>
      </w:r>
      <w:r w:rsidRPr="0003193C">
        <w:t>. Higher estimates of THC consumption in the previous 90 days were associated with significantly harmful effects on regional brain volume measures</w:t>
      </w:r>
      <w:r w:rsidR="0065786C" w:rsidRPr="0065786C">
        <w:rPr>
          <w:szCs w:val="24"/>
          <w:vertAlign w:val="superscript"/>
        </w:rPr>
        <w:t>152</w:t>
      </w:r>
      <w:r w:rsidRPr="0003193C">
        <w:t>.</w:t>
      </w:r>
      <w:r>
        <w:t xml:space="preserve"> </w:t>
      </w:r>
    </w:p>
    <w:p w14:paraId="739B51BE" w14:textId="3C54D08A" w:rsidR="00C47D65" w:rsidRPr="0003193C" w:rsidRDefault="00C47D65" w:rsidP="00364583">
      <w:pPr>
        <w:pStyle w:val="DSENBodytext"/>
        <w:numPr>
          <w:ilvl w:val="0"/>
          <w:numId w:val="12"/>
        </w:numPr>
        <w:spacing w:line="240" w:lineRule="auto"/>
        <w:contextualSpacing/>
      </w:pPr>
      <w:r>
        <w:rPr>
          <w:b/>
          <w:bCs/>
          <w:i/>
          <w:iCs/>
          <w:u w:val="single"/>
        </w:rPr>
        <w:t>Frequency of use:</w:t>
      </w:r>
      <w:r>
        <w:t xml:space="preserve"> High frequency of use in the past year was associated with a significantly higher risk of CUD</w:t>
      </w:r>
      <w:r w:rsidR="0065786C" w:rsidRPr="0065786C">
        <w:rPr>
          <w:szCs w:val="24"/>
          <w:vertAlign w:val="superscript"/>
        </w:rPr>
        <w:t>4</w:t>
      </w:r>
      <w:r>
        <w:t>; lifetime occurrence of any substance use disorders, including CUD</w:t>
      </w:r>
      <w:r w:rsidR="0065786C" w:rsidRPr="0065786C">
        <w:rPr>
          <w:szCs w:val="24"/>
          <w:vertAlign w:val="superscript"/>
        </w:rPr>
        <w:t>105</w:t>
      </w:r>
      <w:r>
        <w:t xml:space="preserve">; impairments in cognitive </w:t>
      </w:r>
      <w:r w:rsidRPr="0003193C">
        <w:t>functioning</w:t>
      </w:r>
      <w:r w:rsidR="0065786C" w:rsidRPr="0065786C">
        <w:rPr>
          <w:szCs w:val="24"/>
          <w:vertAlign w:val="superscript"/>
        </w:rPr>
        <w:t>104</w:t>
      </w:r>
      <w:r w:rsidRPr="0003193C">
        <w:t>, executive functioning</w:t>
      </w:r>
      <w:r w:rsidR="0065786C" w:rsidRPr="0065786C">
        <w:rPr>
          <w:szCs w:val="24"/>
          <w:vertAlign w:val="superscript"/>
        </w:rPr>
        <w:t>104</w:t>
      </w:r>
      <w:r w:rsidRPr="0003193C">
        <w:t>, and concentration</w:t>
      </w:r>
      <w:r w:rsidR="0065786C" w:rsidRPr="0065786C">
        <w:rPr>
          <w:szCs w:val="24"/>
          <w:vertAlign w:val="superscript"/>
        </w:rPr>
        <w:t>99</w:t>
      </w:r>
      <w:r w:rsidRPr="0003193C">
        <w:t>; past-year serious suicidal thoughts</w:t>
      </w:r>
      <w:r w:rsidR="0065786C" w:rsidRPr="0065786C">
        <w:rPr>
          <w:szCs w:val="24"/>
          <w:vertAlign w:val="superscript"/>
        </w:rPr>
        <w:t>104</w:t>
      </w:r>
      <w:r w:rsidRPr="0003193C">
        <w:t>; and measures of regional brain volume</w:t>
      </w:r>
      <w:r w:rsidR="0065786C" w:rsidRPr="0065786C">
        <w:rPr>
          <w:szCs w:val="24"/>
          <w:vertAlign w:val="superscript"/>
        </w:rPr>
        <w:t>152</w:t>
      </w:r>
      <w:r w:rsidRPr="0003193C">
        <w:t>. However, there was no effect on past-year ED visits</w:t>
      </w:r>
      <w:r w:rsidR="0065786C" w:rsidRPr="0065786C">
        <w:rPr>
          <w:szCs w:val="24"/>
          <w:vertAlign w:val="superscript"/>
        </w:rPr>
        <w:t>106</w:t>
      </w:r>
      <w:r w:rsidRPr="0003193C">
        <w:t>, injuries</w:t>
      </w:r>
      <w:r w:rsidR="0065786C" w:rsidRPr="0065786C">
        <w:rPr>
          <w:szCs w:val="24"/>
          <w:vertAlign w:val="superscript"/>
        </w:rPr>
        <w:t>106</w:t>
      </w:r>
      <w:r w:rsidRPr="0003193C">
        <w:t>, depression</w:t>
      </w:r>
      <w:r w:rsidR="0065786C" w:rsidRPr="0065786C">
        <w:rPr>
          <w:szCs w:val="24"/>
          <w:vertAlign w:val="superscript"/>
        </w:rPr>
        <w:t>104</w:t>
      </w:r>
      <w:r w:rsidRPr="0003193C">
        <w:t>, lifetime occurrence of any mental health disorder</w:t>
      </w:r>
      <w:r w:rsidR="0065786C" w:rsidRPr="0065786C">
        <w:rPr>
          <w:szCs w:val="24"/>
          <w:vertAlign w:val="superscript"/>
        </w:rPr>
        <w:t>105</w:t>
      </w:r>
      <w:r w:rsidRPr="0003193C">
        <w:t>, or total brain volume</w:t>
      </w:r>
      <w:r w:rsidR="0065786C" w:rsidRPr="0065786C">
        <w:rPr>
          <w:szCs w:val="24"/>
          <w:vertAlign w:val="superscript"/>
        </w:rPr>
        <w:t>152</w:t>
      </w:r>
      <w:r w:rsidRPr="0003193C">
        <w:t xml:space="preserve">. </w:t>
      </w:r>
    </w:p>
    <w:p w14:paraId="289BD13F" w14:textId="300E61BD" w:rsidR="00C47D65" w:rsidRPr="0003193C" w:rsidRDefault="00C47D65" w:rsidP="00364583">
      <w:pPr>
        <w:pStyle w:val="DSENBodytext"/>
        <w:numPr>
          <w:ilvl w:val="0"/>
          <w:numId w:val="12"/>
        </w:numPr>
        <w:spacing w:line="240" w:lineRule="auto"/>
        <w:contextualSpacing/>
      </w:pPr>
      <w:r w:rsidRPr="0003193C">
        <w:rPr>
          <w:b/>
          <w:bCs/>
          <w:i/>
          <w:iCs/>
          <w:u w:val="single"/>
        </w:rPr>
        <w:t>Duration of use:</w:t>
      </w:r>
      <w:r w:rsidRPr="0003193C">
        <w:t xml:space="preserve"> Continuous use for the previous 24 months was associated with a significantly higher risk of driving under the influence of marijuana, compared to </w:t>
      </w:r>
      <w:r w:rsidR="00651D12" w:rsidRPr="0003193C">
        <w:t xml:space="preserve">those who used cannabis in the </w:t>
      </w:r>
      <w:r w:rsidRPr="0003193C">
        <w:t>past</w:t>
      </w:r>
      <w:r w:rsidR="00651D12" w:rsidRPr="0003193C">
        <w:t xml:space="preserve"> </w:t>
      </w:r>
      <w:r w:rsidRPr="0003193C">
        <w:t xml:space="preserve">year </w:t>
      </w:r>
      <w:r w:rsidR="00651D12" w:rsidRPr="0003193C">
        <w:t xml:space="preserve">but </w:t>
      </w:r>
      <w:r w:rsidRPr="0003193C">
        <w:t>who did not use in the prior 13–24 months</w:t>
      </w:r>
      <w:r w:rsidR="0065786C" w:rsidRPr="0065786C">
        <w:rPr>
          <w:szCs w:val="24"/>
          <w:vertAlign w:val="superscript"/>
        </w:rPr>
        <w:t>4</w:t>
      </w:r>
      <w:r w:rsidRPr="0003193C">
        <w:t>. As the estimated years of use increased, measures of cognitive functioning declined</w:t>
      </w:r>
      <w:r w:rsidR="00D41A99" w:rsidRPr="0003193C">
        <w:t>, although not significantly</w:t>
      </w:r>
      <w:r w:rsidR="0065786C" w:rsidRPr="0065786C">
        <w:rPr>
          <w:szCs w:val="24"/>
          <w:vertAlign w:val="superscript"/>
        </w:rPr>
        <w:t>152</w:t>
      </w:r>
      <w:r w:rsidR="00D41A99" w:rsidRPr="0003193C">
        <w:t>;</w:t>
      </w:r>
      <w:r w:rsidRPr="0003193C">
        <w:t xml:space="preserve"> several measures of regional brain volume</w:t>
      </w:r>
      <w:r w:rsidR="00D41A99" w:rsidRPr="0003193C">
        <w:t xml:space="preserve"> significantly decreased</w:t>
      </w:r>
      <w:r w:rsidR="0065786C" w:rsidRPr="0065786C">
        <w:rPr>
          <w:szCs w:val="24"/>
          <w:vertAlign w:val="superscript"/>
        </w:rPr>
        <w:t>152</w:t>
      </w:r>
      <w:r w:rsidRPr="0003193C">
        <w:t xml:space="preserve">. And compared to lifetime use, short-term use demonstrated significantly better measures of cognitive function, but there were no significant differences between short-term </w:t>
      </w:r>
      <w:r w:rsidR="00651D12" w:rsidRPr="0003193C">
        <w:t xml:space="preserve">use </w:t>
      </w:r>
      <w:r w:rsidRPr="0003193C">
        <w:t>and lifetime use with respect to measures of anxiety, depression, alcohol use, CUD, or any measures of regional or total brain volume</w:t>
      </w:r>
      <w:r w:rsidR="0065786C" w:rsidRPr="0065786C">
        <w:rPr>
          <w:szCs w:val="24"/>
          <w:vertAlign w:val="superscript"/>
        </w:rPr>
        <w:t>152</w:t>
      </w:r>
      <w:r w:rsidRPr="0003193C">
        <w:t xml:space="preserve">. </w:t>
      </w:r>
    </w:p>
    <w:p w14:paraId="2AE68CD1" w14:textId="27365695" w:rsidR="00C67FC9" w:rsidRDefault="00C67FC9" w:rsidP="00364583">
      <w:pPr>
        <w:pStyle w:val="DSENBodytext"/>
        <w:numPr>
          <w:ilvl w:val="0"/>
          <w:numId w:val="12"/>
        </w:numPr>
        <w:spacing w:line="240" w:lineRule="auto"/>
        <w:contextualSpacing/>
      </w:pPr>
      <w:r w:rsidRPr="0003193C">
        <w:rPr>
          <w:b/>
          <w:bCs/>
          <w:i/>
          <w:iCs/>
          <w:u w:val="single"/>
        </w:rPr>
        <w:t>Use of other substances:</w:t>
      </w:r>
      <w:r w:rsidRPr="0003193C">
        <w:t xml:space="preserve"> When </w:t>
      </w:r>
      <w:r w:rsidR="00305A41" w:rsidRPr="0003193C">
        <w:t>older adults who used</w:t>
      </w:r>
      <w:r w:rsidR="00305A41">
        <w:t xml:space="preserve"> </w:t>
      </w:r>
      <w:r>
        <w:t xml:space="preserve">medical cannabis were compared to </w:t>
      </w:r>
      <w:r w:rsidR="00305A41">
        <w:t>those who used</w:t>
      </w:r>
      <w:r>
        <w:t xml:space="preserve"> both medical cannabis and other illicit drugs, a significantly beneficial association with serious suicidal thoughts in adjusted analyses (i.e., when other illicit drugs </w:t>
      </w:r>
      <w:r>
        <w:lastRenderedPageBreak/>
        <w:t xml:space="preserve">were used in addition to medical cannabis, </w:t>
      </w:r>
      <w:r w:rsidR="00305A41">
        <w:t>those who used cannabis</w:t>
      </w:r>
      <w:r>
        <w:t xml:space="preserve"> were more likely to consider suicide than if they didn’t use other illicit drugs).  </w:t>
      </w:r>
    </w:p>
    <w:p w14:paraId="01D5C437" w14:textId="77777777" w:rsidR="00364583" w:rsidRDefault="00364583" w:rsidP="00364583">
      <w:pPr>
        <w:pStyle w:val="DSENBodytext"/>
        <w:spacing w:line="240" w:lineRule="auto"/>
        <w:ind w:left="360"/>
        <w:contextualSpacing/>
        <w:rPr>
          <w:i/>
          <w:iCs/>
        </w:rPr>
      </w:pPr>
    </w:p>
    <w:p w14:paraId="0AC03A0E" w14:textId="77777777" w:rsidR="00364583" w:rsidRDefault="00364583" w:rsidP="00364583">
      <w:pPr>
        <w:pStyle w:val="DSENBodytext"/>
        <w:spacing w:line="240" w:lineRule="auto"/>
        <w:ind w:left="360"/>
        <w:contextualSpacing/>
        <w:rPr>
          <w:i/>
          <w:iCs/>
        </w:rPr>
      </w:pPr>
    </w:p>
    <w:p w14:paraId="7CB73506" w14:textId="00D51CD8" w:rsidR="00C47D65" w:rsidRPr="005F4E4D" w:rsidRDefault="00C47D65" w:rsidP="00364583">
      <w:pPr>
        <w:pStyle w:val="DSENBodytext"/>
        <w:spacing w:line="240" w:lineRule="auto"/>
        <w:rPr>
          <w:b/>
          <w:bCs/>
        </w:rPr>
      </w:pPr>
      <w:r w:rsidRPr="005F4E4D">
        <w:rPr>
          <w:b/>
          <w:bCs/>
        </w:rPr>
        <w:t>End-stage cancer:</w:t>
      </w:r>
    </w:p>
    <w:p w14:paraId="1B7A30E7" w14:textId="44FE3406" w:rsidR="00C47D65" w:rsidRDefault="00C47D65" w:rsidP="00364583">
      <w:pPr>
        <w:pStyle w:val="DSENBodytext"/>
        <w:numPr>
          <w:ilvl w:val="0"/>
          <w:numId w:val="12"/>
        </w:numPr>
        <w:spacing w:line="240" w:lineRule="auto"/>
        <w:contextualSpacing/>
      </w:pPr>
      <w:r w:rsidRPr="00D23DA1">
        <w:rPr>
          <w:b/>
          <w:bCs/>
          <w:i/>
          <w:iCs/>
          <w:u w:val="single"/>
        </w:rPr>
        <w:t xml:space="preserve">Doses: </w:t>
      </w:r>
      <w:r>
        <w:t>There were no significant differences in the proportion of advanced lung, renal, or skin cancer patients responding to nivolumab, regardless if they were taking 20 g/month or ≥30 g/month of medical cannabis of varying THC:CBD ratios</w:t>
      </w:r>
      <w:r w:rsidR="0065786C" w:rsidRPr="0065786C">
        <w:rPr>
          <w:szCs w:val="24"/>
          <w:vertAlign w:val="superscript"/>
        </w:rPr>
        <w:t>151</w:t>
      </w:r>
      <w:r>
        <w:t>.</w:t>
      </w:r>
    </w:p>
    <w:p w14:paraId="39B2BC00" w14:textId="25E9F3FC" w:rsidR="00C47D65" w:rsidRDefault="00C47D65" w:rsidP="00364583">
      <w:pPr>
        <w:pStyle w:val="DSENBodytext"/>
        <w:numPr>
          <w:ilvl w:val="0"/>
          <w:numId w:val="12"/>
        </w:numPr>
        <w:spacing w:line="240" w:lineRule="auto"/>
        <w:contextualSpacing/>
      </w:pPr>
      <w:r w:rsidRPr="00D23DA1">
        <w:rPr>
          <w:b/>
          <w:bCs/>
          <w:i/>
          <w:iCs/>
          <w:u w:val="single"/>
        </w:rPr>
        <w:t>Concentrations:</w:t>
      </w:r>
      <w:r>
        <w:t xml:space="preserve"> The concentration of CBD (≥ 1% vs &lt; 1%) in the medical cannabis product consumed had no association with the proportion of advanced lung, renal, or skin cancer patients responding to nivolumab</w:t>
      </w:r>
      <w:r w:rsidR="0065786C" w:rsidRPr="0065786C">
        <w:rPr>
          <w:szCs w:val="24"/>
          <w:vertAlign w:val="superscript"/>
        </w:rPr>
        <w:t>151</w:t>
      </w:r>
      <w:r>
        <w:t>.</w:t>
      </w:r>
    </w:p>
    <w:p w14:paraId="18E31AAD" w14:textId="0CBD4574" w:rsidR="00C47D65" w:rsidRDefault="00C47D65" w:rsidP="00364583">
      <w:pPr>
        <w:pStyle w:val="DSENBodytext"/>
        <w:numPr>
          <w:ilvl w:val="0"/>
          <w:numId w:val="12"/>
        </w:numPr>
        <w:spacing w:line="240" w:lineRule="auto"/>
        <w:contextualSpacing/>
      </w:pPr>
      <w:r>
        <w:rPr>
          <w:b/>
          <w:bCs/>
          <w:i/>
          <w:iCs/>
          <w:u w:val="single"/>
        </w:rPr>
        <w:t>Modes of consumption:</w:t>
      </w:r>
      <w:r>
        <w:t xml:space="preserve"> The mode of consumption (smoking/inhalation, oil, combined smoking/inhalation + oil) was not associated with the proportion of patients with advanced lung, renal, or skin cancer that responded to nivolumab</w:t>
      </w:r>
      <w:r w:rsidR="0065786C" w:rsidRPr="0065786C">
        <w:rPr>
          <w:szCs w:val="24"/>
          <w:vertAlign w:val="superscript"/>
        </w:rPr>
        <w:t>151</w:t>
      </w:r>
      <w:r>
        <w:t>.</w:t>
      </w:r>
    </w:p>
    <w:p w14:paraId="43339660" w14:textId="77777777" w:rsidR="00364583" w:rsidRDefault="00364583" w:rsidP="00364583">
      <w:pPr>
        <w:pStyle w:val="DSENBodytext"/>
        <w:spacing w:line="240" w:lineRule="auto"/>
        <w:contextualSpacing/>
        <w:rPr>
          <w:i/>
          <w:iCs/>
        </w:rPr>
      </w:pPr>
    </w:p>
    <w:p w14:paraId="5B832E0C" w14:textId="0B7FDC50" w:rsidR="00C47D65" w:rsidRPr="005F4E4D" w:rsidRDefault="00C47D65" w:rsidP="00364583">
      <w:pPr>
        <w:pStyle w:val="DSENBodytext"/>
        <w:spacing w:line="240" w:lineRule="auto"/>
        <w:rPr>
          <w:b/>
          <w:bCs/>
        </w:rPr>
      </w:pPr>
      <w:r w:rsidRPr="005F4E4D">
        <w:rPr>
          <w:b/>
          <w:bCs/>
        </w:rPr>
        <w:t>Parkinson’s disease</w:t>
      </w:r>
    </w:p>
    <w:p w14:paraId="528A5BF9" w14:textId="648981D8" w:rsidR="00C47D65" w:rsidRDefault="00C47D65" w:rsidP="00364583">
      <w:pPr>
        <w:pStyle w:val="DSENBodytext"/>
        <w:numPr>
          <w:ilvl w:val="0"/>
          <w:numId w:val="12"/>
        </w:numPr>
        <w:spacing w:line="240" w:lineRule="auto"/>
        <w:contextualSpacing/>
      </w:pPr>
      <w:r w:rsidRPr="00506585">
        <w:rPr>
          <w:b/>
          <w:bCs/>
          <w:i/>
          <w:iCs/>
          <w:u w:val="single"/>
        </w:rPr>
        <w:t>Frequency of use:</w:t>
      </w:r>
      <w:r>
        <w:t xml:space="preserve"> </w:t>
      </w:r>
      <w:r w:rsidR="00696BDD">
        <w:t>In t</w:t>
      </w:r>
      <w:r w:rsidR="00305A41">
        <w:t>hose with Parkinson’s disease who used cannabis to s</w:t>
      </w:r>
      <w:r>
        <w:t xml:space="preserve">elf-medicate, at least once a day </w:t>
      </w:r>
      <w:r w:rsidR="00696BDD">
        <w:t xml:space="preserve">use was significantly associated with </w:t>
      </w:r>
      <w:r>
        <w:t>improved dyskinesia compared to less than once a day</w:t>
      </w:r>
      <w:r w:rsidR="00696BDD">
        <w:t xml:space="preserve"> use</w:t>
      </w:r>
      <w:r w:rsidR="0065786C" w:rsidRPr="0065786C">
        <w:rPr>
          <w:szCs w:val="24"/>
          <w:vertAlign w:val="superscript"/>
        </w:rPr>
        <w:t>153</w:t>
      </w:r>
      <w:r>
        <w:t xml:space="preserve">. </w:t>
      </w:r>
    </w:p>
    <w:p w14:paraId="20F74297" w14:textId="446A24A6" w:rsidR="00C47D65" w:rsidRDefault="00C47D65" w:rsidP="00364583">
      <w:pPr>
        <w:pStyle w:val="DSENBodytext"/>
        <w:numPr>
          <w:ilvl w:val="0"/>
          <w:numId w:val="12"/>
        </w:numPr>
        <w:spacing w:line="240" w:lineRule="auto"/>
      </w:pPr>
      <w:r w:rsidRPr="00C02A0B">
        <w:rPr>
          <w:b/>
          <w:bCs/>
          <w:i/>
          <w:iCs/>
          <w:u w:val="single"/>
        </w:rPr>
        <w:t>Plant characteristics:</w:t>
      </w:r>
      <w:r>
        <w:t xml:space="preserve"> There were no differences in dyskinesia </w:t>
      </w:r>
      <w:r w:rsidR="00696BDD">
        <w:t>in</w:t>
      </w:r>
      <w:r>
        <w:t xml:space="preserve"> </w:t>
      </w:r>
      <w:r w:rsidR="00305A41">
        <w:t xml:space="preserve">those with Parkinson’s disease who used cannabis to </w:t>
      </w:r>
      <w:r>
        <w:t>self-medicate, whether they used flowers vs leaves or whether they used fresh vs dried plant</w:t>
      </w:r>
      <w:r w:rsidR="0065786C" w:rsidRPr="0065786C">
        <w:rPr>
          <w:szCs w:val="24"/>
          <w:vertAlign w:val="superscript"/>
        </w:rPr>
        <w:t>153</w:t>
      </w:r>
      <w:r>
        <w:t>.</w:t>
      </w:r>
    </w:p>
    <w:p w14:paraId="4C791D33" w14:textId="48C25A3F" w:rsidR="000840F6" w:rsidRDefault="00C47D65" w:rsidP="00364583">
      <w:pPr>
        <w:pStyle w:val="DSENBodytext"/>
        <w:spacing w:line="240" w:lineRule="auto"/>
      </w:pPr>
      <w:r>
        <w:t>The table below is stratified by the cannabis comparisons of interest (i.e.,</w:t>
      </w:r>
      <w:r w:rsidRPr="000840F6">
        <w:t xml:space="preserve"> </w:t>
      </w:r>
      <w:r>
        <w:t>types, frequencies, and durations of use; doses; concentrations; modes of consumption; and plant characteristics). The column of cannabis comparisons reported in the studies has been highlighted in grey. Effects reported in the studies are presented in the right-most column, with color coding used to reflect the direction of effect (i.e., green for beneficial and red for harmful effects, grey for no effect) and significance (i.e., dark for significant and light for non-significant effects).</w:t>
      </w:r>
    </w:p>
    <w:p w14:paraId="303BBF0E" w14:textId="77777777" w:rsidR="00133BF6" w:rsidRDefault="00133BF6" w:rsidP="00335E2C">
      <w:pPr>
        <w:pStyle w:val="Caption"/>
        <w:spacing w:after="0"/>
        <w:sectPr w:rsidR="00133BF6" w:rsidSect="00133BF6">
          <w:footerReference w:type="default" r:id="rId11"/>
          <w:pgSz w:w="12240" w:h="15840"/>
          <w:pgMar w:top="1440" w:right="1134" w:bottom="1440" w:left="1440" w:header="708" w:footer="708" w:gutter="0"/>
          <w:cols w:space="708"/>
          <w:docGrid w:linePitch="360"/>
        </w:sectPr>
      </w:pPr>
    </w:p>
    <w:p w14:paraId="2CF1C61A" w14:textId="58BBE401" w:rsidR="00335E2C" w:rsidRPr="000840F6" w:rsidRDefault="00335E2C" w:rsidP="00335E2C">
      <w:pPr>
        <w:pStyle w:val="Caption"/>
        <w:spacing w:after="0"/>
      </w:pPr>
      <w:r>
        <w:lastRenderedPageBreak/>
        <w:t>Summary of findings for cannabis comparisons of interest amongst older adult</w:t>
      </w:r>
      <w:r w:rsidR="00305A41">
        <w:t>s who used</w:t>
      </w:r>
      <w:r>
        <w:t xml:space="preserve"> cannabis</w:t>
      </w:r>
    </w:p>
    <w:tbl>
      <w:tblPr>
        <w:tblStyle w:val="ListTable3-Accent11"/>
        <w:tblW w:w="0" w:type="auto"/>
        <w:tblLayout w:type="fixed"/>
        <w:tblLook w:val="0420" w:firstRow="1" w:lastRow="0" w:firstColumn="0" w:lastColumn="0" w:noHBand="0" w:noVBand="1"/>
      </w:tblPr>
      <w:tblGrid>
        <w:gridCol w:w="1413"/>
        <w:gridCol w:w="1276"/>
        <w:gridCol w:w="1275"/>
        <w:gridCol w:w="1418"/>
        <w:gridCol w:w="1134"/>
        <w:gridCol w:w="1478"/>
        <w:gridCol w:w="1215"/>
        <w:gridCol w:w="1276"/>
        <w:gridCol w:w="1149"/>
        <w:gridCol w:w="1316"/>
      </w:tblGrid>
      <w:tr w:rsidR="00443C43" w:rsidRPr="00443C43" w14:paraId="0F0D0F8E" w14:textId="77777777" w:rsidTr="00CF2505">
        <w:trPr>
          <w:cnfStyle w:val="100000000000" w:firstRow="1" w:lastRow="0" w:firstColumn="0" w:lastColumn="0" w:oddVBand="0" w:evenVBand="0" w:oddHBand="0" w:evenHBand="0" w:firstRowFirstColumn="0" w:firstRowLastColumn="0" w:lastRowFirstColumn="0" w:lastRowLastColumn="0"/>
          <w:tblHeader/>
        </w:trPr>
        <w:tc>
          <w:tcPr>
            <w:tcW w:w="1413" w:type="dxa"/>
          </w:tcPr>
          <w:p w14:paraId="23CF8A5E"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Cannabis comparison category</w:t>
            </w:r>
          </w:p>
        </w:tc>
        <w:tc>
          <w:tcPr>
            <w:tcW w:w="1276" w:type="dxa"/>
          </w:tcPr>
          <w:p w14:paraId="6BFC0E63"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Patient condition</w:t>
            </w:r>
          </w:p>
        </w:tc>
        <w:tc>
          <w:tcPr>
            <w:tcW w:w="1275" w:type="dxa"/>
          </w:tcPr>
          <w:p w14:paraId="3FC0EECA"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Study</w:t>
            </w:r>
          </w:p>
        </w:tc>
        <w:tc>
          <w:tcPr>
            <w:tcW w:w="1418" w:type="dxa"/>
          </w:tcPr>
          <w:p w14:paraId="67959AEA"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Cannabis comparison</w:t>
            </w:r>
          </w:p>
        </w:tc>
        <w:tc>
          <w:tcPr>
            <w:tcW w:w="1134" w:type="dxa"/>
          </w:tcPr>
          <w:p w14:paraId="7164F38C"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Cannabis product</w:t>
            </w:r>
          </w:p>
        </w:tc>
        <w:tc>
          <w:tcPr>
            <w:tcW w:w="1478" w:type="dxa"/>
          </w:tcPr>
          <w:p w14:paraId="48E03B5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Outcome category</w:t>
            </w:r>
          </w:p>
        </w:tc>
        <w:tc>
          <w:tcPr>
            <w:tcW w:w="1215" w:type="dxa"/>
          </w:tcPr>
          <w:p w14:paraId="5D507D32"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Outcome definition</w:t>
            </w:r>
          </w:p>
        </w:tc>
        <w:tc>
          <w:tcPr>
            <w:tcW w:w="1276" w:type="dxa"/>
          </w:tcPr>
          <w:p w14:paraId="73DFE125"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Subgroup (if applicable)</w:t>
            </w:r>
          </w:p>
        </w:tc>
        <w:tc>
          <w:tcPr>
            <w:tcW w:w="1149" w:type="dxa"/>
          </w:tcPr>
          <w:p w14:paraId="6ECD3D8D"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Analysis type</w:t>
            </w:r>
          </w:p>
        </w:tc>
        <w:tc>
          <w:tcPr>
            <w:tcW w:w="1316" w:type="dxa"/>
          </w:tcPr>
          <w:p w14:paraId="52BF46D4"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Direction of effect and significance</w:t>
            </w:r>
          </w:p>
        </w:tc>
      </w:tr>
      <w:tr w:rsidR="00443C43" w:rsidRPr="00443C43" w14:paraId="7B4922F2"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val="restart"/>
          </w:tcPr>
          <w:p w14:paraId="031A7A94" w14:textId="77777777" w:rsidR="00443C43" w:rsidRPr="00443C43" w:rsidRDefault="00443C43" w:rsidP="00443C43">
            <w:pPr>
              <w:spacing w:before="120" w:after="120"/>
              <w:jc w:val="left"/>
              <w:rPr>
                <w:rFonts w:eastAsia="Arial"/>
                <w:b/>
                <w:bCs/>
                <w:lang w:val="en-US"/>
              </w:rPr>
            </w:pPr>
            <w:r w:rsidRPr="00443C43">
              <w:rPr>
                <w:rFonts w:eastAsia="Arial"/>
                <w:b/>
                <w:bCs/>
                <w:lang w:val="en-US"/>
              </w:rPr>
              <w:t>Types of use</w:t>
            </w:r>
          </w:p>
        </w:tc>
        <w:tc>
          <w:tcPr>
            <w:tcW w:w="1276" w:type="dxa"/>
            <w:vMerge w:val="restart"/>
          </w:tcPr>
          <w:p w14:paraId="29DD37E3" w14:textId="77777777" w:rsidR="00443C43" w:rsidRPr="00443C43" w:rsidRDefault="00443C43" w:rsidP="00443C43">
            <w:pPr>
              <w:spacing w:before="120" w:after="120"/>
              <w:jc w:val="left"/>
              <w:rPr>
                <w:rFonts w:eastAsia="Arial"/>
                <w:lang w:val="en-US"/>
              </w:rPr>
            </w:pPr>
            <w:r w:rsidRPr="00443C43">
              <w:rPr>
                <w:rFonts w:eastAsia="Arial"/>
                <w:lang w:val="en-US"/>
              </w:rPr>
              <w:t>Older general public</w:t>
            </w:r>
          </w:p>
        </w:tc>
        <w:tc>
          <w:tcPr>
            <w:tcW w:w="1275" w:type="dxa"/>
          </w:tcPr>
          <w:p w14:paraId="26B5DB2E" w14:textId="640ADCF2"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Choi et al., 2021a</w:t>
            </w:r>
            <w:r w:rsidR="0065786C" w:rsidRPr="0065786C">
              <w:rPr>
                <w:sz w:val="20"/>
                <w:szCs w:val="24"/>
                <w:vertAlign w:val="superscript"/>
              </w:rPr>
              <w:t>4</w:t>
            </w:r>
          </w:p>
          <w:p w14:paraId="29A64AC8"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Sequential NSDUH 2015–18</w:t>
            </w:r>
          </w:p>
        </w:tc>
        <w:tc>
          <w:tcPr>
            <w:tcW w:w="1418" w:type="dxa"/>
            <w:shd w:val="clear" w:color="auto" w:fill="D9D9D9" w:themeFill="background1" w:themeFillShade="D9"/>
          </w:tcPr>
          <w:p w14:paraId="6B8F90AD"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Any medical vs recreational only</w:t>
            </w:r>
          </w:p>
        </w:tc>
        <w:tc>
          <w:tcPr>
            <w:tcW w:w="1134" w:type="dxa"/>
          </w:tcPr>
          <w:p w14:paraId="7DAE3B9F"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20324FD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Cannabis use disorder (CUD)</w:t>
            </w:r>
          </w:p>
        </w:tc>
        <w:tc>
          <w:tcPr>
            <w:tcW w:w="1215" w:type="dxa"/>
          </w:tcPr>
          <w:p w14:paraId="452E393C"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Either marijuana abuse or dependence per DSM-IV</w:t>
            </w:r>
          </w:p>
        </w:tc>
        <w:tc>
          <w:tcPr>
            <w:tcW w:w="1276" w:type="dxa"/>
          </w:tcPr>
          <w:p w14:paraId="195680E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269ACF31"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FF7D6C"/>
          </w:tcPr>
          <w:p w14:paraId="1C0B5F06" w14:textId="6FC10CD8" w:rsidR="00443C43" w:rsidRPr="00443C43" w:rsidRDefault="00F46CF1" w:rsidP="00443C43">
            <w:pPr>
              <w:spacing w:before="120" w:after="120"/>
              <w:jc w:val="left"/>
              <w:rPr>
                <w:rFonts w:eastAsia="Arial"/>
                <w:lang w:val="en-US"/>
              </w:rPr>
            </w:pPr>
            <w:r>
              <w:rPr>
                <w:rFonts w:eastAsia="Arial"/>
                <w:sz w:val="20"/>
                <w:szCs w:val="20"/>
                <w:lang w:val="en-US"/>
              </w:rPr>
              <w:t>Positive association</w:t>
            </w:r>
          </w:p>
        </w:tc>
      </w:tr>
      <w:tr w:rsidR="00F46CF1" w:rsidRPr="00443C43" w14:paraId="196CAA68" w14:textId="77777777" w:rsidTr="00CF2505">
        <w:tc>
          <w:tcPr>
            <w:tcW w:w="1413" w:type="dxa"/>
            <w:vMerge/>
          </w:tcPr>
          <w:p w14:paraId="3FCE9FD7" w14:textId="77777777" w:rsidR="00F46CF1" w:rsidRPr="00443C43" w:rsidRDefault="00F46CF1" w:rsidP="00F46CF1">
            <w:pPr>
              <w:spacing w:before="120" w:after="120"/>
              <w:jc w:val="left"/>
              <w:rPr>
                <w:rFonts w:eastAsia="Arial"/>
                <w:b/>
                <w:bCs/>
                <w:lang w:val="en-US"/>
              </w:rPr>
            </w:pPr>
          </w:p>
        </w:tc>
        <w:tc>
          <w:tcPr>
            <w:tcW w:w="1276" w:type="dxa"/>
            <w:vMerge/>
          </w:tcPr>
          <w:p w14:paraId="74D6D3BE" w14:textId="77777777" w:rsidR="00F46CF1" w:rsidRPr="00443C43" w:rsidRDefault="00F46CF1" w:rsidP="00F46CF1">
            <w:pPr>
              <w:spacing w:before="120" w:after="120"/>
              <w:jc w:val="left"/>
              <w:rPr>
                <w:rFonts w:eastAsia="Arial"/>
                <w:lang w:val="en-US"/>
              </w:rPr>
            </w:pPr>
          </w:p>
        </w:tc>
        <w:tc>
          <w:tcPr>
            <w:tcW w:w="1275" w:type="dxa"/>
            <w:vMerge w:val="restart"/>
          </w:tcPr>
          <w:p w14:paraId="70861BA7" w14:textId="39065CD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Choi et al., 2018</w:t>
            </w:r>
            <w:r w:rsidRPr="0065786C">
              <w:rPr>
                <w:sz w:val="20"/>
                <w:szCs w:val="24"/>
                <w:vertAlign w:val="superscript"/>
              </w:rPr>
              <w:t>106</w:t>
            </w:r>
          </w:p>
          <w:p w14:paraId="63DFCAC7"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Cross-sectional NESARC-III 2012-13</w:t>
            </w:r>
          </w:p>
        </w:tc>
        <w:tc>
          <w:tcPr>
            <w:tcW w:w="1418" w:type="dxa"/>
            <w:vMerge w:val="restart"/>
            <w:shd w:val="clear" w:color="auto" w:fill="D9D9D9" w:themeFill="background1" w:themeFillShade="D9"/>
          </w:tcPr>
          <w:p w14:paraId="1B7330E7" w14:textId="77777777" w:rsidR="00F46CF1" w:rsidRPr="00443C43" w:rsidRDefault="00F46CF1" w:rsidP="00F46CF1">
            <w:pPr>
              <w:spacing w:before="120" w:after="120"/>
              <w:jc w:val="left"/>
              <w:rPr>
                <w:rFonts w:eastAsia="Arial"/>
                <w:sz w:val="20"/>
                <w:szCs w:val="20"/>
                <w:lang w:val="en-US"/>
              </w:rPr>
            </w:pPr>
            <w:r w:rsidRPr="00443C43">
              <w:rPr>
                <w:rFonts w:eastAsia="Arial"/>
                <w:sz w:val="16"/>
                <w:szCs w:val="16"/>
                <w:lang w:val="en-US"/>
              </w:rPr>
              <w:t>Medical (with a medical recommendation status) vs non-medical</w:t>
            </w:r>
          </w:p>
        </w:tc>
        <w:tc>
          <w:tcPr>
            <w:tcW w:w="1134" w:type="dxa"/>
            <w:vMerge w:val="restart"/>
          </w:tcPr>
          <w:p w14:paraId="2D27C40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6997ACD6"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CUD</w:t>
            </w:r>
          </w:p>
        </w:tc>
        <w:tc>
          <w:tcPr>
            <w:tcW w:w="1215" w:type="dxa"/>
          </w:tcPr>
          <w:p w14:paraId="7ACE7058"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Past-year marijuana use disorder</w:t>
            </w:r>
          </w:p>
        </w:tc>
        <w:tc>
          <w:tcPr>
            <w:tcW w:w="1276" w:type="dxa"/>
          </w:tcPr>
          <w:p w14:paraId="5CB8E1AB"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3BB6472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FF7D6C"/>
          </w:tcPr>
          <w:p w14:paraId="5AD4311A" w14:textId="7BC8CDC2" w:rsidR="00F46CF1" w:rsidRPr="00443C4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443C43" w:rsidRPr="00443C43" w14:paraId="47434F26"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8D22A33" w14:textId="77777777" w:rsidR="00443C43" w:rsidRPr="00443C43" w:rsidRDefault="00443C43" w:rsidP="00443C43">
            <w:pPr>
              <w:spacing w:before="120" w:after="120"/>
              <w:jc w:val="left"/>
              <w:rPr>
                <w:rFonts w:eastAsia="Arial"/>
                <w:b/>
                <w:bCs/>
                <w:lang w:val="en-US"/>
              </w:rPr>
            </w:pPr>
          </w:p>
        </w:tc>
        <w:tc>
          <w:tcPr>
            <w:tcW w:w="1276" w:type="dxa"/>
            <w:vMerge/>
          </w:tcPr>
          <w:p w14:paraId="31A9DF3D" w14:textId="77777777" w:rsidR="00443C43" w:rsidRPr="00443C43" w:rsidRDefault="00443C43" w:rsidP="00443C43">
            <w:pPr>
              <w:spacing w:before="120" w:after="120"/>
              <w:jc w:val="left"/>
              <w:rPr>
                <w:rFonts w:eastAsia="Arial"/>
                <w:lang w:val="en-US"/>
              </w:rPr>
            </w:pPr>
          </w:p>
        </w:tc>
        <w:tc>
          <w:tcPr>
            <w:tcW w:w="1275" w:type="dxa"/>
            <w:vMerge/>
          </w:tcPr>
          <w:p w14:paraId="5CE5F29D" w14:textId="77777777" w:rsidR="00443C43" w:rsidRPr="00443C43" w:rsidRDefault="00443C43"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7C994780" w14:textId="77777777" w:rsidR="00443C43" w:rsidRPr="00443C43" w:rsidRDefault="00443C43" w:rsidP="00443C43">
            <w:pPr>
              <w:spacing w:before="120" w:after="120"/>
              <w:jc w:val="left"/>
              <w:rPr>
                <w:rFonts w:eastAsia="Arial"/>
                <w:sz w:val="20"/>
                <w:szCs w:val="20"/>
                <w:lang w:val="en-US"/>
              </w:rPr>
            </w:pPr>
          </w:p>
        </w:tc>
        <w:tc>
          <w:tcPr>
            <w:tcW w:w="1134" w:type="dxa"/>
            <w:vMerge/>
          </w:tcPr>
          <w:p w14:paraId="1F58EADE" w14:textId="77777777" w:rsidR="00443C43" w:rsidRPr="00443C43" w:rsidRDefault="00443C43" w:rsidP="00443C43">
            <w:pPr>
              <w:spacing w:before="120" w:after="120"/>
              <w:jc w:val="left"/>
              <w:rPr>
                <w:rFonts w:eastAsia="Arial"/>
                <w:sz w:val="20"/>
                <w:szCs w:val="20"/>
                <w:lang w:val="en-US"/>
              </w:rPr>
            </w:pPr>
          </w:p>
        </w:tc>
        <w:tc>
          <w:tcPr>
            <w:tcW w:w="1478" w:type="dxa"/>
          </w:tcPr>
          <w:p w14:paraId="313719BF"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ED visits/ admissions</w:t>
            </w:r>
          </w:p>
        </w:tc>
        <w:tc>
          <w:tcPr>
            <w:tcW w:w="1215" w:type="dxa"/>
          </w:tcPr>
          <w:p w14:paraId="29E378B9"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Past-year ED visit and hospital admission</w:t>
            </w:r>
          </w:p>
        </w:tc>
        <w:tc>
          <w:tcPr>
            <w:tcW w:w="1276" w:type="dxa"/>
          </w:tcPr>
          <w:p w14:paraId="169B1DDD"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57D553CB"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BFBFBF"/>
          </w:tcPr>
          <w:p w14:paraId="2DFC688A"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w:t>
            </w:r>
          </w:p>
        </w:tc>
      </w:tr>
      <w:tr w:rsidR="00443C43" w:rsidRPr="00443C43" w14:paraId="62E7DD17" w14:textId="77777777" w:rsidTr="00CF2505">
        <w:tc>
          <w:tcPr>
            <w:tcW w:w="1413" w:type="dxa"/>
            <w:vMerge/>
          </w:tcPr>
          <w:p w14:paraId="7C40368C" w14:textId="77777777" w:rsidR="00443C43" w:rsidRPr="00443C43" w:rsidRDefault="00443C43" w:rsidP="00443C43">
            <w:pPr>
              <w:spacing w:before="120" w:after="120"/>
              <w:jc w:val="left"/>
              <w:rPr>
                <w:rFonts w:eastAsia="Arial"/>
                <w:b/>
                <w:bCs/>
                <w:lang w:val="en-US"/>
              </w:rPr>
            </w:pPr>
          </w:p>
        </w:tc>
        <w:tc>
          <w:tcPr>
            <w:tcW w:w="1276" w:type="dxa"/>
            <w:vMerge/>
          </w:tcPr>
          <w:p w14:paraId="46799F95" w14:textId="77777777" w:rsidR="00443C43" w:rsidRPr="00443C43" w:rsidRDefault="00443C43" w:rsidP="00443C43">
            <w:pPr>
              <w:spacing w:before="120" w:after="120"/>
              <w:jc w:val="left"/>
              <w:rPr>
                <w:rFonts w:eastAsia="Arial"/>
                <w:lang w:val="en-US"/>
              </w:rPr>
            </w:pPr>
          </w:p>
        </w:tc>
        <w:tc>
          <w:tcPr>
            <w:tcW w:w="1275" w:type="dxa"/>
            <w:vMerge/>
          </w:tcPr>
          <w:p w14:paraId="42EBE162" w14:textId="77777777" w:rsidR="00443C43" w:rsidRPr="00443C43" w:rsidRDefault="00443C43"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6E3246AA" w14:textId="77777777" w:rsidR="00443C43" w:rsidRPr="00443C43" w:rsidRDefault="00443C43" w:rsidP="00443C43">
            <w:pPr>
              <w:spacing w:before="120" w:after="120"/>
              <w:jc w:val="left"/>
              <w:rPr>
                <w:rFonts w:eastAsia="Arial"/>
                <w:sz w:val="20"/>
                <w:szCs w:val="20"/>
                <w:lang w:val="en-US"/>
              </w:rPr>
            </w:pPr>
          </w:p>
        </w:tc>
        <w:tc>
          <w:tcPr>
            <w:tcW w:w="1134" w:type="dxa"/>
            <w:vMerge/>
          </w:tcPr>
          <w:p w14:paraId="19CDCE56" w14:textId="77777777" w:rsidR="00443C43" w:rsidRPr="00443C43" w:rsidRDefault="00443C43" w:rsidP="00443C43">
            <w:pPr>
              <w:spacing w:before="120" w:after="120"/>
              <w:jc w:val="left"/>
              <w:rPr>
                <w:rFonts w:eastAsia="Arial"/>
                <w:sz w:val="20"/>
                <w:szCs w:val="20"/>
                <w:lang w:val="en-US"/>
              </w:rPr>
            </w:pPr>
          </w:p>
        </w:tc>
        <w:tc>
          <w:tcPr>
            <w:tcW w:w="1478" w:type="dxa"/>
          </w:tcPr>
          <w:p w14:paraId="07718659"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Mental health disorder</w:t>
            </w:r>
          </w:p>
        </w:tc>
        <w:tc>
          <w:tcPr>
            <w:tcW w:w="1215" w:type="dxa"/>
          </w:tcPr>
          <w:p w14:paraId="293BB44A"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Occurrence of mental disorders</w:t>
            </w:r>
          </w:p>
        </w:tc>
        <w:tc>
          <w:tcPr>
            <w:tcW w:w="1276" w:type="dxa"/>
          </w:tcPr>
          <w:p w14:paraId="728037F2"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3BEF408A"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648BD143" w14:textId="724F7925" w:rsidR="00443C43" w:rsidRPr="00443C43" w:rsidRDefault="00F46CF1" w:rsidP="00443C43">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6B06C395"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419AED1" w14:textId="77777777" w:rsidR="00F46CF1" w:rsidRPr="00443C43" w:rsidRDefault="00F46CF1" w:rsidP="00F46CF1">
            <w:pPr>
              <w:spacing w:before="120" w:after="120"/>
              <w:jc w:val="left"/>
              <w:rPr>
                <w:rFonts w:eastAsia="Arial"/>
                <w:b/>
                <w:bCs/>
                <w:lang w:val="en-US"/>
              </w:rPr>
            </w:pPr>
          </w:p>
        </w:tc>
        <w:tc>
          <w:tcPr>
            <w:tcW w:w="1276" w:type="dxa"/>
            <w:vMerge/>
          </w:tcPr>
          <w:p w14:paraId="1854849C" w14:textId="77777777" w:rsidR="00F46CF1" w:rsidRPr="00443C43" w:rsidRDefault="00F46CF1" w:rsidP="00F46CF1">
            <w:pPr>
              <w:spacing w:before="120" w:after="120"/>
              <w:jc w:val="left"/>
              <w:rPr>
                <w:rFonts w:eastAsia="Arial"/>
                <w:lang w:val="en-US"/>
              </w:rPr>
            </w:pPr>
          </w:p>
        </w:tc>
        <w:tc>
          <w:tcPr>
            <w:tcW w:w="1275" w:type="dxa"/>
            <w:vMerge/>
          </w:tcPr>
          <w:p w14:paraId="7D7011BC"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4F655AEC" w14:textId="77777777" w:rsidR="00F46CF1" w:rsidRPr="00443C43" w:rsidRDefault="00F46CF1" w:rsidP="00F46CF1">
            <w:pPr>
              <w:spacing w:before="120" w:after="120"/>
              <w:jc w:val="left"/>
              <w:rPr>
                <w:rFonts w:eastAsia="Arial"/>
                <w:sz w:val="20"/>
                <w:szCs w:val="20"/>
                <w:lang w:val="en-US"/>
              </w:rPr>
            </w:pPr>
          </w:p>
        </w:tc>
        <w:tc>
          <w:tcPr>
            <w:tcW w:w="1134" w:type="dxa"/>
            <w:vMerge/>
          </w:tcPr>
          <w:p w14:paraId="7E5DF2DC" w14:textId="77777777" w:rsidR="00F46CF1" w:rsidRPr="00443C43" w:rsidRDefault="00F46CF1" w:rsidP="00F46CF1">
            <w:pPr>
              <w:spacing w:before="120" w:after="120"/>
              <w:jc w:val="left"/>
              <w:rPr>
                <w:rFonts w:eastAsia="Arial"/>
                <w:sz w:val="20"/>
                <w:szCs w:val="20"/>
                <w:lang w:val="en-US"/>
              </w:rPr>
            </w:pPr>
          </w:p>
        </w:tc>
        <w:tc>
          <w:tcPr>
            <w:tcW w:w="1478" w:type="dxa"/>
          </w:tcPr>
          <w:p w14:paraId="753AEE0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Physical health</w:t>
            </w:r>
          </w:p>
        </w:tc>
        <w:tc>
          <w:tcPr>
            <w:tcW w:w="1215" w:type="dxa"/>
          </w:tcPr>
          <w:p w14:paraId="70CAC2E2"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Number of chronic medical conditions</w:t>
            </w:r>
          </w:p>
        </w:tc>
        <w:tc>
          <w:tcPr>
            <w:tcW w:w="1276" w:type="dxa"/>
          </w:tcPr>
          <w:p w14:paraId="2DA33C6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6A522A31"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6D2978A8" w14:textId="234F7F5B"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4EE5B199" w14:textId="77777777" w:rsidTr="00CF2505">
        <w:tc>
          <w:tcPr>
            <w:tcW w:w="1413" w:type="dxa"/>
            <w:vMerge/>
          </w:tcPr>
          <w:p w14:paraId="7D8A2363" w14:textId="77777777" w:rsidR="00F46CF1" w:rsidRPr="00443C43" w:rsidRDefault="00F46CF1" w:rsidP="00F46CF1">
            <w:pPr>
              <w:spacing w:before="120" w:after="120"/>
              <w:jc w:val="left"/>
              <w:rPr>
                <w:rFonts w:eastAsia="Arial"/>
                <w:b/>
                <w:bCs/>
                <w:lang w:val="en-US"/>
              </w:rPr>
            </w:pPr>
          </w:p>
        </w:tc>
        <w:tc>
          <w:tcPr>
            <w:tcW w:w="1276" w:type="dxa"/>
            <w:vMerge/>
          </w:tcPr>
          <w:p w14:paraId="377C7B56" w14:textId="77777777" w:rsidR="00F46CF1" w:rsidRPr="00443C43" w:rsidRDefault="00F46CF1" w:rsidP="00F46CF1">
            <w:pPr>
              <w:spacing w:before="120" w:after="120"/>
              <w:jc w:val="left"/>
              <w:rPr>
                <w:rFonts w:eastAsia="Arial"/>
                <w:lang w:val="en-US"/>
              </w:rPr>
            </w:pPr>
          </w:p>
        </w:tc>
        <w:tc>
          <w:tcPr>
            <w:tcW w:w="1275" w:type="dxa"/>
            <w:vMerge/>
          </w:tcPr>
          <w:p w14:paraId="3D945B26"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7F799086" w14:textId="77777777" w:rsidR="00F46CF1" w:rsidRPr="00443C43" w:rsidRDefault="00F46CF1" w:rsidP="00F46CF1">
            <w:pPr>
              <w:spacing w:before="120" w:after="120"/>
              <w:jc w:val="left"/>
              <w:rPr>
                <w:rFonts w:eastAsia="Arial"/>
                <w:sz w:val="20"/>
                <w:szCs w:val="20"/>
                <w:lang w:val="en-US"/>
              </w:rPr>
            </w:pPr>
          </w:p>
        </w:tc>
        <w:tc>
          <w:tcPr>
            <w:tcW w:w="1134" w:type="dxa"/>
            <w:vMerge/>
          </w:tcPr>
          <w:p w14:paraId="75AA6F12" w14:textId="77777777" w:rsidR="00F46CF1" w:rsidRPr="00443C43" w:rsidRDefault="00F46CF1" w:rsidP="00F46CF1">
            <w:pPr>
              <w:spacing w:before="120" w:after="120"/>
              <w:jc w:val="left"/>
              <w:rPr>
                <w:rFonts w:eastAsia="Arial"/>
                <w:sz w:val="20"/>
                <w:szCs w:val="20"/>
                <w:lang w:val="en-US"/>
              </w:rPr>
            </w:pPr>
          </w:p>
        </w:tc>
        <w:tc>
          <w:tcPr>
            <w:tcW w:w="1478" w:type="dxa"/>
          </w:tcPr>
          <w:p w14:paraId="2673F243"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Physical injury</w:t>
            </w:r>
          </w:p>
        </w:tc>
        <w:tc>
          <w:tcPr>
            <w:tcW w:w="1215" w:type="dxa"/>
          </w:tcPr>
          <w:p w14:paraId="4921BD65" w14:textId="7567356F" w:rsidR="00F46CF1" w:rsidRPr="00443C43" w:rsidRDefault="00F46CF1" w:rsidP="00F46CF1">
            <w:pPr>
              <w:spacing w:before="120" w:after="120"/>
              <w:jc w:val="left"/>
              <w:rPr>
                <w:rFonts w:eastAsia="Arial"/>
                <w:sz w:val="16"/>
                <w:szCs w:val="16"/>
                <w:lang w:val="en-US"/>
              </w:rPr>
            </w:pPr>
            <w:r w:rsidRPr="00FB7355">
              <w:rPr>
                <w:rFonts w:eastAsia="Arial"/>
                <w:sz w:val="16"/>
                <w:szCs w:val="16"/>
                <w:lang w:val="en-US"/>
              </w:rPr>
              <w:t>Any p</w:t>
            </w:r>
            <w:r w:rsidRPr="00443C43">
              <w:rPr>
                <w:rFonts w:eastAsia="Arial"/>
                <w:sz w:val="16"/>
                <w:szCs w:val="16"/>
                <w:lang w:val="en-US"/>
              </w:rPr>
              <w:t>ast-year injury that caused the person to seek medical help or cut down usual activities for &gt; half a day</w:t>
            </w:r>
          </w:p>
        </w:tc>
        <w:tc>
          <w:tcPr>
            <w:tcW w:w="1276" w:type="dxa"/>
          </w:tcPr>
          <w:p w14:paraId="2E6BA95A"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734CBD7B"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620E0514" w14:textId="07EC2B36"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25D9B9E7"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5CDB128C" w14:textId="77777777" w:rsidR="00F46CF1" w:rsidRPr="00443C43" w:rsidRDefault="00F46CF1" w:rsidP="00F46CF1">
            <w:pPr>
              <w:spacing w:before="120" w:after="120"/>
              <w:jc w:val="left"/>
              <w:rPr>
                <w:rFonts w:eastAsia="Arial"/>
                <w:b/>
                <w:bCs/>
                <w:lang w:val="en-US"/>
              </w:rPr>
            </w:pPr>
          </w:p>
        </w:tc>
        <w:tc>
          <w:tcPr>
            <w:tcW w:w="1276" w:type="dxa"/>
            <w:vMerge/>
          </w:tcPr>
          <w:p w14:paraId="5B636823" w14:textId="77777777" w:rsidR="00F46CF1" w:rsidRPr="00443C43" w:rsidRDefault="00F46CF1" w:rsidP="00F46CF1">
            <w:pPr>
              <w:spacing w:before="120" w:after="120"/>
              <w:jc w:val="left"/>
              <w:rPr>
                <w:rFonts w:eastAsia="Arial"/>
                <w:lang w:val="en-US"/>
              </w:rPr>
            </w:pPr>
          </w:p>
        </w:tc>
        <w:tc>
          <w:tcPr>
            <w:tcW w:w="1275" w:type="dxa"/>
          </w:tcPr>
          <w:p w14:paraId="0F9EFA68" w14:textId="091102FF" w:rsidR="00F46CF1" w:rsidRPr="00443C43" w:rsidRDefault="00F46CF1" w:rsidP="00F46CF1">
            <w:pPr>
              <w:spacing w:before="120" w:after="120"/>
              <w:jc w:val="left"/>
              <w:rPr>
                <w:rFonts w:eastAsia="Arial"/>
                <w:sz w:val="20"/>
                <w:szCs w:val="20"/>
                <w:lang w:val="en-US"/>
              </w:rPr>
            </w:pPr>
            <w:proofErr w:type="spellStart"/>
            <w:r w:rsidRPr="00443C43">
              <w:rPr>
                <w:rFonts w:eastAsia="Arial"/>
                <w:sz w:val="20"/>
                <w:szCs w:val="20"/>
                <w:lang w:val="en-US"/>
              </w:rPr>
              <w:t>Corroon</w:t>
            </w:r>
            <w:proofErr w:type="spellEnd"/>
            <w:r w:rsidRPr="00443C43">
              <w:rPr>
                <w:rFonts w:eastAsia="Arial"/>
                <w:sz w:val="20"/>
                <w:szCs w:val="20"/>
                <w:lang w:val="en-US"/>
              </w:rPr>
              <w:t xml:space="preserve"> et al., 2017</w:t>
            </w:r>
            <w:r w:rsidRPr="0065786C">
              <w:rPr>
                <w:sz w:val="20"/>
                <w:szCs w:val="24"/>
                <w:vertAlign w:val="superscript"/>
              </w:rPr>
              <w:t>108</w:t>
            </w:r>
          </w:p>
          <w:p w14:paraId="60F92CA3" w14:textId="2D3088E4"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Cross-sectional (study</w:t>
            </w:r>
            <w:r>
              <w:rPr>
                <w:rFonts w:eastAsia="Arial"/>
                <w:sz w:val="20"/>
                <w:szCs w:val="20"/>
                <w:lang w:val="en-US"/>
              </w:rPr>
              <w:t>-</w:t>
            </w:r>
            <w:r w:rsidRPr="00443C43">
              <w:rPr>
                <w:rFonts w:eastAsia="Arial"/>
                <w:sz w:val="20"/>
                <w:szCs w:val="20"/>
                <w:lang w:val="en-US"/>
              </w:rPr>
              <w:t>specific data)</w:t>
            </w:r>
          </w:p>
        </w:tc>
        <w:tc>
          <w:tcPr>
            <w:tcW w:w="1418" w:type="dxa"/>
            <w:shd w:val="clear" w:color="auto" w:fill="D9D9D9" w:themeFill="background1" w:themeFillShade="D9"/>
          </w:tcPr>
          <w:p w14:paraId="523266A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Medical (overseen by a physician or self-medicated) vs non-medical</w:t>
            </w:r>
          </w:p>
        </w:tc>
        <w:tc>
          <w:tcPr>
            <w:tcW w:w="1134" w:type="dxa"/>
          </w:tcPr>
          <w:p w14:paraId="7298A453"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64E502EE" w14:textId="07FCD552"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P</w:t>
            </w:r>
            <w:r>
              <w:rPr>
                <w:rFonts w:eastAsia="Arial"/>
                <w:sz w:val="20"/>
                <w:szCs w:val="20"/>
                <w:lang w:val="en-US"/>
              </w:rPr>
              <w:t>roblematic p</w:t>
            </w:r>
            <w:r w:rsidRPr="00443C43">
              <w:rPr>
                <w:rFonts w:eastAsia="Arial"/>
                <w:sz w:val="20"/>
                <w:szCs w:val="20"/>
                <w:lang w:val="en-US"/>
              </w:rPr>
              <w:t>rescription drug use</w:t>
            </w:r>
          </w:p>
        </w:tc>
        <w:tc>
          <w:tcPr>
            <w:tcW w:w="1215" w:type="dxa"/>
          </w:tcPr>
          <w:p w14:paraId="40AE4B30"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Substituting cannabis for a prescription drug</w:t>
            </w:r>
          </w:p>
        </w:tc>
        <w:tc>
          <w:tcPr>
            <w:tcW w:w="1276" w:type="dxa"/>
          </w:tcPr>
          <w:p w14:paraId="79874B66"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51–65 years</w:t>
            </w:r>
          </w:p>
        </w:tc>
        <w:tc>
          <w:tcPr>
            <w:tcW w:w="1149" w:type="dxa"/>
          </w:tcPr>
          <w:p w14:paraId="56647586"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66FD7E0E" w14:textId="32AA7859"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0A3762BB" w14:textId="77777777" w:rsidTr="00CF2505">
        <w:tc>
          <w:tcPr>
            <w:tcW w:w="1413" w:type="dxa"/>
            <w:vMerge/>
          </w:tcPr>
          <w:p w14:paraId="2CBD8C17" w14:textId="77777777" w:rsidR="00F46CF1" w:rsidRPr="00443C43" w:rsidRDefault="00F46CF1" w:rsidP="00F46CF1">
            <w:pPr>
              <w:spacing w:before="120" w:after="120"/>
              <w:jc w:val="left"/>
              <w:rPr>
                <w:rFonts w:eastAsia="Arial"/>
                <w:b/>
                <w:bCs/>
                <w:lang w:val="en-US"/>
              </w:rPr>
            </w:pPr>
          </w:p>
        </w:tc>
        <w:tc>
          <w:tcPr>
            <w:tcW w:w="1276" w:type="dxa"/>
          </w:tcPr>
          <w:p w14:paraId="7EB41888" w14:textId="05428305" w:rsidR="00F46CF1" w:rsidRPr="00443C43" w:rsidRDefault="00F46CF1" w:rsidP="00F46CF1">
            <w:pPr>
              <w:spacing w:before="120" w:after="120"/>
              <w:jc w:val="left"/>
              <w:rPr>
                <w:rFonts w:eastAsia="Arial"/>
                <w:lang w:val="en-US"/>
              </w:rPr>
            </w:pPr>
            <w:r>
              <w:rPr>
                <w:rFonts w:eastAsia="Arial"/>
                <w:lang w:val="en-US"/>
              </w:rPr>
              <w:t>M</w:t>
            </w:r>
            <w:r w:rsidRPr="00443C43">
              <w:rPr>
                <w:rFonts w:eastAsia="Arial"/>
                <w:lang w:val="en-US"/>
              </w:rPr>
              <w:t>edical cannabis</w:t>
            </w:r>
            <w:r>
              <w:rPr>
                <w:rFonts w:eastAsia="Arial"/>
                <w:lang w:val="en-US"/>
              </w:rPr>
              <w:t xml:space="preserve"> use</w:t>
            </w:r>
          </w:p>
        </w:tc>
        <w:tc>
          <w:tcPr>
            <w:tcW w:w="1275" w:type="dxa"/>
          </w:tcPr>
          <w:p w14:paraId="5ACBA93C" w14:textId="05BB2678" w:rsidR="00F46CF1" w:rsidRDefault="00F46CF1" w:rsidP="00F46CF1">
            <w:pPr>
              <w:spacing w:before="120" w:after="120"/>
              <w:jc w:val="left"/>
              <w:rPr>
                <w:rFonts w:eastAsia="Arial"/>
                <w:sz w:val="20"/>
                <w:szCs w:val="20"/>
                <w:lang w:val="en-US"/>
              </w:rPr>
            </w:pPr>
            <w:r w:rsidRPr="00443C43">
              <w:rPr>
                <w:rFonts w:eastAsia="Arial"/>
                <w:sz w:val="20"/>
                <w:szCs w:val="20"/>
                <w:lang w:val="en-US"/>
              </w:rPr>
              <w:t>Croker et al., 2021</w:t>
            </w:r>
            <w:r w:rsidRPr="0065786C">
              <w:rPr>
                <w:sz w:val="20"/>
                <w:szCs w:val="24"/>
                <w:vertAlign w:val="superscript"/>
              </w:rPr>
              <w:t>109</w:t>
            </w:r>
          </w:p>
          <w:p w14:paraId="5E1E12DD" w14:textId="26B5C70C" w:rsidR="00F46CF1" w:rsidRPr="00443C43" w:rsidRDefault="00F46CF1" w:rsidP="00F46CF1">
            <w:pPr>
              <w:spacing w:before="120" w:after="120"/>
              <w:jc w:val="left"/>
              <w:rPr>
                <w:rFonts w:eastAsia="Arial"/>
                <w:sz w:val="20"/>
                <w:szCs w:val="20"/>
                <w:lang w:val="en-US"/>
              </w:rPr>
            </w:pPr>
            <w:r>
              <w:rPr>
                <w:rFonts w:eastAsia="Arial"/>
                <w:sz w:val="20"/>
                <w:szCs w:val="20"/>
                <w:lang w:val="en-US"/>
              </w:rPr>
              <w:t>Cross-sectional (study-specific survey)</w:t>
            </w:r>
          </w:p>
        </w:tc>
        <w:tc>
          <w:tcPr>
            <w:tcW w:w="1418" w:type="dxa"/>
            <w:shd w:val="clear" w:color="auto" w:fill="D9D9D9" w:themeFill="background1" w:themeFillShade="D9"/>
          </w:tcPr>
          <w:p w14:paraId="42C6930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Mixed-purpose use vs medical use</w:t>
            </w:r>
          </w:p>
        </w:tc>
        <w:tc>
          <w:tcPr>
            <w:tcW w:w="1134" w:type="dxa"/>
          </w:tcPr>
          <w:p w14:paraId="57047A11"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61CBD34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Opioid use</w:t>
            </w:r>
          </w:p>
        </w:tc>
        <w:tc>
          <w:tcPr>
            <w:tcW w:w="1215" w:type="dxa"/>
          </w:tcPr>
          <w:p w14:paraId="6375940C"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Past-year opioid use</w:t>
            </w:r>
          </w:p>
        </w:tc>
        <w:tc>
          <w:tcPr>
            <w:tcW w:w="1276" w:type="dxa"/>
          </w:tcPr>
          <w:p w14:paraId="30BD8C38"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72B8FD7C"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FF7D6C"/>
          </w:tcPr>
          <w:p w14:paraId="3DE16047" w14:textId="42C4D26E" w:rsidR="00F46CF1" w:rsidRPr="00443C4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443C43" w:rsidRPr="00443C43" w14:paraId="57519CCA"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val="restart"/>
          </w:tcPr>
          <w:p w14:paraId="09D358BC" w14:textId="77777777" w:rsidR="00443C43" w:rsidRPr="00443C43" w:rsidRDefault="00443C43" w:rsidP="00443C43">
            <w:pPr>
              <w:spacing w:before="120" w:after="120"/>
              <w:jc w:val="left"/>
              <w:rPr>
                <w:rFonts w:eastAsia="Arial"/>
                <w:b/>
                <w:bCs/>
                <w:lang w:val="en-US"/>
              </w:rPr>
            </w:pPr>
            <w:r w:rsidRPr="00443C43">
              <w:rPr>
                <w:rFonts w:eastAsia="Arial"/>
                <w:b/>
                <w:bCs/>
                <w:lang w:val="en-US"/>
              </w:rPr>
              <w:t>Doses</w:t>
            </w:r>
          </w:p>
        </w:tc>
        <w:tc>
          <w:tcPr>
            <w:tcW w:w="1276" w:type="dxa"/>
          </w:tcPr>
          <w:p w14:paraId="0BFFCBA3" w14:textId="77777777" w:rsidR="00443C43" w:rsidRPr="00443C43" w:rsidRDefault="00443C43" w:rsidP="00443C43">
            <w:pPr>
              <w:spacing w:before="120" w:after="120"/>
              <w:jc w:val="left"/>
              <w:rPr>
                <w:rFonts w:eastAsia="Arial"/>
                <w:lang w:val="en-US"/>
              </w:rPr>
            </w:pPr>
            <w:r w:rsidRPr="00443C43">
              <w:rPr>
                <w:rFonts w:eastAsia="Arial"/>
                <w:lang w:val="en-US"/>
              </w:rPr>
              <w:t>End-stage cancer</w:t>
            </w:r>
          </w:p>
        </w:tc>
        <w:tc>
          <w:tcPr>
            <w:tcW w:w="1275" w:type="dxa"/>
          </w:tcPr>
          <w:p w14:paraId="6F33ED8D" w14:textId="7EEB1A71"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Taha et al., 2019</w:t>
            </w:r>
            <w:r w:rsidR="0065786C" w:rsidRPr="0065786C">
              <w:rPr>
                <w:sz w:val="20"/>
                <w:szCs w:val="24"/>
                <w:vertAlign w:val="superscript"/>
              </w:rPr>
              <w:t>151</w:t>
            </w:r>
          </w:p>
          <w:p w14:paraId="362D230C" w14:textId="77777777" w:rsidR="00443C43" w:rsidRPr="00443C43" w:rsidRDefault="00443C43" w:rsidP="00443C43">
            <w:pPr>
              <w:spacing w:before="120" w:after="120"/>
              <w:jc w:val="left"/>
              <w:rPr>
                <w:rFonts w:eastAsia="Arial"/>
                <w:sz w:val="20"/>
                <w:szCs w:val="20"/>
                <w:lang w:val="en-US"/>
              </w:rPr>
            </w:pPr>
            <w:r w:rsidRPr="00443C43">
              <w:rPr>
                <w:rFonts w:eastAsia="Arial"/>
                <w:sz w:val="16"/>
                <w:szCs w:val="16"/>
                <w:lang w:val="en-US"/>
              </w:rPr>
              <w:t>Retrospective cohort</w:t>
            </w:r>
          </w:p>
        </w:tc>
        <w:tc>
          <w:tcPr>
            <w:tcW w:w="1418" w:type="dxa"/>
            <w:shd w:val="clear" w:color="auto" w:fill="D9D9D9" w:themeFill="background1" w:themeFillShade="D9"/>
          </w:tcPr>
          <w:p w14:paraId="7CA661B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20 g/month vs ≥ 30 g/month</w:t>
            </w:r>
          </w:p>
        </w:tc>
        <w:tc>
          <w:tcPr>
            <w:tcW w:w="1134" w:type="dxa"/>
          </w:tcPr>
          <w:p w14:paraId="15FEB77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Medical cannabis of varying THC:CBD ratios, supplied from six different companies in Israel</w:t>
            </w:r>
          </w:p>
        </w:tc>
        <w:tc>
          <w:tcPr>
            <w:tcW w:w="1478" w:type="dxa"/>
          </w:tcPr>
          <w:p w14:paraId="67D0328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Response to treatment of another therapy</w:t>
            </w:r>
          </w:p>
        </w:tc>
        <w:tc>
          <w:tcPr>
            <w:tcW w:w="1215" w:type="dxa"/>
          </w:tcPr>
          <w:p w14:paraId="392E7181"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Percent of patients with complete or partial response to nivolumab for advanced lung cancer, renal carcinoma, or malignant melanoma</w:t>
            </w:r>
          </w:p>
        </w:tc>
        <w:tc>
          <w:tcPr>
            <w:tcW w:w="1276" w:type="dxa"/>
          </w:tcPr>
          <w:p w14:paraId="45C5384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3A0C0003"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BFBFBF"/>
          </w:tcPr>
          <w:p w14:paraId="79694A3A"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w:t>
            </w:r>
          </w:p>
        </w:tc>
      </w:tr>
      <w:tr w:rsidR="002C5725" w:rsidRPr="00443C43" w14:paraId="079AC8EA" w14:textId="77777777" w:rsidTr="00CF2505">
        <w:tc>
          <w:tcPr>
            <w:tcW w:w="1413" w:type="dxa"/>
            <w:vMerge/>
          </w:tcPr>
          <w:p w14:paraId="70F8C5D3" w14:textId="77777777" w:rsidR="00443C43" w:rsidRPr="00443C43" w:rsidRDefault="00443C43" w:rsidP="00443C43">
            <w:pPr>
              <w:spacing w:before="120" w:after="120"/>
              <w:jc w:val="left"/>
              <w:rPr>
                <w:rFonts w:eastAsia="Arial"/>
                <w:b/>
                <w:bCs/>
                <w:lang w:val="en-US"/>
              </w:rPr>
            </w:pPr>
          </w:p>
        </w:tc>
        <w:tc>
          <w:tcPr>
            <w:tcW w:w="1276" w:type="dxa"/>
            <w:vMerge w:val="restart"/>
          </w:tcPr>
          <w:p w14:paraId="12CA24B2" w14:textId="172BA35A" w:rsidR="00443C43" w:rsidRPr="00443C43" w:rsidRDefault="00305A41" w:rsidP="00443C43">
            <w:pPr>
              <w:spacing w:before="120" w:after="120"/>
              <w:jc w:val="left"/>
              <w:rPr>
                <w:rFonts w:eastAsia="Arial"/>
                <w:lang w:val="en-US"/>
              </w:rPr>
            </w:pPr>
            <w:r>
              <w:rPr>
                <w:rFonts w:eastAsia="Arial"/>
                <w:lang w:val="en-US"/>
              </w:rPr>
              <w:t>Cannabis use in the o</w:t>
            </w:r>
            <w:r w:rsidR="00443C43" w:rsidRPr="00443C43">
              <w:rPr>
                <w:rFonts w:eastAsia="Arial"/>
                <w:lang w:val="en-US"/>
              </w:rPr>
              <w:t xml:space="preserve">lder general public </w:t>
            </w:r>
          </w:p>
        </w:tc>
        <w:tc>
          <w:tcPr>
            <w:tcW w:w="1275" w:type="dxa"/>
            <w:vMerge w:val="restart"/>
          </w:tcPr>
          <w:p w14:paraId="6FEE69A6" w14:textId="22C60662"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Choi et al., 2018</w:t>
            </w:r>
            <w:r w:rsidR="0065786C" w:rsidRPr="0065786C">
              <w:rPr>
                <w:sz w:val="20"/>
                <w:szCs w:val="24"/>
                <w:vertAlign w:val="superscript"/>
              </w:rPr>
              <w:t>106</w:t>
            </w:r>
          </w:p>
          <w:p w14:paraId="2857ECD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Cross-sectional NESARC-III 2012-13</w:t>
            </w:r>
          </w:p>
        </w:tc>
        <w:tc>
          <w:tcPr>
            <w:tcW w:w="1418" w:type="dxa"/>
            <w:vMerge w:val="restart"/>
            <w:shd w:val="clear" w:color="auto" w:fill="D9D9D9" w:themeFill="background1" w:themeFillShade="D9"/>
          </w:tcPr>
          <w:p w14:paraId="50266899"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Number of joints usually smoked in a day in the past 12 months</w:t>
            </w:r>
          </w:p>
        </w:tc>
        <w:tc>
          <w:tcPr>
            <w:tcW w:w="1134" w:type="dxa"/>
            <w:vMerge w:val="restart"/>
          </w:tcPr>
          <w:p w14:paraId="6C8783A8"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25D2A836"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ED visits/ admissions</w:t>
            </w:r>
          </w:p>
        </w:tc>
        <w:tc>
          <w:tcPr>
            <w:tcW w:w="1215" w:type="dxa"/>
          </w:tcPr>
          <w:p w14:paraId="1D8BF3EA"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Past-year ED visit</w:t>
            </w:r>
          </w:p>
        </w:tc>
        <w:tc>
          <w:tcPr>
            <w:tcW w:w="1276" w:type="dxa"/>
          </w:tcPr>
          <w:p w14:paraId="1D1918C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66D72ED3"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9FF99"/>
          </w:tcPr>
          <w:p w14:paraId="682C53E1" w14:textId="5E12DB44" w:rsidR="00443C43" w:rsidRPr="00443C43" w:rsidRDefault="006F6DF5" w:rsidP="00443C43">
            <w:pPr>
              <w:spacing w:before="120" w:after="120"/>
              <w:jc w:val="left"/>
              <w:rPr>
                <w:rFonts w:eastAsia="Arial"/>
                <w:sz w:val="20"/>
                <w:szCs w:val="20"/>
                <w:lang w:val="en-US"/>
              </w:rPr>
            </w:pPr>
            <w:r>
              <w:rPr>
                <w:rFonts w:eastAsia="Arial"/>
                <w:sz w:val="20"/>
                <w:szCs w:val="20"/>
                <w:lang w:val="en-US"/>
              </w:rPr>
              <w:t>Negative association</w:t>
            </w:r>
          </w:p>
        </w:tc>
      </w:tr>
      <w:tr w:rsidR="00F46CF1" w:rsidRPr="00443C43" w14:paraId="4C96FBE8"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581A7B3E" w14:textId="77777777" w:rsidR="00F46CF1" w:rsidRPr="00443C43" w:rsidRDefault="00F46CF1" w:rsidP="00F46CF1">
            <w:pPr>
              <w:spacing w:before="120" w:after="120"/>
              <w:jc w:val="left"/>
              <w:rPr>
                <w:rFonts w:eastAsia="Arial"/>
                <w:b/>
                <w:bCs/>
                <w:lang w:val="en-US"/>
              </w:rPr>
            </w:pPr>
          </w:p>
        </w:tc>
        <w:tc>
          <w:tcPr>
            <w:tcW w:w="1276" w:type="dxa"/>
            <w:vMerge/>
          </w:tcPr>
          <w:p w14:paraId="0AF6E93F" w14:textId="77777777" w:rsidR="00F46CF1" w:rsidRPr="00443C43" w:rsidRDefault="00F46CF1" w:rsidP="00F46CF1">
            <w:pPr>
              <w:spacing w:before="120" w:after="120"/>
              <w:jc w:val="left"/>
              <w:rPr>
                <w:rFonts w:eastAsia="Arial"/>
                <w:lang w:val="en-US"/>
              </w:rPr>
            </w:pPr>
          </w:p>
        </w:tc>
        <w:tc>
          <w:tcPr>
            <w:tcW w:w="1275" w:type="dxa"/>
            <w:vMerge/>
          </w:tcPr>
          <w:p w14:paraId="3D5EC2B2"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775FF1F7" w14:textId="77777777" w:rsidR="00F46CF1" w:rsidRPr="00443C43" w:rsidRDefault="00F46CF1" w:rsidP="00F46CF1">
            <w:pPr>
              <w:spacing w:before="120" w:after="120"/>
              <w:jc w:val="left"/>
              <w:rPr>
                <w:rFonts w:eastAsia="Arial"/>
                <w:sz w:val="20"/>
                <w:szCs w:val="20"/>
                <w:lang w:val="en-US"/>
              </w:rPr>
            </w:pPr>
          </w:p>
        </w:tc>
        <w:tc>
          <w:tcPr>
            <w:tcW w:w="1134" w:type="dxa"/>
            <w:vMerge/>
          </w:tcPr>
          <w:p w14:paraId="36D27FA0" w14:textId="77777777" w:rsidR="00F46CF1" w:rsidRPr="00443C43" w:rsidRDefault="00F46CF1" w:rsidP="00F46CF1">
            <w:pPr>
              <w:spacing w:before="120" w:after="120"/>
              <w:jc w:val="left"/>
              <w:rPr>
                <w:rFonts w:eastAsia="Arial"/>
                <w:sz w:val="20"/>
                <w:szCs w:val="20"/>
                <w:lang w:val="en-US"/>
              </w:rPr>
            </w:pPr>
          </w:p>
        </w:tc>
        <w:tc>
          <w:tcPr>
            <w:tcW w:w="1478" w:type="dxa"/>
          </w:tcPr>
          <w:p w14:paraId="4476F05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Physical injury</w:t>
            </w:r>
          </w:p>
        </w:tc>
        <w:tc>
          <w:tcPr>
            <w:tcW w:w="1215" w:type="dxa"/>
          </w:tcPr>
          <w:p w14:paraId="21F03EC9"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 xml:space="preserve">Past-year any injury that caused the person to seek medical help or </w:t>
            </w:r>
            <w:r w:rsidRPr="00443C43">
              <w:rPr>
                <w:rFonts w:eastAsia="Arial"/>
                <w:sz w:val="16"/>
                <w:szCs w:val="16"/>
                <w:lang w:val="en-US"/>
              </w:rPr>
              <w:lastRenderedPageBreak/>
              <w:t>cut down usual activities for &gt; half a day</w:t>
            </w:r>
          </w:p>
        </w:tc>
        <w:tc>
          <w:tcPr>
            <w:tcW w:w="1276" w:type="dxa"/>
          </w:tcPr>
          <w:p w14:paraId="18A5696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lastRenderedPageBreak/>
              <w:t>NA</w:t>
            </w:r>
          </w:p>
        </w:tc>
        <w:tc>
          <w:tcPr>
            <w:tcW w:w="1149" w:type="dxa"/>
          </w:tcPr>
          <w:p w14:paraId="1CCA749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FF7D6C"/>
          </w:tcPr>
          <w:p w14:paraId="1DE746E2" w14:textId="6EDF51F4" w:rsidR="00F46CF1" w:rsidRPr="00443C4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F46CF1" w:rsidRPr="00443C43" w14:paraId="0569CF3B" w14:textId="77777777" w:rsidTr="00CF2505">
        <w:tc>
          <w:tcPr>
            <w:tcW w:w="1413" w:type="dxa"/>
            <w:vMerge/>
          </w:tcPr>
          <w:p w14:paraId="574AC8C6" w14:textId="77777777" w:rsidR="00F46CF1" w:rsidRPr="00443C43" w:rsidRDefault="00F46CF1" w:rsidP="00F46CF1">
            <w:pPr>
              <w:spacing w:before="120" w:after="120"/>
              <w:jc w:val="left"/>
              <w:rPr>
                <w:rFonts w:eastAsia="Arial"/>
                <w:b/>
                <w:bCs/>
                <w:lang w:val="en-US"/>
              </w:rPr>
            </w:pPr>
          </w:p>
        </w:tc>
        <w:tc>
          <w:tcPr>
            <w:tcW w:w="1276" w:type="dxa"/>
            <w:vMerge/>
          </w:tcPr>
          <w:p w14:paraId="6B05376F" w14:textId="77777777" w:rsidR="00F46CF1" w:rsidRPr="00443C43" w:rsidRDefault="00F46CF1" w:rsidP="00F46CF1">
            <w:pPr>
              <w:spacing w:before="120" w:after="120"/>
              <w:jc w:val="left"/>
              <w:rPr>
                <w:rFonts w:eastAsia="Arial"/>
                <w:lang w:val="en-US"/>
              </w:rPr>
            </w:pPr>
          </w:p>
        </w:tc>
        <w:tc>
          <w:tcPr>
            <w:tcW w:w="1275" w:type="dxa"/>
            <w:vMerge w:val="restart"/>
          </w:tcPr>
          <w:p w14:paraId="422C7F8E" w14:textId="6F05EC0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Choi et al., 2016b</w:t>
            </w:r>
            <w:r w:rsidRPr="0065786C">
              <w:rPr>
                <w:sz w:val="20"/>
                <w:szCs w:val="24"/>
                <w:vertAlign w:val="superscript"/>
              </w:rPr>
              <w:t>105</w:t>
            </w:r>
          </w:p>
          <w:p w14:paraId="4026498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Cross-sectional NESARC-III 2012-13</w:t>
            </w:r>
          </w:p>
        </w:tc>
        <w:tc>
          <w:tcPr>
            <w:tcW w:w="1418" w:type="dxa"/>
            <w:vMerge w:val="restart"/>
            <w:shd w:val="clear" w:color="auto" w:fill="D9D9D9" w:themeFill="background1" w:themeFillShade="D9"/>
          </w:tcPr>
          <w:p w14:paraId="17DF527A"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Number of joints when using the most</w:t>
            </w:r>
          </w:p>
        </w:tc>
        <w:tc>
          <w:tcPr>
            <w:tcW w:w="1134" w:type="dxa"/>
            <w:vMerge w:val="restart"/>
          </w:tcPr>
          <w:p w14:paraId="6D6BE00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5E7E0784"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Illicit drug use</w:t>
            </w:r>
          </w:p>
        </w:tc>
        <w:tc>
          <w:tcPr>
            <w:tcW w:w="1215" w:type="dxa"/>
          </w:tcPr>
          <w:p w14:paraId="23F33BC8"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Lifetime occurrence of any drug use disorders, including marijuana and other drug use disorders</w:t>
            </w:r>
          </w:p>
        </w:tc>
        <w:tc>
          <w:tcPr>
            <w:tcW w:w="1276" w:type="dxa"/>
          </w:tcPr>
          <w:p w14:paraId="45491F8E"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214C516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01100"/>
          </w:tcPr>
          <w:p w14:paraId="07DB5C1F" w14:textId="6352D80D"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67A7F215"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473FC63A" w14:textId="77777777" w:rsidR="00F46CF1" w:rsidRPr="00443C43" w:rsidRDefault="00F46CF1" w:rsidP="00F46CF1">
            <w:pPr>
              <w:spacing w:before="120" w:after="120"/>
              <w:jc w:val="left"/>
              <w:rPr>
                <w:rFonts w:eastAsia="Arial"/>
                <w:b/>
                <w:bCs/>
                <w:lang w:val="en-US"/>
              </w:rPr>
            </w:pPr>
          </w:p>
        </w:tc>
        <w:tc>
          <w:tcPr>
            <w:tcW w:w="1276" w:type="dxa"/>
            <w:vMerge/>
          </w:tcPr>
          <w:p w14:paraId="74A476F5" w14:textId="77777777" w:rsidR="00F46CF1" w:rsidRPr="00443C43" w:rsidRDefault="00F46CF1" w:rsidP="00F46CF1">
            <w:pPr>
              <w:spacing w:before="120" w:after="120"/>
              <w:jc w:val="left"/>
              <w:rPr>
                <w:rFonts w:eastAsia="Arial"/>
                <w:lang w:val="en-US"/>
              </w:rPr>
            </w:pPr>
          </w:p>
        </w:tc>
        <w:tc>
          <w:tcPr>
            <w:tcW w:w="1275" w:type="dxa"/>
            <w:vMerge/>
          </w:tcPr>
          <w:p w14:paraId="647497AD"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67EBBFA8" w14:textId="77777777" w:rsidR="00F46CF1" w:rsidRPr="00443C43" w:rsidRDefault="00F46CF1" w:rsidP="00F46CF1">
            <w:pPr>
              <w:spacing w:before="120" w:after="120"/>
              <w:jc w:val="left"/>
              <w:rPr>
                <w:rFonts w:eastAsia="Arial"/>
                <w:sz w:val="20"/>
                <w:szCs w:val="20"/>
                <w:lang w:val="en-US"/>
              </w:rPr>
            </w:pPr>
          </w:p>
        </w:tc>
        <w:tc>
          <w:tcPr>
            <w:tcW w:w="1134" w:type="dxa"/>
            <w:vMerge/>
          </w:tcPr>
          <w:p w14:paraId="5A247AE1" w14:textId="77777777" w:rsidR="00F46CF1" w:rsidRPr="00443C43" w:rsidRDefault="00F46CF1" w:rsidP="00F46CF1">
            <w:pPr>
              <w:spacing w:before="120" w:after="120"/>
              <w:jc w:val="left"/>
              <w:rPr>
                <w:rFonts w:eastAsia="Arial"/>
                <w:sz w:val="20"/>
                <w:szCs w:val="20"/>
                <w:lang w:val="en-US"/>
              </w:rPr>
            </w:pPr>
          </w:p>
        </w:tc>
        <w:tc>
          <w:tcPr>
            <w:tcW w:w="1478" w:type="dxa"/>
          </w:tcPr>
          <w:p w14:paraId="448AE454"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Mental health disorder</w:t>
            </w:r>
          </w:p>
        </w:tc>
        <w:tc>
          <w:tcPr>
            <w:tcW w:w="1215" w:type="dxa"/>
          </w:tcPr>
          <w:p w14:paraId="1F663526"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Lifetime occurrence of any mental disorders, including major depressive disorder, anxiety disorder, PTSD, and bipolar 1 disorder and/or manic or hypomanic episodes</w:t>
            </w:r>
          </w:p>
        </w:tc>
        <w:tc>
          <w:tcPr>
            <w:tcW w:w="1276" w:type="dxa"/>
          </w:tcPr>
          <w:p w14:paraId="2F11A2FC"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52A66F8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FF7D6C"/>
          </w:tcPr>
          <w:p w14:paraId="56111037" w14:textId="4653BD2D" w:rsidR="00F46CF1" w:rsidRPr="00443C4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6F6DF5" w:rsidRPr="00443C43" w14:paraId="7B4EFEFC" w14:textId="77777777" w:rsidTr="00CF2505">
        <w:tc>
          <w:tcPr>
            <w:tcW w:w="1413" w:type="dxa"/>
            <w:vMerge/>
          </w:tcPr>
          <w:p w14:paraId="30FF033F" w14:textId="77777777" w:rsidR="006F6DF5" w:rsidRPr="00443C43" w:rsidRDefault="006F6DF5" w:rsidP="006F6DF5">
            <w:pPr>
              <w:spacing w:before="120" w:after="120"/>
              <w:jc w:val="left"/>
              <w:rPr>
                <w:rFonts w:eastAsia="Arial"/>
                <w:b/>
                <w:bCs/>
                <w:lang w:val="en-US"/>
              </w:rPr>
            </w:pPr>
          </w:p>
        </w:tc>
        <w:tc>
          <w:tcPr>
            <w:tcW w:w="1276" w:type="dxa"/>
            <w:vMerge w:val="restart"/>
          </w:tcPr>
          <w:p w14:paraId="422C45C7" w14:textId="230C21D6" w:rsidR="006F6DF5" w:rsidRPr="0090785E" w:rsidRDefault="006F6DF5" w:rsidP="006F6DF5">
            <w:pPr>
              <w:spacing w:before="120" w:after="120"/>
              <w:jc w:val="left"/>
              <w:rPr>
                <w:rFonts w:eastAsia="Arial"/>
                <w:lang w:val="en-US"/>
              </w:rPr>
            </w:pPr>
            <w:r w:rsidRPr="00F5076D">
              <w:rPr>
                <w:rFonts w:eastAsia="Arial"/>
                <w:sz w:val="20"/>
                <w:szCs w:val="20"/>
                <w:lang w:val="en-US"/>
              </w:rPr>
              <w:t xml:space="preserve">Healthy </w:t>
            </w:r>
            <w:r w:rsidRPr="0090785E">
              <w:rPr>
                <w:rFonts w:eastAsia="Arial"/>
                <w:sz w:val="20"/>
                <w:szCs w:val="20"/>
                <w:lang w:val="en-US"/>
              </w:rPr>
              <w:t>older ad</w:t>
            </w:r>
            <w:r w:rsidRPr="00D41A99">
              <w:rPr>
                <w:rFonts w:eastAsia="Arial"/>
                <w:sz w:val="20"/>
                <w:szCs w:val="20"/>
                <w:lang w:val="en-US"/>
              </w:rPr>
              <w:t>ult</w:t>
            </w:r>
            <w:r w:rsidRPr="00F5076D">
              <w:rPr>
                <w:rFonts w:eastAsia="Arial"/>
                <w:sz w:val="20"/>
                <w:szCs w:val="20"/>
                <w:lang w:val="en-US"/>
              </w:rPr>
              <w:t xml:space="preserve">s who used recreational cannabis </w:t>
            </w:r>
          </w:p>
        </w:tc>
        <w:tc>
          <w:tcPr>
            <w:tcW w:w="1275" w:type="dxa"/>
            <w:vMerge w:val="restart"/>
          </w:tcPr>
          <w:p w14:paraId="377DBE7B" w14:textId="7F2DA4FC" w:rsidR="006F6DF5" w:rsidRPr="00F5076D" w:rsidRDefault="006F6DF5" w:rsidP="006F6DF5">
            <w:pPr>
              <w:spacing w:before="120" w:after="120"/>
              <w:jc w:val="left"/>
              <w:rPr>
                <w:rFonts w:eastAsia="Arial"/>
                <w:sz w:val="20"/>
                <w:szCs w:val="20"/>
                <w:lang w:val="en-US"/>
              </w:rPr>
            </w:pPr>
            <w:r w:rsidRPr="00D41A99">
              <w:rPr>
                <w:rFonts w:eastAsia="Arial"/>
                <w:sz w:val="20"/>
                <w:szCs w:val="20"/>
                <w:lang w:val="en-US"/>
              </w:rPr>
              <w:t>Thayer et al., 2018</w:t>
            </w:r>
            <w:r w:rsidRPr="0065786C">
              <w:rPr>
                <w:sz w:val="20"/>
                <w:szCs w:val="24"/>
                <w:vertAlign w:val="superscript"/>
              </w:rPr>
              <w:t>152</w:t>
            </w:r>
          </w:p>
          <w:p w14:paraId="6E0150B1" w14:textId="6E72850E" w:rsidR="006F6DF5" w:rsidRPr="00D41A99" w:rsidRDefault="006F6DF5" w:rsidP="006F6DF5">
            <w:pPr>
              <w:spacing w:before="120" w:after="120"/>
              <w:jc w:val="left"/>
              <w:rPr>
                <w:rFonts w:eastAsia="Arial"/>
                <w:sz w:val="20"/>
                <w:szCs w:val="20"/>
                <w:lang w:val="en-US"/>
              </w:rPr>
            </w:pPr>
            <w:r>
              <w:rPr>
                <w:rFonts w:eastAsia="Arial"/>
                <w:sz w:val="20"/>
                <w:szCs w:val="20"/>
                <w:lang w:val="en-US"/>
              </w:rPr>
              <w:t>Cross-sectional</w:t>
            </w:r>
          </w:p>
        </w:tc>
        <w:tc>
          <w:tcPr>
            <w:tcW w:w="1418" w:type="dxa"/>
            <w:vMerge w:val="restart"/>
            <w:shd w:val="clear" w:color="auto" w:fill="D9D9D9" w:themeFill="background1" w:themeFillShade="D9"/>
          </w:tcPr>
          <w:p w14:paraId="4381989A" w14:textId="77777777" w:rsidR="006F6DF5" w:rsidRPr="00DF7588" w:rsidRDefault="006F6DF5" w:rsidP="006F6DF5">
            <w:pPr>
              <w:spacing w:before="120" w:after="120"/>
              <w:jc w:val="left"/>
              <w:rPr>
                <w:rFonts w:eastAsia="Arial"/>
                <w:sz w:val="20"/>
                <w:szCs w:val="20"/>
                <w:lang w:val="en-US"/>
              </w:rPr>
            </w:pPr>
            <w:r w:rsidRPr="0018385C">
              <w:rPr>
                <w:rFonts w:eastAsia="Arial"/>
                <w:sz w:val="20"/>
                <w:szCs w:val="20"/>
                <w:lang w:val="en-US"/>
              </w:rPr>
              <w:t>Estimated total THC consumption in the previous 90 days</w:t>
            </w:r>
          </w:p>
        </w:tc>
        <w:tc>
          <w:tcPr>
            <w:tcW w:w="1134" w:type="dxa"/>
            <w:vMerge w:val="restart"/>
          </w:tcPr>
          <w:p w14:paraId="5DC820FD" w14:textId="77777777" w:rsidR="006F6DF5" w:rsidRPr="005C75E3" w:rsidRDefault="006F6DF5" w:rsidP="006F6DF5">
            <w:pPr>
              <w:spacing w:before="120" w:after="120"/>
              <w:jc w:val="left"/>
              <w:rPr>
                <w:rFonts w:eastAsia="Arial"/>
                <w:sz w:val="20"/>
                <w:szCs w:val="20"/>
                <w:lang w:val="en-US"/>
              </w:rPr>
            </w:pPr>
            <w:r w:rsidRPr="00DF7588">
              <w:rPr>
                <w:rFonts w:eastAsia="Arial"/>
                <w:sz w:val="20"/>
                <w:szCs w:val="20"/>
                <w:lang w:val="en-US"/>
              </w:rPr>
              <w:t>NA</w:t>
            </w:r>
          </w:p>
        </w:tc>
        <w:tc>
          <w:tcPr>
            <w:tcW w:w="1478" w:type="dxa"/>
            <w:vMerge w:val="restart"/>
          </w:tcPr>
          <w:p w14:paraId="61A669F7" w14:textId="77777777" w:rsidR="006F6DF5" w:rsidRPr="00996884" w:rsidRDefault="006F6DF5" w:rsidP="006F6DF5">
            <w:pPr>
              <w:spacing w:before="120" w:after="120"/>
              <w:jc w:val="left"/>
              <w:rPr>
                <w:rFonts w:eastAsia="Arial"/>
                <w:sz w:val="20"/>
                <w:szCs w:val="20"/>
                <w:lang w:val="en-US"/>
              </w:rPr>
            </w:pPr>
            <w:r w:rsidRPr="00996884">
              <w:rPr>
                <w:rFonts w:eastAsia="Arial"/>
                <w:sz w:val="20"/>
                <w:szCs w:val="20"/>
                <w:lang w:val="en-US"/>
              </w:rPr>
              <w:t>Regional brain volume</w:t>
            </w:r>
          </w:p>
        </w:tc>
        <w:tc>
          <w:tcPr>
            <w:tcW w:w="1215" w:type="dxa"/>
          </w:tcPr>
          <w:p w14:paraId="483C23B0" w14:textId="77777777" w:rsidR="006F6DF5" w:rsidRPr="004774E3" w:rsidRDefault="006F6DF5" w:rsidP="006F6DF5">
            <w:pPr>
              <w:spacing w:before="120" w:after="120"/>
              <w:jc w:val="left"/>
              <w:rPr>
                <w:rFonts w:eastAsia="Arial"/>
                <w:sz w:val="16"/>
                <w:szCs w:val="16"/>
                <w:lang w:val="en-US"/>
              </w:rPr>
            </w:pPr>
            <w:r w:rsidRPr="00996884">
              <w:rPr>
                <w:rFonts w:eastAsia="Arial"/>
                <w:sz w:val="16"/>
                <w:szCs w:val="16"/>
                <w:lang w:val="en-US"/>
              </w:rPr>
              <w:t>Left caudal middle frontal cortical volume (Surface-based morphometry; ≥ 100 voxels corrected p &lt; 0.05; whole brain general linear models)</w:t>
            </w:r>
          </w:p>
        </w:tc>
        <w:tc>
          <w:tcPr>
            <w:tcW w:w="1276" w:type="dxa"/>
          </w:tcPr>
          <w:p w14:paraId="4631F38C" w14:textId="77777777" w:rsidR="006F6DF5" w:rsidRPr="008D63E6" w:rsidRDefault="006F6DF5" w:rsidP="006F6DF5">
            <w:pPr>
              <w:spacing w:before="120" w:after="120"/>
              <w:jc w:val="left"/>
              <w:rPr>
                <w:rFonts w:eastAsia="Arial"/>
                <w:sz w:val="20"/>
                <w:szCs w:val="20"/>
                <w:lang w:val="en-US"/>
              </w:rPr>
            </w:pPr>
            <w:r w:rsidRPr="008D63E6">
              <w:rPr>
                <w:rFonts w:eastAsia="Arial"/>
                <w:sz w:val="20"/>
                <w:szCs w:val="20"/>
                <w:lang w:val="en-US"/>
              </w:rPr>
              <w:t>NA</w:t>
            </w:r>
          </w:p>
        </w:tc>
        <w:tc>
          <w:tcPr>
            <w:tcW w:w="1149" w:type="dxa"/>
          </w:tcPr>
          <w:p w14:paraId="05592F2F" w14:textId="77777777" w:rsidR="006F6DF5" w:rsidRPr="00DF3900" w:rsidRDefault="006F6DF5" w:rsidP="006F6DF5">
            <w:pPr>
              <w:spacing w:before="120" w:after="120"/>
              <w:jc w:val="left"/>
              <w:rPr>
                <w:rFonts w:eastAsia="Arial"/>
                <w:sz w:val="16"/>
                <w:szCs w:val="16"/>
                <w:lang w:val="en-US"/>
              </w:rPr>
            </w:pPr>
            <w:r w:rsidRPr="008D63E6">
              <w:rPr>
                <w:rFonts w:eastAsia="Arial"/>
                <w:sz w:val="16"/>
                <w:szCs w:val="16"/>
                <w:lang w:val="en-US"/>
              </w:rPr>
              <w:t>Multivariable</w:t>
            </w:r>
          </w:p>
        </w:tc>
        <w:tc>
          <w:tcPr>
            <w:tcW w:w="1316" w:type="dxa"/>
            <w:shd w:val="clear" w:color="auto" w:fill="901100"/>
          </w:tcPr>
          <w:p w14:paraId="4973D213" w14:textId="7219959B" w:rsidR="006F6DF5" w:rsidRPr="00F5076D" w:rsidRDefault="006F6DF5" w:rsidP="006F6DF5">
            <w:pPr>
              <w:spacing w:before="120" w:after="120"/>
              <w:jc w:val="left"/>
              <w:rPr>
                <w:rFonts w:eastAsia="Arial"/>
                <w:sz w:val="20"/>
                <w:szCs w:val="20"/>
                <w:lang w:val="en-US"/>
              </w:rPr>
            </w:pPr>
            <w:r>
              <w:rPr>
                <w:rFonts w:eastAsia="Arial"/>
                <w:sz w:val="20"/>
                <w:szCs w:val="20"/>
                <w:lang w:val="en-US"/>
              </w:rPr>
              <w:t>Significant negative association</w:t>
            </w:r>
          </w:p>
        </w:tc>
      </w:tr>
      <w:tr w:rsidR="006F6DF5" w:rsidRPr="00443C43" w14:paraId="7F350638"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209912D1" w14:textId="77777777" w:rsidR="006F6DF5" w:rsidRPr="00443C43" w:rsidRDefault="006F6DF5" w:rsidP="006F6DF5">
            <w:pPr>
              <w:spacing w:before="120" w:after="120"/>
              <w:jc w:val="left"/>
              <w:rPr>
                <w:rFonts w:eastAsia="Arial"/>
                <w:b/>
                <w:bCs/>
                <w:lang w:val="en-US"/>
              </w:rPr>
            </w:pPr>
          </w:p>
        </w:tc>
        <w:tc>
          <w:tcPr>
            <w:tcW w:w="1276" w:type="dxa"/>
            <w:vMerge/>
          </w:tcPr>
          <w:p w14:paraId="2B73ACC6" w14:textId="77777777" w:rsidR="006F6DF5" w:rsidRPr="00F5076D" w:rsidRDefault="006F6DF5" w:rsidP="006F6DF5">
            <w:pPr>
              <w:spacing w:before="120" w:after="120"/>
              <w:jc w:val="left"/>
              <w:rPr>
                <w:rFonts w:eastAsia="Arial"/>
                <w:lang w:val="en-US"/>
              </w:rPr>
            </w:pPr>
          </w:p>
        </w:tc>
        <w:tc>
          <w:tcPr>
            <w:tcW w:w="1275" w:type="dxa"/>
            <w:vMerge/>
          </w:tcPr>
          <w:p w14:paraId="0FB80166" w14:textId="77777777" w:rsidR="006F6DF5" w:rsidRPr="00F5076D" w:rsidRDefault="006F6DF5" w:rsidP="006F6DF5">
            <w:pPr>
              <w:spacing w:before="120" w:after="120"/>
              <w:jc w:val="left"/>
              <w:rPr>
                <w:rFonts w:eastAsia="Arial"/>
                <w:sz w:val="20"/>
                <w:szCs w:val="20"/>
                <w:lang w:val="en-US"/>
              </w:rPr>
            </w:pPr>
          </w:p>
        </w:tc>
        <w:tc>
          <w:tcPr>
            <w:tcW w:w="1418" w:type="dxa"/>
            <w:vMerge/>
            <w:shd w:val="clear" w:color="auto" w:fill="D9D9D9" w:themeFill="background1" w:themeFillShade="D9"/>
          </w:tcPr>
          <w:p w14:paraId="211A54E3" w14:textId="77777777" w:rsidR="006F6DF5" w:rsidRPr="00F5076D" w:rsidRDefault="006F6DF5" w:rsidP="006F6DF5">
            <w:pPr>
              <w:spacing w:before="120" w:after="120"/>
              <w:jc w:val="left"/>
              <w:rPr>
                <w:rFonts w:eastAsia="Arial"/>
                <w:sz w:val="20"/>
                <w:szCs w:val="20"/>
                <w:lang w:val="en-US"/>
              </w:rPr>
            </w:pPr>
          </w:p>
        </w:tc>
        <w:tc>
          <w:tcPr>
            <w:tcW w:w="1134" w:type="dxa"/>
            <w:vMerge/>
          </w:tcPr>
          <w:p w14:paraId="0A37501A" w14:textId="77777777" w:rsidR="006F6DF5" w:rsidRPr="00F5076D" w:rsidRDefault="006F6DF5" w:rsidP="006F6DF5">
            <w:pPr>
              <w:spacing w:before="120" w:after="120"/>
              <w:jc w:val="left"/>
              <w:rPr>
                <w:rFonts w:eastAsia="Arial"/>
                <w:sz w:val="20"/>
                <w:szCs w:val="20"/>
                <w:lang w:val="en-US"/>
              </w:rPr>
            </w:pPr>
          </w:p>
        </w:tc>
        <w:tc>
          <w:tcPr>
            <w:tcW w:w="1478" w:type="dxa"/>
            <w:vMerge/>
          </w:tcPr>
          <w:p w14:paraId="07089B70" w14:textId="77777777" w:rsidR="006F6DF5" w:rsidRPr="00F5076D" w:rsidRDefault="006F6DF5" w:rsidP="006F6DF5">
            <w:pPr>
              <w:spacing w:before="120" w:after="120"/>
              <w:jc w:val="left"/>
              <w:rPr>
                <w:rFonts w:eastAsia="Arial"/>
                <w:sz w:val="20"/>
                <w:szCs w:val="20"/>
                <w:lang w:val="en-US"/>
              </w:rPr>
            </w:pPr>
          </w:p>
        </w:tc>
        <w:tc>
          <w:tcPr>
            <w:tcW w:w="1215" w:type="dxa"/>
          </w:tcPr>
          <w:p w14:paraId="703FCEAF" w14:textId="77777777" w:rsidR="006F6DF5" w:rsidRPr="00F5076D" w:rsidRDefault="006F6DF5" w:rsidP="006F6DF5">
            <w:pPr>
              <w:spacing w:before="120" w:after="120"/>
              <w:jc w:val="left"/>
              <w:rPr>
                <w:rFonts w:eastAsia="Arial"/>
                <w:sz w:val="16"/>
                <w:szCs w:val="16"/>
                <w:lang w:val="en-US"/>
              </w:rPr>
            </w:pPr>
            <w:r w:rsidRPr="00F5076D">
              <w:rPr>
                <w:rFonts w:eastAsia="Arial"/>
                <w:sz w:val="16"/>
                <w:szCs w:val="16"/>
                <w:lang w:val="en-US"/>
              </w:rPr>
              <w:t>Left lateral occipital cortical thickness (Surface-based morphometry; ≥ 100 voxels; uncorrected p &lt; 0.001; whole brain general linear models)</w:t>
            </w:r>
          </w:p>
        </w:tc>
        <w:tc>
          <w:tcPr>
            <w:tcW w:w="1276" w:type="dxa"/>
          </w:tcPr>
          <w:p w14:paraId="5AE8F5DA" w14:textId="77777777" w:rsidR="006F6DF5" w:rsidRPr="00F5076D" w:rsidRDefault="006F6DF5" w:rsidP="006F6DF5">
            <w:pPr>
              <w:spacing w:before="120" w:after="120"/>
              <w:jc w:val="left"/>
              <w:rPr>
                <w:rFonts w:eastAsia="Arial"/>
                <w:sz w:val="20"/>
                <w:szCs w:val="20"/>
                <w:lang w:val="en-US"/>
              </w:rPr>
            </w:pPr>
            <w:r w:rsidRPr="00F5076D">
              <w:rPr>
                <w:rFonts w:eastAsia="Arial"/>
                <w:sz w:val="20"/>
                <w:szCs w:val="20"/>
                <w:lang w:val="en-US"/>
              </w:rPr>
              <w:t>NA</w:t>
            </w:r>
          </w:p>
        </w:tc>
        <w:tc>
          <w:tcPr>
            <w:tcW w:w="1149" w:type="dxa"/>
          </w:tcPr>
          <w:p w14:paraId="362C83CA" w14:textId="77777777" w:rsidR="006F6DF5" w:rsidRPr="00F5076D" w:rsidRDefault="006F6DF5" w:rsidP="006F6DF5">
            <w:pPr>
              <w:spacing w:before="120" w:after="120"/>
              <w:jc w:val="left"/>
              <w:rPr>
                <w:rFonts w:eastAsia="Arial"/>
                <w:sz w:val="16"/>
                <w:szCs w:val="16"/>
                <w:lang w:val="en-US"/>
              </w:rPr>
            </w:pPr>
            <w:r w:rsidRPr="00F5076D">
              <w:rPr>
                <w:rFonts w:eastAsia="Arial"/>
                <w:sz w:val="16"/>
                <w:szCs w:val="16"/>
                <w:lang w:val="en-US"/>
              </w:rPr>
              <w:t>Multivariable</w:t>
            </w:r>
          </w:p>
        </w:tc>
        <w:tc>
          <w:tcPr>
            <w:tcW w:w="1316" w:type="dxa"/>
            <w:shd w:val="clear" w:color="auto" w:fill="901100"/>
          </w:tcPr>
          <w:p w14:paraId="64C89CD2" w14:textId="73B30118" w:rsidR="006F6DF5" w:rsidRPr="00F5076D" w:rsidRDefault="006F6DF5" w:rsidP="006F6DF5">
            <w:pPr>
              <w:spacing w:before="120" w:after="120"/>
              <w:jc w:val="left"/>
              <w:rPr>
                <w:rFonts w:eastAsia="Arial"/>
                <w:sz w:val="20"/>
                <w:szCs w:val="20"/>
                <w:lang w:val="en-US"/>
              </w:rPr>
            </w:pPr>
            <w:r>
              <w:rPr>
                <w:rFonts w:eastAsia="Arial"/>
                <w:sz w:val="20"/>
                <w:szCs w:val="20"/>
                <w:lang w:val="en-US"/>
              </w:rPr>
              <w:t>Significant negative association</w:t>
            </w:r>
          </w:p>
        </w:tc>
      </w:tr>
      <w:tr w:rsidR="006F6DF5" w:rsidRPr="00443C43" w14:paraId="55D978BE" w14:textId="77777777" w:rsidTr="00CF2505">
        <w:tc>
          <w:tcPr>
            <w:tcW w:w="1413" w:type="dxa"/>
            <w:vMerge/>
          </w:tcPr>
          <w:p w14:paraId="303C7BB2" w14:textId="77777777" w:rsidR="006F6DF5" w:rsidRPr="00443C43" w:rsidRDefault="006F6DF5" w:rsidP="006F6DF5">
            <w:pPr>
              <w:spacing w:before="120" w:after="120"/>
              <w:jc w:val="left"/>
              <w:rPr>
                <w:rFonts w:eastAsia="Arial"/>
                <w:b/>
                <w:bCs/>
                <w:lang w:val="en-US"/>
              </w:rPr>
            </w:pPr>
          </w:p>
        </w:tc>
        <w:tc>
          <w:tcPr>
            <w:tcW w:w="1276" w:type="dxa"/>
            <w:vMerge/>
          </w:tcPr>
          <w:p w14:paraId="1B621E21" w14:textId="77777777" w:rsidR="006F6DF5" w:rsidRPr="00F5076D" w:rsidRDefault="006F6DF5" w:rsidP="006F6DF5">
            <w:pPr>
              <w:spacing w:before="120" w:after="120"/>
              <w:jc w:val="left"/>
              <w:rPr>
                <w:rFonts w:eastAsia="Arial"/>
                <w:lang w:val="en-US"/>
              </w:rPr>
            </w:pPr>
          </w:p>
        </w:tc>
        <w:tc>
          <w:tcPr>
            <w:tcW w:w="1275" w:type="dxa"/>
            <w:vMerge/>
          </w:tcPr>
          <w:p w14:paraId="1E2A8FE3" w14:textId="77777777" w:rsidR="006F6DF5" w:rsidRPr="00F5076D" w:rsidRDefault="006F6DF5" w:rsidP="006F6DF5">
            <w:pPr>
              <w:spacing w:before="120" w:after="120"/>
              <w:jc w:val="left"/>
              <w:rPr>
                <w:rFonts w:eastAsia="Arial"/>
                <w:sz w:val="20"/>
                <w:szCs w:val="20"/>
                <w:lang w:val="en-US"/>
              </w:rPr>
            </w:pPr>
          </w:p>
        </w:tc>
        <w:tc>
          <w:tcPr>
            <w:tcW w:w="1418" w:type="dxa"/>
            <w:vMerge/>
            <w:shd w:val="clear" w:color="auto" w:fill="D9D9D9" w:themeFill="background1" w:themeFillShade="D9"/>
          </w:tcPr>
          <w:p w14:paraId="61DEBE45" w14:textId="77777777" w:rsidR="006F6DF5" w:rsidRPr="00F5076D" w:rsidRDefault="006F6DF5" w:rsidP="006F6DF5">
            <w:pPr>
              <w:spacing w:before="120" w:after="120"/>
              <w:jc w:val="left"/>
              <w:rPr>
                <w:rFonts w:eastAsia="Arial"/>
                <w:sz w:val="20"/>
                <w:szCs w:val="20"/>
                <w:lang w:val="en-US"/>
              </w:rPr>
            </w:pPr>
          </w:p>
        </w:tc>
        <w:tc>
          <w:tcPr>
            <w:tcW w:w="1134" w:type="dxa"/>
            <w:vMerge/>
          </w:tcPr>
          <w:p w14:paraId="39364FDB" w14:textId="77777777" w:rsidR="006F6DF5" w:rsidRPr="00F5076D" w:rsidRDefault="006F6DF5" w:rsidP="006F6DF5">
            <w:pPr>
              <w:spacing w:before="120" w:after="120"/>
              <w:jc w:val="left"/>
              <w:rPr>
                <w:rFonts w:eastAsia="Arial"/>
                <w:sz w:val="20"/>
                <w:szCs w:val="20"/>
                <w:lang w:val="en-US"/>
              </w:rPr>
            </w:pPr>
          </w:p>
        </w:tc>
        <w:tc>
          <w:tcPr>
            <w:tcW w:w="1478" w:type="dxa"/>
            <w:vMerge/>
          </w:tcPr>
          <w:p w14:paraId="73A268E2" w14:textId="77777777" w:rsidR="006F6DF5" w:rsidRPr="00F5076D" w:rsidRDefault="006F6DF5" w:rsidP="006F6DF5">
            <w:pPr>
              <w:spacing w:before="120" w:after="120"/>
              <w:jc w:val="left"/>
              <w:rPr>
                <w:rFonts w:eastAsia="Arial"/>
                <w:sz w:val="20"/>
                <w:szCs w:val="20"/>
                <w:lang w:val="en-US"/>
              </w:rPr>
            </w:pPr>
          </w:p>
        </w:tc>
        <w:tc>
          <w:tcPr>
            <w:tcW w:w="1215" w:type="dxa"/>
          </w:tcPr>
          <w:p w14:paraId="389EAE9F" w14:textId="77777777" w:rsidR="006F6DF5" w:rsidRPr="00D41A99" w:rsidRDefault="006F6DF5" w:rsidP="006F6DF5">
            <w:pPr>
              <w:spacing w:before="120" w:after="120"/>
              <w:jc w:val="left"/>
              <w:rPr>
                <w:rFonts w:eastAsia="Arial"/>
                <w:sz w:val="16"/>
                <w:szCs w:val="16"/>
                <w:lang w:val="en-US"/>
              </w:rPr>
            </w:pPr>
            <w:r w:rsidRPr="00F5076D">
              <w:rPr>
                <w:rFonts w:eastAsia="Arial"/>
                <w:sz w:val="16"/>
                <w:szCs w:val="16"/>
                <w:lang w:val="en-US"/>
              </w:rPr>
              <w:t xml:space="preserve">Left occipital fusiform gyrus </w:t>
            </w:r>
            <w:r w:rsidRPr="0090785E">
              <w:rPr>
                <w:rFonts w:eastAsia="Arial"/>
                <w:sz w:val="16"/>
                <w:szCs w:val="16"/>
                <w:lang w:val="en-US"/>
              </w:rPr>
              <w:t>volume (Voxel-based morphometry; ≥ 100 voxels; uncorrected p &lt; 0.001; whole brain general linear models)</w:t>
            </w:r>
          </w:p>
        </w:tc>
        <w:tc>
          <w:tcPr>
            <w:tcW w:w="1276" w:type="dxa"/>
          </w:tcPr>
          <w:p w14:paraId="3A9DE1CE" w14:textId="77777777" w:rsidR="006F6DF5" w:rsidRPr="00DF7588" w:rsidRDefault="006F6DF5" w:rsidP="006F6DF5">
            <w:pPr>
              <w:spacing w:before="120" w:after="120"/>
              <w:jc w:val="left"/>
              <w:rPr>
                <w:rFonts w:eastAsia="Arial"/>
                <w:sz w:val="20"/>
                <w:szCs w:val="20"/>
                <w:lang w:val="en-US"/>
              </w:rPr>
            </w:pPr>
            <w:r w:rsidRPr="0018385C">
              <w:rPr>
                <w:rFonts w:eastAsia="Arial"/>
                <w:sz w:val="20"/>
                <w:szCs w:val="20"/>
                <w:lang w:val="en-US"/>
              </w:rPr>
              <w:t>NA</w:t>
            </w:r>
          </w:p>
        </w:tc>
        <w:tc>
          <w:tcPr>
            <w:tcW w:w="1149" w:type="dxa"/>
          </w:tcPr>
          <w:p w14:paraId="55EC5FB8" w14:textId="77777777" w:rsidR="006F6DF5" w:rsidRPr="00996884" w:rsidRDefault="006F6DF5" w:rsidP="006F6DF5">
            <w:pPr>
              <w:spacing w:before="120" w:after="120"/>
              <w:jc w:val="left"/>
              <w:rPr>
                <w:rFonts w:eastAsia="Arial"/>
                <w:sz w:val="16"/>
                <w:szCs w:val="16"/>
                <w:lang w:val="en-US"/>
              </w:rPr>
            </w:pPr>
            <w:r w:rsidRPr="00DF7588">
              <w:rPr>
                <w:rFonts w:eastAsia="Arial"/>
                <w:sz w:val="16"/>
                <w:szCs w:val="16"/>
                <w:lang w:val="en-US"/>
              </w:rPr>
              <w:t>M</w:t>
            </w:r>
            <w:r w:rsidRPr="005C75E3">
              <w:rPr>
                <w:rFonts w:eastAsia="Arial"/>
                <w:sz w:val="16"/>
                <w:szCs w:val="16"/>
                <w:lang w:val="en-US"/>
              </w:rPr>
              <w:t>ultivariable</w:t>
            </w:r>
          </w:p>
        </w:tc>
        <w:tc>
          <w:tcPr>
            <w:tcW w:w="1316" w:type="dxa"/>
            <w:shd w:val="clear" w:color="auto" w:fill="901100"/>
          </w:tcPr>
          <w:p w14:paraId="68210569" w14:textId="212D9D3B" w:rsidR="006F6DF5" w:rsidRPr="00996884" w:rsidRDefault="006F6DF5" w:rsidP="006F6DF5">
            <w:pPr>
              <w:spacing w:before="120" w:after="120"/>
              <w:jc w:val="left"/>
              <w:rPr>
                <w:rFonts w:eastAsia="Arial"/>
                <w:sz w:val="20"/>
                <w:szCs w:val="20"/>
                <w:lang w:val="en-US"/>
              </w:rPr>
            </w:pPr>
            <w:r>
              <w:rPr>
                <w:rFonts w:eastAsia="Arial"/>
                <w:sz w:val="20"/>
                <w:szCs w:val="20"/>
                <w:lang w:val="en-US"/>
              </w:rPr>
              <w:t>Significant negative association</w:t>
            </w:r>
          </w:p>
        </w:tc>
      </w:tr>
      <w:tr w:rsidR="006F6DF5" w:rsidRPr="00443C43" w14:paraId="6FA7C164"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12F9E492" w14:textId="77777777" w:rsidR="006F6DF5" w:rsidRPr="00443C43" w:rsidRDefault="006F6DF5" w:rsidP="006F6DF5">
            <w:pPr>
              <w:spacing w:before="120" w:after="120"/>
              <w:jc w:val="left"/>
              <w:rPr>
                <w:rFonts w:eastAsia="Arial"/>
                <w:b/>
                <w:bCs/>
                <w:lang w:val="en-US"/>
              </w:rPr>
            </w:pPr>
          </w:p>
        </w:tc>
        <w:tc>
          <w:tcPr>
            <w:tcW w:w="1276" w:type="dxa"/>
            <w:vMerge/>
          </w:tcPr>
          <w:p w14:paraId="17C27CD3" w14:textId="77777777" w:rsidR="006F6DF5" w:rsidRPr="00F5076D" w:rsidRDefault="006F6DF5" w:rsidP="006F6DF5">
            <w:pPr>
              <w:spacing w:before="120" w:after="120"/>
              <w:jc w:val="left"/>
              <w:rPr>
                <w:rFonts w:eastAsia="Arial"/>
                <w:lang w:val="en-US"/>
              </w:rPr>
            </w:pPr>
          </w:p>
        </w:tc>
        <w:tc>
          <w:tcPr>
            <w:tcW w:w="1275" w:type="dxa"/>
            <w:vMerge/>
          </w:tcPr>
          <w:p w14:paraId="1B3B5E95" w14:textId="77777777" w:rsidR="006F6DF5" w:rsidRPr="00F5076D" w:rsidRDefault="006F6DF5" w:rsidP="006F6DF5">
            <w:pPr>
              <w:spacing w:before="120" w:after="120"/>
              <w:jc w:val="left"/>
              <w:rPr>
                <w:rFonts w:eastAsia="Arial"/>
                <w:sz w:val="20"/>
                <w:szCs w:val="20"/>
                <w:lang w:val="en-US"/>
              </w:rPr>
            </w:pPr>
          </w:p>
        </w:tc>
        <w:tc>
          <w:tcPr>
            <w:tcW w:w="1418" w:type="dxa"/>
            <w:vMerge/>
            <w:shd w:val="clear" w:color="auto" w:fill="D9D9D9" w:themeFill="background1" w:themeFillShade="D9"/>
          </w:tcPr>
          <w:p w14:paraId="4FA828E2" w14:textId="77777777" w:rsidR="006F6DF5" w:rsidRPr="00F5076D" w:rsidRDefault="006F6DF5" w:rsidP="006F6DF5">
            <w:pPr>
              <w:spacing w:before="120" w:after="120"/>
              <w:jc w:val="left"/>
              <w:rPr>
                <w:rFonts w:eastAsia="Arial"/>
                <w:sz w:val="20"/>
                <w:szCs w:val="20"/>
                <w:lang w:val="en-US"/>
              </w:rPr>
            </w:pPr>
          </w:p>
        </w:tc>
        <w:tc>
          <w:tcPr>
            <w:tcW w:w="1134" w:type="dxa"/>
            <w:vMerge/>
          </w:tcPr>
          <w:p w14:paraId="01354D22" w14:textId="77777777" w:rsidR="006F6DF5" w:rsidRPr="00F5076D" w:rsidRDefault="006F6DF5" w:rsidP="006F6DF5">
            <w:pPr>
              <w:spacing w:before="120" w:after="120"/>
              <w:jc w:val="left"/>
              <w:rPr>
                <w:rFonts w:eastAsia="Arial"/>
                <w:sz w:val="20"/>
                <w:szCs w:val="20"/>
                <w:lang w:val="en-US"/>
              </w:rPr>
            </w:pPr>
          </w:p>
        </w:tc>
        <w:tc>
          <w:tcPr>
            <w:tcW w:w="1478" w:type="dxa"/>
            <w:vMerge/>
          </w:tcPr>
          <w:p w14:paraId="74DCBB75" w14:textId="77777777" w:rsidR="006F6DF5" w:rsidRPr="00F5076D" w:rsidRDefault="006F6DF5" w:rsidP="006F6DF5">
            <w:pPr>
              <w:spacing w:before="120" w:after="120"/>
              <w:jc w:val="left"/>
              <w:rPr>
                <w:rFonts w:eastAsia="Arial"/>
                <w:sz w:val="20"/>
                <w:szCs w:val="20"/>
                <w:lang w:val="en-US"/>
              </w:rPr>
            </w:pPr>
          </w:p>
        </w:tc>
        <w:tc>
          <w:tcPr>
            <w:tcW w:w="1215" w:type="dxa"/>
          </w:tcPr>
          <w:p w14:paraId="53107ADB" w14:textId="77777777" w:rsidR="006F6DF5" w:rsidRPr="0032339F" w:rsidRDefault="006F6DF5" w:rsidP="006F6DF5">
            <w:pPr>
              <w:spacing w:before="120" w:after="120"/>
              <w:jc w:val="left"/>
              <w:rPr>
                <w:rFonts w:eastAsia="Arial"/>
                <w:sz w:val="16"/>
                <w:szCs w:val="16"/>
                <w:lang w:val="en-US"/>
              </w:rPr>
            </w:pPr>
            <w:r w:rsidRPr="00F5076D">
              <w:rPr>
                <w:rFonts w:eastAsia="Arial"/>
                <w:sz w:val="16"/>
                <w:szCs w:val="16"/>
                <w:lang w:val="en-US"/>
              </w:rPr>
              <w:t>Left superior frontal gyrus volume (Voxel-based morphometry; ≥ 100 voxels; uncorrected p &lt; 0.001; whole brain general linear models)</w:t>
            </w:r>
          </w:p>
        </w:tc>
        <w:tc>
          <w:tcPr>
            <w:tcW w:w="1276" w:type="dxa"/>
          </w:tcPr>
          <w:p w14:paraId="3A45F29C" w14:textId="77777777" w:rsidR="006F6DF5" w:rsidRPr="0032339F" w:rsidRDefault="006F6DF5" w:rsidP="006F6DF5">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2879165A" w14:textId="77777777" w:rsidR="006F6DF5" w:rsidRPr="0032339F" w:rsidRDefault="006F6DF5" w:rsidP="006F6DF5">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485B3FB4" w14:textId="03296CF2" w:rsidR="006F6DF5" w:rsidRPr="0090785E" w:rsidRDefault="006F6DF5" w:rsidP="006F6DF5">
            <w:pPr>
              <w:spacing w:before="120" w:after="120"/>
              <w:jc w:val="left"/>
              <w:rPr>
                <w:rFonts w:eastAsia="Arial"/>
                <w:sz w:val="20"/>
                <w:szCs w:val="20"/>
                <w:lang w:val="en-US"/>
              </w:rPr>
            </w:pPr>
            <w:r>
              <w:rPr>
                <w:rFonts w:eastAsia="Arial"/>
                <w:sz w:val="20"/>
                <w:szCs w:val="20"/>
                <w:lang w:val="en-US"/>
              </w:rPr>
              <w:t>Significant negative association</w:t>
            </w:r>
          </w:p>
        </w:tc>
      </w:tr>
      <w:tr w:rsidR="00F46CF1" w:rsidRPr="00443C43" w14:paraId="452D3EB0" w14:textId="77777777" w:rsidTr="00CF2505">
        <w:tc>
          <w:tcPr>
            <w:tcW w:w="1413" w:type="dxa"/>
            <w:vMerge/>
          </w:tcPr>
          <w:p w14:paraId="11B313D7" w14:textId="77777777" w:rsidR="00F46CF1" w:rsidRPr="00443C43" w:rsidRDefault="00F46CF1" w:rsidP="00F46CF1">
            <w:pPr>
              <w:spacing w:before="120" w:after="120"/>
              <w:jc w:val="left"/>
              <w:rPr>
                <w:rFonts w:eastAsia="Arial"/>
                <w:b/>
                <w:bCs/>
                <w:lang w:val="en-US"/>
              </w:rPr>
            </w:pPr>
          </w:p>
        </w:tc>
        <w:tc>
          <w:tcPr>
            <w:tcW w:w="1276" w:type="dxa"/>
            <w:vMerge/>
          </w:tcPr>
          <w:p w14:paraId="1E0CD1FC" w14:textId="77777777" w:rsidR="00F46CF1" w:rsidRPr="00F5076D" w:rsidRDefault="00F46CF1" w:rsidP="00F46CF1">
            <w:pPr>
              <w:spacing w:before="120" w:after="120"/>
              <w:jc w:val="left"/>
              <w:rPr>
                <w:rFonts w:eastAsia="Arial"/>
                <w:lang w:val="en-US"/>
              </w:rPr>
            </w:pPr>
          </w:p>
        </w:tc>
        <w:tc>
          <w:tcPr>
            <w:tcW w:w="1275" w:type="dxa"/>
            <w:vMerge/>
          </w:tcPr>
          <w:p w14:paraId="6CE070D5"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795595BC" w14:textId="77777777" w:rsidR="00F46CF1" w:rsidRPr="00F5076D" w:rsidRDefault="00F46CF1" w:rsidP="00F46CF1">
            <w:pPr>
              <w:spacing w:before="120" w:after="120"/>
              <w:jc w:val="left"/>
              <w:rPr>
                <w:rFonts w:eastAsia="Arial"/>
                <w:sz w:val="20"/>
                <w:szCs w:val="20"/>
                <w:lang w:val="en-US"/>
              </w:rPr>
            </w:pPr>
          </w:p>
        </w:tc>
        <w:tc>
          <w:tcPr>
            <w:tcW w:w="1134" w:type="dxa"/>
            <w:vMerge/>
          </w:tcPr>
          <w:p w14:paraId="635E3EF6" w14:textId="77777777" w:rsidR="00F46CF1" w:rsidRPr="00F5076D" w:rsidRDefault="00F46CF1" w:rsidP="00F46CF1">
            <w:pPr>
              <w:spacing w:before="120" w:after="120"/>
              <w:jc w:val="left"/>
              <w:rPr>
                <w:rFonts w:eastAsia="Arial"/>
                <w:sz w:val="20"/>
                <w:szCs w:val="20"/>
                <w:lang w:val="en-US"/>
              </w:rPr>
            </w:pPr>
          </w:p>
        </w:tc>
        <w:tc>
          <w:tcPr>
            <w:tcW w:w="1478" w:type="dxa"/>
            <w:vMerge/>
          </w:tcPr>
          <w:p w14:paraId="31A25256" w14:textId="77777777" w:rsidR="00F46CF1" w:rsidRPr="00F5076D" w:rsidRDefault="00F46CF1" w:rsidP="00F46CF1">
            <w:pPr>
              <w:spacing w:before="120" w:after="120"/>
              <w:jc w:val="left"/>
              <w:rPr>
                <w:rFonts w:eastAsia="Arial"/>
                <w:sz w:val="20"/>
                <w:szCs w:val="20"/>
                <w:lang w:val="en-US"/>
              </w:rPr>
            </w:pPr>
          </w:p>
        </w:tc>
        <w:tc>
          <w:tcPr>
            <w:tcW w:w="1215" w:type="dxa"/>
          </w:tcPr>
          <w:p w14:paraId="3B3D8775" w14:textId="77777777" w:rsidR="00F46CF1" w:rsidRPr="0090785E" w:rsidRDefault="00F46CF1" w:rsidP="00F46CF1">
            <w:pPr>
              <w:spacing w:before="120" w:after="120"/>
              <w:jc w:val="left"/>
              <w:rPr>
                <w:rFonts w:eastAsia="Arial"/>
                <w:sz w:val="16"/>
                <w:szCs w:val="16"/>
                <w:lang w:val="en-US"/>
              </w:rPr>
            </w:pPr>
            <w:r w:rsidRPr="00F5076D">
              <w:rPr>
                <w:rFonts w:eastAsia="Arial"/>
                <w:sz w:val="16"/>
                <w:szCs w:val="16"/>
                <w:lang w:val="en-US"/>
              </w:rPr>
              <w:t xml:space="preserve">Left supramarginal gyrus volume (Voxel-based morphometry; ≥ 100 voxels; uncorrected p &lt; 0.001; whole </w:t>
            </w:r>
            <w:r w:rsidRPr="00F5076D">
              <w:rPr>
                <w:rFonts w:eastAsia="Arial"/>
                <w:sz w:val="16"/>
                <w:szCs w:val="16"/>
                <w:lang w:val="en-US"/>
              </w:rPr>
              <w:lastRenderedPageBreak/>
              <w:t>brain general linear models)</w:t>
            </w:r>
          </w:p>
        </w:tc>
        <w:tc>
          <w:tcPr>
            <w:tcW w:w="1276" w:type="dxa"/>
          </w:tcPr>
          <w:p w14:paraId="428261A7" w14:textId="77777777" w:rsidR="00F46CF1" w:rsidRPr="00D41A99" w:rsidRDefault="00F46CF1" w:rsidP="00F46CF1">
            <w:pPr>
              <w:spacing w:before="120" w:after="120"/>
              <w:jc w:val="left"/>
              <w:rPr>
                <w:rFonts w:eastAsia="Arial"/>
                <w:sz w:val="20"/>
                <w:szCs w:val="20"/>
                <w:lang w:val="en-US"/>
              </w:rPr>
            </w:pPr>
            <w:r w:rsidRPr="00D41A99">
              <w:rPr>
                <w:rFonts w:eastAsia="Arial"/>
                <w:sz w:val="20"/>
                <w:szCs w:val="20"/>
                <w:lang w:val="en-US"/>
              </w:rPr>
              <w:lastRenderedPageBreak/>
              <w:t>NA</w:t>
            </w:r>
          </w:p>
        </w:tc>
        <w:tc>
          <w:tcPr>
            <w:tcW w:w="1149" w:type="dxa"/>
          </w:tcPr>
          <w:p w14:paraId="1EE92ED1" w14:textId="77777777" w:rsidR="00F46CF1" w:rsidRPr="00DF7588" w:rsidRDefault="00F46CF1" w:rsidP="00F46CF1">
            <w:pPr>
              <w:spacing w:before="120" w:after="120"/>
              <w:jc w:val="left"/>
              <w:rPr>
                <w:rFonts w:eastAsia="Arial"/>
                <w:sz w:val="16"/>
                <w:szCs w:val="16"/>
                <w:lang w:val="en-US"/>
              </w:rPr>
            </w:pPr>
            <w:r w:rsidRPr="0018385C">
              <w:rPr>
                <w:rFonts w:eastAsia="Arial"/>
                <w:sz w:val="16"/>
                <w:szCs w:val="16"/>
                <w:lang w:val="en-US"/>
              </w:rPr>
              <w:t>Multivariable</w:t>
            </w:r>
          </w:p>
        </w:tc>
        <w:tc>
          <w:tcPr>
            <w:tcW w:w="1316" w:type="dxa"/>
            <w:shd w:val="clear" w:color="auto" w:fill="901100"/>
          </w:tcPr>
          <w:p w14:paraId="72B5D805" w14:textId="1646199B" w:rsidR="00F46CF1" w:rsidRPr="005C75E3"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F46CF1" w:rsidRPr="00443C43" w14:paraId="4E741FB0"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3CABDFA" w14:textId="77777777" w:rsidR="00F46CF1" w:rsidRPr="00443C43" w:rsidRDefault="00F46CF1" w:rsidP="00F46CF1">
            <w:pPr>
              <w:spacing w:before="120" w:after="120"/>
              <w:jc w:val="left"/>
              <w:rPr>
                <w:rFonts w:eastAsia="Arial"/>
                <w:b/>
                <w:bCs/>
                <w:lang w:val="en-US"/>
              </w:rPr>
            </w:pPr>
          </w:p>
        </w:tc>
        <w:tc>
          <w:tcPr>
            <w:tcW w:w="1276" w:type="dxa"/>
            <w:vMerge/>
          </w:tcPr>
          <w:p w14:paraId="43E70A12" w14:textId="77777777" w:rsidR="00F46CF1" w:rsidRPr="00F5076D" w:rsidRDefault="00F46CF1" w:rsidP="00F46CF1">
            <w:pPr>
              <w:spacing w:before="120" w:after="120"/>
              <w:jc w:val="left"/>
              <w:rPr>
                <w:rFonts w:eastAsia="Arial"/>
                <w:lang w:val="en-US"/>
              </w:rPr>
            </w:pPr>
          </w:p>
        </w:tc>
        <w:tc>
          <w:tcPr>
            <w:tcW w:w="1275" w:type="dxa"/>
            <w:vMerge/>
          </w:tcPr>
          <w:p w14:paraId="117A1DE6"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14D9AD5D" w14:textId="77777777" w:rsidR="00F46CF1" w:rsidRPr="00F5076D" w:rsidRDefault="00F46CF1" w:rsidP="00F46CF1">
            <w:pPr>
              <w:spacing w:before="120" w:after="120"/>
              <w:jc w:val="left"/>
              <w:rPr>
                <w:rFonts w:eastAsia="Arial"/>
                <w:sz w:val="20"/>
                <w:szCs w:val="20"/>
                <w:lang w:val="en-US"/>
              </w:rPr>
            </w:pPr>
          </w:p>
        </w:tc>
        <w:tc>
          <w:tcPr>
            <w:tcW w:w="1134" w:type="dxa"/>
            <w:vMerge/>
          </w:tcPr>
          <w:p w14:paraId="7DDC9416" w14:textId="77777777" w:rsidR="00F46CF1" w:rsidRPr="00F5076D" w:rsidRDefault="00F46CF1" w:rsidP="00F46CF1">
            <w:pPr>
              <w:spacing w:before="120" w:after="120"/>
              <w:jc w:val="left"/>
              <w:rPr>
                <w:rFonts w:eastAsia="Arial"/>
                <w:sz w:val="20"/>
                <w:szCs w:val="20"/>
                <w:lang w:val="en-US"/>
              </w:rPr>
            </w:pPr>
          </w:p>
        </w:tc>
        <w:tc>
          <w:tcPr>
            <w:tcW w:w="1478" w:type="dxa"/>
            <w:vMerge/>
          </w:tcPr>
          <w:p w14:paraId="1229FEE4" w14:textId="77777777" w:rsidR="00F46CF1" w:rsidRPr="00F5076D" w:rsidRDefault="00F46CF1" w:rsidP="00F46CF1">
            <w:pPr>
              <w:spacing w:before="120" w:after="120"/>
              <w:jc w:val="left"/>
              <w:rPr>
                <w:rFonts w:eastAsia="Arial"/>
                <w:sz w:val="20"/>
                <w:szCs w:val="20"/>
                <w:lang w:val="en-US"/>
              </w:rPr>
            </w:pPr>
          </w:p>
        </w:tc>
        <w:tc>
          <w:tcPr>
            <w:tcW w:w="1215" w:type="dxa"/>
          </w:tcPr>
          <w:p w14:paraId="70241DB5" w14:textId="77777777" w:rsidR="00F46CF1" w:rsidRPr="00F5076D" w:rsidRDefault="00F46CF1" w:rsidP="00F46CF1">
            <w:pPr>
              <w:spacing w:before="120" w:after="120"/>
              <w:jc w:val="left"/>
              <w:rPr>
                <w:rFonts w:eastAsia="Arial"/>
                <w:sz w:val="16"/>
                <w:szCs w:val="16"/>
                <w:lang w:val="en-US"/>
              </w:rPr>
            </w:pPr>
            <w:r w:rsidRPr="00F5076D">
              <w:rPr>
                <w:rFonts w:eastAsia="Arial"/>
                <w:sz w:val="16"/>
                <w:szCs w:val="16"/>
                <w:lang w:val="en-US"/>
              </w:rPr>
              <w:t xml:space="preserve">Right </w:t>
            </w:r>
            <w:proofErr w:type="spellStart"/>
            <w:r w:rsidRPr="00F5076D">
              <w:rPr>
                <w:rFonts w:eastAsia="Arial"/>
                <w:sz w:val="16"/>
                <w:szCs w:val="16"/>
                <w:lang w:val="en-US"/>
              </w:rPr>
              <w:t>accumbens</w:t>
            </w:r>
            <w:proofErr w:type="spellEnd"/>
            <w:r w:rsidRPr="00F5076D">
              <w:rPr>
                <w:rFonts w:eastAsia="Arial"/>
                <w:sz w:val="16"/>
                <w:szCs w:val="16"/>
                <w:lang w:val="en-US"/>
              </w:rPr>
              <w:t xml:space="preserve"> volume (Voxel-based morphometry automated segmentations)</w:t>
            </w:r>
          </w:p>
        </w:tc>
        <w:tc>
          <w:tcPr>
            <w:tcW w:w="1276" w:type="dxa"/>
          </w:tcPr>
          <w:p w14:paraId="3494A164"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45003DE3"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35530F06" w14:textId="48DE144A"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F46CF1" w:rsidRPr="00443C43" w14:paraId="130CCE39" w14:textId="77777777" w:rsidTr="00CF2505">
        <w:tc>
          <w:tcPr>
            <w:tcW w:w="1413" w:type="dxa"/>
            <w:vMerge/>
          </w:tcPr>
          <w:p w14:paraId="57F079DA" w14:textId="77777777" w:rsidR="00F46CF1" w:rsidRPr="00443C43" w:rsidRDefault="00F46CF1" w:rsidP="00F46CF1">
            <w:pPr>
              <w:spacing w:before="120" w:after="120"/>
              <w:jc w:val="left"/>
              <w:rPr>
                <w:rFonts w:eastAsia="Arial"/>
                <w:b/>
                <w:bCs/>
                <w:lang w:val="en-US"/>
              </w:rPr>
            </w:pPr>
          </w:p>
        </w:tc>
        <w:tc>
          <w:tcPr>
            <w:tcW w:w="1276" w:type="dxa"/>
            <w:vMerge/>
          </w:tcPr>
          <w:p w14:paraId="3F7F9502" w14:textId="77777777" w:rsidR="00F46CF1" w:rsidRPr="00F5076D" w:rsidRDefault="00F46CF1" w:rsidP="00F46CF1">
            <w:pPr>
              <w:spacing w:before="120" w:after="120"/>
              <w:jc w:val="left"/>
              <w:rPr>
                <w:rFonts w:eastAsia="Arial"/>
                <w:lang w:val="en-US"/>
              </w:rPr>
            </w:pPr>
          </w:p>
        </w:tc>
        <w:tc>
          <w:tcPr>
            <w:tcW w:w="1275" w:type="dxa"/>
            <w:vMerge/>
          </w:tcPr>
          <w:p w14:paraId="1C844E63"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1ABFEB95" w14:textId="77777777" w:rsidR="00F46CF1" w:rsidRPr="00F5076D" w:rsidRDefault="00F46CF1" w:rsidP="00F46CF1">
            <w:pPr>
              <w:spacing w:before="120" w:after="120"/>
              <w:jc w:val="left"/>
              <w:rPr>
                <w:rFonts w:eastAsia="Arial"/>
                <w:sz w:val="20"/>
                <w:szCs w:val="20"/>
                <w:lang w:val="en-US"/>
              </w:rPr>
            </w:pPr>
          </w:p>
        </w:tc>
        <w:tc>
          <w:tcPr>
            <w:tcW w:w="1134" w:type="dxa"/>
            <w:vMerge/>
          </w:tcPr>
          <w:p w14:paraId="4FBD6EC5" w14:textId="77777777" w:rsidR="00F46CF1" w:rsidRPr="00F5076D" w:rsidRDefault="00F46CF1" w:rsidP="00F46CF1">
            <w:pPr>
              <w:spacing w:before="120" w:after="120"/>
              <w:jc w:val="left"/>
              <w:rPr>
                <w:rFonts w:eastAsia="Arial"/>
                <w:sz w:val="20"/>
                <w:szCs w:val="20"/>
                <w:lang w:val="en-US"/>
              </w:rPr>
            </w:pPr>
          </w:p>
        </w:tc>
        <w:tc>
          <w:tcPr>
            <w:tcW w:w="1478" w:type="dxa"/>
            <w:vMerge/>
          </w:tcPr>
          <w:p w14:paraId="314F6BE3" w14:textId="77777777" w:rsidR="00F46CF1" w:rsidRPr="00F5076D" w:rsidRDefault="00F46CF1" w:rsidP="00F46CF1">
            <w:pPr>
              <w:spacing w:before="120" w:after="120"/>
              <w:jc w:val="left"/>
              <w:rPr>
                <w:rFonts w:eastAsia="Arial"/>
                <w:sz w:val="20"/>
                <w:szCs w:val="20"/>
                <w:lang w:val="en-US"/>
              </w:rPr>
            </w:pPr>
          </w:p>
        </w:tc>
        <w:tc>
          <w:tcPr>
            <w:tcW w:w="1215" w:type="dxa"/>
          </w:tcPr>
          <w:p w14:paraId="4EEAA1A8" w14:textId="77777777" w:rsidR="00F46CF1" w:rsidRPr="00D41A99" w:rsidRDefault="00F46CF1" w:rsidP="00F46CF1">
            <w:pPr>
              <w:spacing w:before="120" w:after="120"/>
              <w:jc w:val="left"/>
              <w:rPr>
                <w:rFonts w:eastAsia="Arial"/>
                <w:sz w:val="16"/>
                <w:szCs w:val="16"/>
                <w:lang w:val="en-US"/>
              </w:rPr>
            </w:pPr>
            <w:r w:rsidRPr="00F5076D">
              <w:rPr>
                <w:rFonts w:eastAsia="Arial"/>
                <w:sz w:val="16"/>
                <w:szCs w:val="16"/>
                <w:lang w:val="en-US"/>
              </w:rPr>
              <w:t xml:space="preserve">Right inferior temporal gyrus volume (Voxel-based morphometry; ≥ 100 voxels; uncorrected p &lt; 0.001; whole brain general linear </w:t>
            </w:r>
            <w:r w:rsidRPr="0090785E">
              <w:rPr>
                <w:rFonts w:eastAsia="Arial"/>
                <w:sz w:val="16"/>
                <w:szCs w:val="16"/>
                <w:lang w:val="en-US"/>
              </w:rPr>
              <w:t>models)</w:t>
            </w:r>
          </w:p>
        </w:tc>
        <w:tc>
          <w:tcPr>
            <w:tcW w:w="1276" w:type="dxa"/>
          </w:tcPr>
          <w:p w14:paraId="1A487ABB" w14:textId="77777777" w:rsidR="00F46CF1" w:rsidRPr="00DF7588" w:rsidRDefault="00F46CF1" w:rsidP="00F46CF1">
            <w:pPr>
              <w:spacing w:before="120" w:after="120"/>
              <w:jc w:val="left"/>
              <w:rPr>
                <w:rFonts w:eastAsia="Arial"/>
                <w:sz w:val="20"/>
                <w:szCs w:val="20"/>
                <w:lang w:val="en-US"/>
              </w:rPr>
            </w:pPr>
            <w:r w:rsidRPr="0018385C">
              <w:rPr>
                <w:rFonts w:eastAsia="Arial"/>
                <w:sz w:val="20"/>
                <w:szCs w:val="20"/>
                <w:lang w:val="en-US"/>
              </w:rPr>
              <w:t>NA</w:t>
            </w:r>
          </w:p>
        </w:tc>
        <w:tc>
          <w:tcPr>
            <w:tcW w:w="1149" w:type="dxa"/>
          </w:tcPr>
          <w:p w14:paraId="69992376" w14:textId="77777777" w:rsidR="00F46CF1" w:rsidRPr="005C75E3" w:rsidRDefault="00F46CF1" w:rsidP="00F46CF1">
            <w:pPr>
              <w:spacing w:before="120" w:after="120"/>
              <w:jc w:val="left"/>
              <w:rPr>
                <w:rFonts w:eastAsia="Arial"/>
                <w:sz w:val="16"/>
                <w:szCs w:val="16"/>
                <w:lang w:val="en-US"/>
              </w:rPr>
            </w:pPr>
            <w:r w:rsidRPr="00DF7588">
              <w:rPr>
                <w:rFonts w:eastAsia="Arial"/>
                <w:sz w:val="16"/>
                <w:szCs w:val="16"/>
                <w:lang w:val="en-US"/>
              </w:rPr>
              <w:t>Multivariable</w:t>
            </w:r>
          </w:p>
        </w:tc>
        <w:tc>
          <w:tcPr>
            <w:tcW w:w="1316" w:type="dxa"/>
            <w:shd w:val="clear" w:color="auto" w:fill="901100"/>
          </w:tcPr>
          <w:p w14:paraId="32F2434E" w14:textId="63D261B5" w:rsidR="00F46CF1" w:rsidRPr="00996884"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F46CF1" w:rsidRPr="00443C43" w14:paraId="2109D48B"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6D500DBD" w14:textId="77777777" w:rsidR="00F46CF1" w:rsidRPr="00443C43" w:rsidRDefault="00F46CF1" w:rsidP="00F46CF1">
            <w:pPr>
              <w:spacing w:before="120" w:after="120"/>
              <w:jc w:val="left"/>
              <w:rPr>
                <w:rFonts w:eastAsia="Arial"/>
                <w:b/>
                <w:bCs/>
                <w:lang w:val="en-US"/>
              </w:rPr>
            </w:pPr>
          </w:p>
        </w:tc>
        <w:tc>
          <w:tcPr>
            <w:tcW w:w="1276" w:type="dxa"/>
            <w:vMerge/>
          </w:tcPr>
          <w:p w14:paraId="332BEBDF" w14:textId="77777777" w:rsidR="00F46CF1" w:rsidRPr="00F5076D" w:rsidRDefault="00F46CF1" w:rsidP="00F46CF1">
            <w:pPr>
              <w:spacing w:before="120" w:after="120"/>
              <w:jc w:val="left"/>
              <w:rPr>
                <w:rFonts w:eastAsia="Arial"/>
                <w:lang w:val="en-US"/>
              </w:rPr>
            </w:pPr>
          </w:p>
        </w:tc>
        <w:tc>
          <w:tcPr>
            <w:tcW w:w="1275" w:type="dxa"/>
            <w:vMerge/>
          </w:tcPr>
          <w:p w14:paraId="3704862E"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439C6715" w14:textId="77777777" w:rsidR="00F46CF1" w:rsidRPr="00F5076D" w:rsidRDefault="00F46CF1" w:rsidP="00F46CF1">
            <w:pPr>
              <w:spacing w:before="120" w:after="120"/>
              <w:jc w:val="left"/>
              <w:rPr>
                <w:rFonts w:eastAsia="Arial"/>
                <w:sz w:val="20"/>
                <w:szCs w:val="20"/>
                <w:lang w:val="en-US"/>
              </w:rPr>
            </w:pPr>
          </w:p>
        </w:tc>
        <w:tc>
          <w:tcPr>
            <w:tcW w:w="1134" w:type="dxa"/>
            <w:vMerge/>
          </w:tcPr>
          <w:p w14:paraId="622B5855" w14:textId="77777777" w:rsidR="00F46CF1" w:rsidRPr="00F5076D" w:rsidRDefault="00F46CF1" w:rsidP="00F46CF1">
            <w:pPr>
              <w:spacing w:before="120" w:after="120"/>
              <w:jc w:val="left"/>
              <w:rPr>
                <w:rFonts w:eastAsia="Arial"/>
                <w:sz w:val="20"/>
                <w:szCs w:val="20"/>
                <w:lang w:val="en-US"/>
              </w:rPr>
            </w:pPr>
          </w:p>
        </w:tc>
        <w:tc>
          <w:tcPr>
            <w:tcW w:w="1478" w:type="dxa"/>
            <w:vMerge/>
          </w:tcPr>
          <w:p w14:paraId="33E8AE90" w14:textId="77777777" w:rsidR="00F46CF1" w:rsidRPr="00F5076D" w:rsidRDefault="00F46CF1" w:rsidP="00F46CF1">
            <w:pPr>
              <w:spacing w:before="120" w:after="120"/>
              <w:jc w:val="left"/>
              <w:rPr>
                <w:rFonts w:eastAsia="Arial"/>
                <w:sz w:val="20"/>
                <w:szCs w:val="20"/>
                <w:lang w:val="en-US"/>
              </w:rPr>
            </w:pPr>
          </w:p>
        </w:tc>
        <w:tc>
          <w:tcPr>
            <w:tcW w:w="1215" w:type="dxa"/>
          </w:tcPr>
          <w:p w14:paraId="007DA38E" w14:textId="77777777" w:rsidR="00F46CF1" w:rsidRPr="00F5076D" w:rsidRDefault="00F46CF1" w:rsidP="00F46CF1">
            <w:pPr>
              <w:spacing w:before="120" w:after="120"/>
              <w:jc w:val="left"/>
              <w:rPr>
                <w:rFonts w:eastAsia="Arial"/>
                <w:sz w:val="16"/>
                <w:szCs w:val="16"/>
                <w:lang w:val="en-US"/>
              </w:rPr>
            </w:pPr>
            <w:r w:rsidRPr="00F5076D">
              <w:rPr>
                <w:rFonts w:eastAsia="Arial"/>
                <w:sz w:val="16"/>
                <w:szCs w:val="16"/>
                <w:lang w:val="en-US"/>
              </w:rPr>
              <w:t>Right precentral gyrus volume (Voxel-based morphometry; ≥ 100 voxels; uncorrected p &lt; 0.001; whole brain general linear models)</w:t>
            </w:r>
          </w:p>
        </w:tc>
        <w:tc>
          <w:tcPr>
            <w:tcW w:w="1276" w:type="dxa"/>
          </w:tcPr>
          <w:p w14:paraId="6EF83EDF"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4490EB5F"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06A2725C" w14:textId="0DCCC8BA"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F46CF1" w:rsidRPr="00443C43" w14:paraId="337DD1DD" w14:textId="77777777" w:rsidTr="00CF2505">
        <w:tc>
          <w:tcPr>
            <w:tcW w:w="1413" w:type="dxa"/>
            <w:vMerge/>
          </w:tcPr>
          <w:p w14:paraId="112B96EA" w14:textId="77777777" w:rsidR="00F46CF1" w:rsidRPr="00443C43" w:rsidRDefault="00F46CF1" w:rsidP="00F46CF1">
            <w:pPr>
              <w:spacing w:before="120" w:after="120"/>
              <w:jc w:val="left"/>
              <w:rPr>
                <w:rFonts w:eastAsia="Arial"/>
                <w:b/>
                <w:bCs/>
                <w:lang w:val="en-US"/>
              </w:rPr>
            </w:pPr>
          </w:p>
        </w:tc>
        <w:tc>
          <w:tcPr>
            <w:tcW w:w="1276" w:type="dxa"/>
            <w:vMerge/>
          </w:tcPr>
          <w:p w14:paraId="50494E3F" w14:textId="77777777" w:rsidR="00F46CF1" w:rsidRPr="00F5076D" w:rsidRDefault="00F46CF1" w:rsidP="00F46CF1">
            <w:pPr>
              <w:spacing w:before="120" w:after="120"/>
              <w:jc w:val="left"/>
              <w:rPr>
                <w:rFonts w:eastAsia="Arial"/>
                <w:lang w:val="en-US"/>
              </w:rPr>
            </w:pPr>
          </w:p>
        </w:tc>
        <w:tc>
          <w:tcPr>
            <w:tcW w:w="1275" w:type="dxa"/>
            <w:vMerge/>
          </w:tcPr>
          <w:p w14:paraId="274BAC6B"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1D223D12" w14:textId="77777777" w:rsidR="00F46CF1" w:rsidRPr="00F5076D" w:rsidRDefault="00F46CF1" w:rsidP="00F46CF1">
            <w:pPr>
              <w:spacing w:before="120" w:after="120"/>
              <w:jc w:val="left"/>
              <w:rPr>
                <w:rFonts w:eastAsia="Arial"/>
                <w:sz w:val="20"/>
                <w:szCs w:val="20"/>
                <w:lang w:val="en-US"/>
              </w:rPr>
            </w:pPr>
          </w:p>
        </w:tc>
        <w:tc>
          <w:tcPr>
            <w:tcW w:w="1134" w:type="dxa"/>
            <w:vMerge/>
          </w:tcPr>
          <w:p w14:paraId="458D97DB" w14:textId="77777777" w:rsidR="00F46CF1" w:rsidRPr="00F5076D" w:rsidRDefault="00F46CF1" w:rsidP="00F46CF1">
            <w:pPr>
              <w:spacing w:before="120" w:after="120"/>
              <w:jc w:val="left"/>
              <w:rPr>
                <w:rFonts w:eastAsia="Arial"/>
                <w:sz w:val="20"/>
                <w:szCs w:val="20"/>
                <w:lang w:val="en-US"/>
              </w:rPr>
            </w:pPr>
          </w:p>
        </w:tc>
        <w:tc>
          <w:tcPr>
            <w:tcW w:w="1478" w:type="dxa"/>
            <w:vMerge/>
          </w:tcPr>
          <w:p w14:paraId="64078EDD" w14:textId="77777777" w:rsidR="00F46CF1" w:rsidRPr="00F5076D" w:rsidRDefault="00F46CF1" w:rsidP="00F46CF1">
            <w:pPr>
              <w:spacing w:before="120" w:after="120"/>
              <w:jc w:val="left"/>
              <w:rPr>
                <w:rFonts w:eastAsia="Arial"/>
                <w:sz w:val="20"/>
                <w:szCs w:val="20"/>
                <w:lang w:val="en-US"/>
              </w:rPr>
            </w:pPr>
          </w:p>
        </w:tc>
        <w:tc>
          <w:tcPr>
            <w:tcW w:w="1215" w:type="dxa"/>
          </w:tcPr>
          <w:p w14:paraId="11009A1E" w14:textId="77777777" w:rsidR="00F46CF1" w:rsidRPr="00D41A99" w:rsidRDefault="00F46CF1" w:rsidP="00F46CF1">
            <w:pPr>
              <w:spacing w:before="120" w:after="120"/>
              <w:jc w:val="left"/>
              <w:rPr>
                <w:rFonts w:eastAsia="Arial"/>
                <w:sz w:val="16"/>
                <w:szCs w:val="16"/>
                <w:lang w:val="en-US"/>
              </w:rPr>
            </w:pPr>
            <w:r w:rsidRPr="00F5076D">
              <w:rPr>
                <w:rFonts w:eastAsia="Arial"/>
                <w:sz w:val="16"/>
                <w:szCs w:val="16"/>
                <w:lang w:val="en-US"/>
              </w:rPr>
              <w:t xml:space="preserve">Right superior </w:t>
            </w:r>
            <w:r w:rsidRPr="0090785E">
              <w:rPr>
                <w:rFonts w:eastAsia="Arial"/>
                <w:sz w:val="16"/>
                <w:szCs w:val="16"/>
                <w:lang w:val="en-US"/>
              </w:rPr>
              <w:t xml:space="preserve">temporal cortical volume (Surface-based morphometry; ≥ 100 voxels corrected p &lt; 0.05; whole </w:t>
            </w:r>
            <w:r w:rsidRPr="0090785E">
              <w:rPr>
                <w:rFonts w:eastAsia="Arial"/>
                <w:sz w:val="16"/>
                <w:szCs w:val="16"/>
                <w:lang w:val="en-US"/>
              </w:rPr>
              <w:lastRenderedPageBreak/>
              <w:t>brain general linear models)</w:t>
            </w:r>
          </w:p>
        </w:tc>
        <w:tc>
          <w:tcPr>
            <w:tcW w:w="1276" w:type="dxa"/>
          </w:tcPr>
          <w:p w14:paraId="5F251E9A" w14:textId="77777777" w:rsidR="00F46CF1" w:rsidRPr="00DF7588" w:rsidRDefault="00F46CF1" w:rsidP="00F46CF1">
            <w:pPr>
              <w:spacing w:before="120" w:after="120"/>
              <w:jc w:val="left"/>
              <w:rPr>
                <w:rFonts w:eastAsia="Arial"/>
                <w:sz w:val="20"/>
                <w:szCs w:val="20"/>
                <w:lang w:val="en-US"/>
              </w:rPr>
            </w:pPr>
            <w:r w:rsidRPr="0018385C">
              <w:rPr>
                <w:rFonts w:eastAsia="Arial"/>
                <w:sz w:val="20"/>
                <w:szCs w:val="20"/>
                <w:lang w:val="en-US"/>
              </w:rPr>
              <w:lastRenderedPageBreak/>
              <w:t>NA</w:t>
            </w:r>
          </w:p>
        </w:tc>
        <w:tc>
          <w:tcPr>
            <w:tcW w:w="1149" w:type="dxa"/>
          </w:tcPr>
          <w:p w14:paraId="2E13F282" w14:textId="77777777" w:rsidR="00F46CF1" w:rsidRPr="005C75E3" w:rsidRDefault="00F46CF1" w:rsidP="00F46CF1">
            <w:pPr>
              <w:spacing w:before="120" w:after="120"/>
              <w:jc w:val="left"/>
              <w:rPr>
                <w:rFonts w:eastAsia="Arial"/>
                <w:sz w:val="16"/>
                <w:szCs w:val="16"/>
                <w:lang w:val="en-US"/>
              </w:rPr>
            </w:pPr>
            <w:r w:rsidRPr="00DF7588">
              <w:rPr>
                <w:rFonts w:eastAsia="Arial"/>
                <w:sz w:val="16"/>
                <w:szCs w:val="16"/>
                <w:lang w:val="en-US"/>
              </w:rPr>
              <w:t>Multivariable</w:t>
            </w:r>
          </w:p>
        </w:tc>
        <w:tc>
          <w:tcPr>
            <w:tcW w:w="1316" w:type="dxa"/>
            <w:shd w:val="clear" w:color="auto" w:fill="901100"/>
          </w:tcPr>
          <w:p w14:paraId="4E4B22AB" w14:textId="066AB3F7" w:rsidR="00F46CF1" w:rsidRPr="00996884"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443C43" w:rsidRPr="00443C43" w14:paraId="4C95078F"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CE8D9A8" w14:textId="77777777" w:rsidR="00443C43" w:rsidRPr="00443C43" w:rsidRDefault="00443C43" w:rsidP="00443C43">
            <w:pPr>
              <w:spacing w:before="120" w:after="120"/>
              <w:jc w:val="left"/>
              <w:rPr>
                <w:rFonts w:eastAsia="Arial"/>
                <w:b/>
                <w:bCs/>
                <w:lang w:val="en-US"/>
              </w:rPr>
            </w:pPr>
          </w:p>
        </w:tc>
        <w:tc>
          <w:tcPr>
            <w:tcW w:w="1276" w:type="dxa"/>
            <w:vMerge/>
          </w:tcPr>
          <w:p w14:paraId="0BF30216" w14:textId="77777777" w:rsidR="00443C43" w:rsidRPr="00F5076D" w:rsidRDefault="00443C43" w:rsidP="00443C43">
            <w:pPr>
              <w:spacing w:before="120" w:after="120"/>
              <w:jc w:val="left"/>
              <w:rPr>
                <w:rFonts w:eastAsia="Arial"/>
                <w:lang w:val="en-US"/>
              </w:rPr>
            </w:pPr>
          </w:p>
        </w:tc>
        <w:tc>
          <w:tcPr>
            <w:tcW w:w="1275" w:type="dxa"/>
            <w:vMerge/>
          </w:tcPr>
          <w:p w14:paraId="04A3C9CE" w14:textId="77777777" w:rsidR="00443C43" w:rsidRPr="00F5076D" w:rsidRDefault="00443C43"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1A81A613" w14:textId="77777777" w:rsidR="00443C43" w:rsidRPr="00F5076D" w:rsidRDefault="00443C43" w:rsidP="00443C43">
            <w:pPr>
              <w:spacing w:before="120" w:after="120"/>
              <w:jc w:val="left"/>
              <w:rPr>
                <w:rFonts w:eastAsia="Arial"/>
                <w:sz w:val="20"/>
                <w:szCs w:val="20"/>
                <w:lang w:val="en-US"/>
              </w:rPr>
            </w:pPr>
          </w:p>
        </w:tc>
        <w:tc>
          <w:tcPr>
            <w:tcW w:w="1134" w:type="dxa"/>
            <w:vMerge/>
          </w:tcPr>
          <w:p w14:paraId="7ACCF041" w14:textId="77777777" w:rsidR="00443C43" w:rsidRPr="00F5076D" w:rsidRDefault="00443C43" w:rsidP="00443C43">
            <w:pPr>
              <w:spacing w:before="120" w:after="120"/>
              <w:jc w:val="left"/>
              <w:rPr>
                <w:rFonts w:eastAsia="Arial"/>
                <w:sz w:val="20"/>
                <w:szCs w:val="20"/>
                <w:lang w:val="en-US"/>
              </w:rPr>
            </w:pPr>
          </w:p>
        </w:tc>
        <w:tc>
          <w:tcPr>
            <w:tcW w:w="1478" w:type="dxa"/>
            <w:vMerge/>
          </w:tcPr>
          <w:p w14:paraId="2329E726" w14:textId="77777777" w:rsidR="00443C43" w:rsidRPr="00F5076D" w:rsidRDefault="00443C43" w:rsidP="00443C43">
            <w:pPr>
              <w:spacing w:before="120" w:after="120"/>
              <w:jc w:val="left"/>
              <w:rPr>
                <w:rFonts w:eastAsia="Arial"/>
                <w:sz w:val="20"/>
                <w:szCs w:val="20"/>
                <w:lang w:val="en-US"/>
              </w:rPr>
            </w:pPr>
          </w:p>
        </w:tc>
        <w:tc>
          <w:tcPr>
            <w:tcW w:w="1215" w:type="dxa"/>
          </w:tcPr>
          <w:p w14:paraId="19956843" w14:textId="77777777" w:rsidR="00443C43" w:rsidRPr="0032339F" w:rsidRDefault="00443C43" w:rsidP="00443C43">
            <w:pPr>
              <w:spacing w:before="120" w:after="120"/>
              <w:jc w:val="left"/>
              <w:rPr>
                <w:rFonts w:eastAsia="Arial"/>
                <w:sz w:val="16"/>
                <w:szCs w:val="16"/>
                <w:lang w:val="en-US"/>
              </w:rPr>
            </w:pPr>
            <w:r w:rsidRPr="00F5076D">
              <w:rPr>
                <w:rFonts w:eastAsia="Arial"/>
                <w:sz w:val="16"/>
                <w:szCs w:val="16"/>
                <w:lang w:val="en-US"/>
              </w:rPr>
              <w:t>Right thalamus volume (Voxel-based morphometry; ≥ 100 voxels; uncorrected p &lt; 0.001; whole brain general linear models)</w:t>
            </w:r>
          </w:p>
        </w:tc>
        <w:tc>
          <w:tcPr>
            <w:tcW w:w="1276" w:type="dxa"/>
          </w:tcPr>
          <w:p w14:paraId="13CD8272" w14:textId="77777777" w:rsidR="00443C43" w:rsidRPr="0032339F" w:rsidRDefault="00443C43" w:rsidP="00443C43">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4E121A6B" w14:textId="77777777" w:rsidR="00443C43" w:rsidRPr="0032339F" w:rsidRDefault="00443C43" w:rsidP="00443C43">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BFBFBF"/>
          </w:tcPr>
          <w:p w14:paraId="278C4DE5" w14:textId="77777777" w:rsidR="00443C43" w:rsidRPr="0090785E" w:rsidRDefault="00443C43" w:rsidP="00443C43">
            <w:pPr>
              <w:spacing w:before="120" w:after="120"/>
              <w:jc w:val="left"/>
              <w:rPr>
                <w:rFonts w:eastAsia="Arial"/>
                <w:sz w:val="20"/>
                <w:szCs w:val="20"/>
                <w:lang w:val="en-US"/>
              </w:rPr>
            </w:pPr>
            <w:r w:rsidRPr="0032339F">
              <w:rPr>
                <w:rFonts w:eastAsia="Arial"/>
                <w:sz w:val="20"/>
                <w:szCs w:val="20"/>
                <w:lang w:val="en-US"/>
              </w:rPr>
              <w:t>Significant but unclear effect (increased volume)</w:t>
            </w:r>
          </w:p>
        </w:tc>
      </w:tr>
      <w:tr w:rsidR="00F46CF1" w:rsidRPr="00443C43" w14:paraId="35216BF2" w14:textId="77777777" w:rsidTr="00CF2505">
        <w:tc>
          <w:tcPr>
            <w:tcW w:w="1413" w:type="dxa"/>
            <w:vMerge/>
          </w:tcPr>
          <w:p w14:paraId="0C4FC9BA" w14:textId="77777777" w:rsidR="00F46CF1" w:rsidRPr="00443C43" w:rsidRDefault="00F46CF1" w:rsidP="00F46CF1">
            <w:pPr>
              <w:spacing w:before="120" w:after="120"/>
              <w:jc w:val="left"/>
              <w:rPr>
                <w:rFonts w:eastAsia="Arial"/>
                <w:b/>
                <w:bCs/>
                <w:lang w:val="en-US"/>
              </w:rPr>
            </w:pPr>
          </w:p>
        </w:tc>
        <w:tc>
          <w:tcPr>
            <w:tcW w:w="1276" w:type="dxa"/>
            <w:vMerge/>
          </w:tcPr>
          <w:p w14:paraId="6BFA90B3" w14:textId="77777777" w:rsidR="00F46CF1" w:rsidRPr="00F5076D" w:rsidRDefault="00F46CF1" w:rsidP="00F46CF1">
            <w:pPr>
              <w:spacing w:before="120" w:after="120"/>
              <w:jc w:val="left"/>
              <w:rPr>
                <w:rFonts w:eastAsia="Arial"/>
                <w:lang w:val="en-US"/>
              </w:rPr>
            </w:pPr>
          </w:p>
        </w:tc>
        <w:tc>
          <w:tcPr>
            <w:tcW w:w="1275" w:type="dxa"/>
            <w:vMerge/>
          </w:tcPr>
          <w:p w14:paraId="068E22B5" w14:textId="77777777" w:rsidR="00F46CF1" w:rsidRPr="00F5076D"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15D64103" w14:textId="77777777" w:rsidR="00F46CF1" w:rsidRPr="00F5076D" w:rsidRDefault="00F46CF1" w:rsidP="00F46CF1">
            <w:pPr>
              <w:spacing w:before="120" w:after="120"/>
              <w:jc w:val="left"/>
              <w:rPr>
                <w:rFonts w:eastAsia="Arial"/>
                <w:sz w:val="20"/>
                <w:szCs w:val="20"/>
                <w:lang w:val="en-US"/>
              </w:rPr>
            </w:pPr>
          </w:p>
        </w:tc>
        <w:tc>
          <w:tcPr>
            <w:tcW w:w="1134" w:type="dxa"/>
            <w:vMerge/>
          </w:tcPr>
          <w:p w14:paraId="5788DFF6" w14:textId="77777777" w:rsidR="00F46CF1" w:rsidRPr="00F5076D" w:rsidRDefault="00F46CF1" w:rsidP="00F46CF1">
            <w:pPr>
              <w:spacing w:before="120" w:after="120"/>
              <w:jc w:val="left"/>
              <w:rPr>
                <w:rFonts w:eastAsia="Arial"/>
                <w:sz w:val="20"/>
                <w:szCs w:val="20"/>
                <w:lang w:val="en-US"/>
              </w:rPr>
            </w:pPr>
          </w:p>
        </w:tc>
        <w:tc>
          <w:tcPr>
            <w:tcW w:w="1478" w:type="dxa"/>
            <w:vMerge/>
          </w:tcPr>
          <w:p w14:paraId="3904D255" w14:textId="77777777" w:rsidR="00F46CF1" w:rsidRPr="00F5076D" w:rsidRDefault="00F46CF1" w:rsidP="00F46CF1">
            <w:pPr>
              <w:spacing w:before="120" w:after="120"/>
              <w:jc w:val="left"/>
              <w:rPr>
                <w:rFonts w:eastAsia="Arial"/>
                <w:sz w:val="20"/>
                <w:szCs w:val="20"/>
                <w:lang w:val="en-US"/>
              </w:rPr>
            </w:pPr>
          </w:p>
        </w:tc>
        <w:tc>
          <w:tcPr>
            <w:tcW w:w="1215" w:type="dxa"/>
          </w:tcPr>
          <w:p w14:paraId="0905EB49" w14:textId="77777777" w:rsidR="00F46CF1" w:rsidRPr="0090785E" w:rsidRDefault="00F46CF1" w:rsidP="00F46CF1">
            <w:pPr>
              <w:spacing w:before="120" w:after="120"/>
              <w:jc w:val="left"/>
              <w:rPr>
                <w:rFonts w:eastAsia="Arial"/>
                <w:sz w:val="16"/>
                <w:szCs w:val="16"/>
                <w:lang w:val="en-US"/>
              </w:rPr>
            </w:pPr>
            <w:r w:rsidRPr="00F5076D">
              <w:rPr>
                <w:rFonts w:eastAsia="Arial"/>
                <w:sz w:val="16"/>
                <w:szCs w:val="16"/>
                <w:lang w:val="en-US"/>
              </w:rPr>
              <w:t>Total grey matter volume (both Voxel- and Surface-based morphometry automated segmentations)</w:t>
            </w:r>
          </w:p>
        </w:tc>
        <w:tc>
          <w:tcPr>
            <w:tcW w:w="1276" w:type="dxa"/>
          </w:tcPr>
          <w:p w14:paraId="43201248" w14:textId="77777777" w:rsidR="00F46CF1" w:rsidRPr="00D41A99" w:rsidRDefault="00F46CF1" w:rsidP="00F46CF1">
            <w:pPr>
              <w:spacing w:before="120" w:after="120"/>
              <w:jc w:val="left"/>
              <w:rPr>
                <w:rFonts w:eastAsia="Arial"/>
                <w:sz w:val="20"/>
                <w:szCs w:val="20"/>
                <w:lang w:val="en-US"/>
              </w:rPr>
            </w:pPr>
            <w:r w:rsidRPr="00D41A99">
              <w:rPr>
                <w:rFonts w:eastAsia="Arial"/>
                <w:sz w:val="20"/>
                <w:szCs w:val="20"/>
                <w:lang w:val="en-US"/>
              </w:rPr>
              <w:t>NA</w:t>
            </w:r>
          </w:p>
        </w:tc>
        <w:tc>
          <w:tcPr>
            <w:tcW w:w="1149" w:type="dxa"/>
          </w:tcPr>
          <w:p w14:paraId="406A27ED" w14:textId="77777777" w:rsidR="00F46CF1" w:rsidRPr="00DF7588" w:rsidRDefault="00F46CF1" w:rsidP="00F46CF1">
            <w:pPr>
              <w:spacing w:before="120" w:after="120"/>
              <w:jc w:val="left"/>
              <w:rPr>
                <w:rFonts w:eastAsia="Arial"/>
                <w:sz w:val="16"/>
                <w:szCs w:val="16"/>
                <w:lang w:val="en-US"/>
              </w:rPr>
            </w:pPr>
            <w:r w:rsidRPr="0018385C">
              <w:rPr>
                <w:rFonts w:eastAsia="Arial"/>
                <w:sz w:val="16"/>
                <w:szCs w:val="16"/>
                <w:lang w:val="en-US"/>
              </w:rPr>
              <w:t>Multivariable</w:t>
            </w:r>
          </w:p>
        </w:tc>
        <w:tc>
          <w:tcPr>
            <w:tcW w:w="1316" w:type="dxa"/>
            <w:shd w:val="clear" w:color="auto" w:fill="901100"/>
          </w:tcPr>
          <w:p w14:paraId="438A8BC9" w14:textId="7F7C0D69" w:rsidR="00F46CF1" w:rsidRPr="005C75E3"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sidR="006F6DF5">
              <w:rPr>
                <w:rFonts w:eastAsia="Arial"/>
                <w:sz w:val="20"/>
                <w:szCs w:val="20"/>
                <w:lang w:val="en-US"/>
              </w:rPr>
              <w:t>negative</w:t>
            </w:r>
            <w:r>
              <w:rPr>
                <w:rFonts w:eastAsia="Arial"/>
                <w:sz w:val="20"/>
                <w:szCs w:val="20"/>
                <w:lang w:val="en-US"/>
              </w:rPr>
              <w:t xml:space="preserve"> association</w:t>
            </w:r>
          </w:p>
        </w:tc>
      </w:tr>
      <w:tr w:rsidR="00443C43" w:rsidRPr="00443C43" w14:paraId="5DCD87B8"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val="restart"/>
          </w:tcPr>
          <w:p w14:paraId="5E36F928" w14:textId="77777777" w:rsidR="00443C43" w:rsidRPr="00443C43" w:rsidRDefault="00443C43" w:rsidP="00443C43">
            <w:pPr>
              <w:spacing w:before="120" w:after="120"/>
              <w:jc w:val="left"/>
              <w:rPr>
                <w:rFonts w:eastAsia="Arial"/>
                <w:b/>
                <w:bCs/>
                <w:lang w:val="en-US"/>
              </w:rPr>
            </w:pPr>
            <w:r w:rsidRPr="00AC7042">
              <w:rPr>
                <w:rFonts w:eastAsia="Arial"/>
                <w:b/>
                <w:bCs/>
                <w:sz w:val="18"/>
                <w:szCs w:val="18"/>
                <w:lang w:val="en-US"/>
              </w:rPr>
              <w:t>Concentrations</w:t>
            </w:r>
          </w:p>
        </w:tc>
        <w:tc>
          <w:tcPr>
            <w:tcW w:w="1276" w:type="dxa"/>
            <w:vMerge w:val="restart"/>
          </w:tcPr>
          <w:p w14:paraId="7E014FFD" w14:textId="77777777" w:rsidR="00443C43" w:rsidRPr="00443C43" w:rsidRDefault="00443C43" w:rsidP="00443C43">
            <w:pPr>
              <w:spacing w:before="120" w:after="120"/>
              <w:jc w:val="left"/>
              <w:rPr>
                <w:rFonts w:eastAsia="Arial"/>
                <w:lang w:val="en-US"/>
              </w:rPr>
            </w:pPr>
            <w:r w:rsidRPr="00443C43">
              <w:rPr>
                <w:rFonts w:eastAsia="Arial"/>
                <w:lang w:val="en-US"/>
              </w:rPr>
              <w:t>End-stage cancer</w:t>
            </w:r>
          </w:p>
        </w:tc>
        <w:tc>
          <w:tcPr>
            <w:tcW w:w="1275" w:type="dxa"/>
            <w:vMerge w:val="restart"/>
          </w:tcPr>
          <w:p w14:paraId="1366A2A9" w14:textId="33016964"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Taha et al., 2019</w:t>
            </w:r>
            <w:r w:rsidR="0065786C" w:rsidRPr="0065786C">
              <w:rPr>
                <w:sz w:val="20"/>
                <w:szCs w:val="24"/>
                <w:vertAlign w:val="superscript"/>
              </w:rPr>
              <w:t>151</w:t>
            </w:r>
          </w:p>
          <w:p w14:paraId="637AE9B6" w14:textId="77777777" w:rsidR="00443C43" w:rsidRPr="00443C43" w:rsidRDefault="00443C43" w:rsidP="00443C43">
            <w:pPr>
              <w:spacing w:before="120" w:after="120"/>
              <w:jc w:val="left"/>
              <w:rPr>
                <w:rFonts w:eastAsia="Arial"/>
                <w:sz w:val="20"/>
                <w:szCs w:val="20"/>
                <w:lang w:val="en-US"/>
              </w:rPr>
            </w:pPr>
            <w:r w:rsidRPr="00443C43">
              <w:rPr>
                <w:rFonts w:eastAsia="Arial"/>
                <w:sz w:val="16"/>
                <w:szCs w:val="16"/>
                <w:lang w:val="en-US"/>
              </w:rPr>
              <w:t>Retrospective cohort</w:t>
            </w:r>
          </w:p>
        </w:tc>
        <w:tc>
          <w:tcPr>
            <w:tcW w:w="1418" w:type="dxa"/>
            <w:shd w:val="clear" w:color="auto" w:fill="D9D9D9" w:themeFill="background1" w:themeFillShade="D9"/>
          </w:tcPr>
          <w:p w14:paraId="7D64CD6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 1% CBD vs &lt; 1% CBD</w:t>
            </w:r>
          </w:p>
        </w:tc>
        <w:tc>
          <w:tcPr>
            <w:tcW w:w="1134" w:type="dxa"/>
          </w:tcPr>
          <w:p w14:paraId="1F298E1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Medical cannabis of varying THC:CBD ratios, supplied from six different companies in Israel</w:t>
            </w:r>
          </w:p>
        </w:tc>
        <w:tc>
          <w:tcPr>
            <w:tcW w:w="1478" w:type="dxa"/>
          </w:tcPr>
          <w:p w14:paraId="183BCFF6"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Response to treatment of another therapy</w:t>
            </w:r>
          </w:p>
        </w:tc>
        <w:tc>
          <w:tcPr>
            <w:tcW w:w="1215" w:type="dxa"/>
          </w:tcPr>
          <w:p w14:paraId="49A5C32B"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Percent of patients with complete or partial response to nivolumab for advanced lung cancer, renal carcinoma, or malignant melanoma</w:t>
            </w:r>
          </w:p>
        </w:tc>
        <w:tc>
          <w:tcPr>
            <w:tcW w:w="1276" w:type="dxa"/>
          </w:tcPr>
          <w:p w14:paraId="773D284D"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00401075"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FF7D6C"/>
          </w:tcPr>
          <w:p w14:paraId="34C3FCFF"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Harmful</w:t>
            </w:r>
          </w:p>
        </w:tc>
      </w:tr>
      <w:tr w:rsidR="002C5725" w:rsidRPr="00443C43" w14:paraId="130C65EE" w14:textId="77777777" w:rsidTr="00CF2505">
        <w:tc>
          <w:tcPr>
            <w:tcW w:w="1413" w:type="dxa"/>
            <w:vMerge/>
          </w:tcPr>
          <w:p w14:paraId="30DC9834" w14:textId="77777777" w:rsidR="00443C43" w:rsidRPr="00443C43" w:rsidRDefault="00443C43" w:rsidP="00443C43">
            <w:pPr>
              <w:spacing w:before="120" w:after="120"/>
              <w:jc w:val="left"/>
              <w:rPr>
                <w:rFonts w:eastAsia="Arial"/>
                <w:b/>
                <w:bCs/>
                <w:lang w:val="en-US"/>
              </w:rPr>
            </w:pPr>
          </w:p>
        </w:tc>
        <w:tc>
          <w:tcPr>
            <w:tcW w:w="1276" w:type="dxa"/>
            <w:vMerge/>
          </w:tcPr>
          <w:p w14:paraId="19C7CE1F" w14:textId="77777777" w:rsidR="00443C43" w:rsidRPr="00443C43" w:rsidRDefault="00443C43" w:rsidP="00443C43">
            <w:pPr>
              <w:spacing w:before="120" w:after="120"/>
              <w:jc w:val="left"/>
              <w:rPr>
                <w:rFonts w:eastAsia="Arial"/>
                <w:lang w:val="en-US"/>
              </w:rPr>
            </w:pPr>
          </w:p>
        </w:tc>
        <w:tc>
          <w:tcPr>
            <w:tcW w:w="1275" w:type="dxa"/>
            <w:vMerge/>
          </w:tcPr>
          <w:p w14:paraId="213B3CD4" w14:textId="77777777" w:rsidR="00443C43" w:rsidRPr="00443C43" w:rsidRDefault="00443C43" w:rsidP="00443C43">
            <w:pPr>
              <w:spacing w:before="120" w:after="120"/>
              <w:jc w:val="left"/>
              <w:rPr>
                <w:rFonts w:eastAsia="Arial"/>
                <w:sz w:val="20"/>
                <w:szCs w:val="20"/>
                <w:lang w:val="en-US"/>
              </w:rPr>
            </w:pPr>
          </w:p>
        </w:tc>
        <w:tc>
          <w:tcPr>
            <w:tcW w:w="1418" w:type="dxa"/>
            <w:shd w:val="clear" w:color="auto" w:fill="D9D9D9" w:themeFill="background1" w:themeFillShade="D9"/>
          </w:tcPr>
          <w:p w14:paraId="78994204"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 10% THC vs &lt; 10% THC</w:t>
            </w:r>
          </w:p>
        </w:tc>
        <w:tc>
          <w:tcPr>
            <w:tcW w:w="1134" w:type="dxa"/>
          </w:tcPr>
          <w:p w14:paraId="2A868BB7"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 xml:space="preserve">Medical cannabis of varying THC:CBD ratios, supplied </w:t>
            </w:r>
            <w:r w:rsidRPr="00443C43">
              <w:rPr>
                <w:rFonts w:eastAsia="Arial"/>
                <w:sz w:val="20"/>
                <w:szCs w:val="20"/>
                <w:lang w:val="en-US"/>
              </w:rPr>
              <w:lastRenderedPageBreak/>
              <w:t>from six different companies in Israel</w:t>
            </w:r>
          </w:p>
        </w:tc>
        <w:tc>
          <w:tcPr>
            <w:tcW w:w="1478" w:type="dxa"/>
          </w:tcPr>
          <w:p w14:paraId="06AAB37E"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Response to treatment of another therapy</w:t>
            </w:r>
          </w:p>
        </w:tc>
        <w:tc>
          <w:tcPr>
            <w:tcW w:w="1215" w:type="dxa"/>
          </w:tcPr>
          <w:p w14:paraId="5DB48B3D"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 xml:space="preserve">Percent of patients with complete or partial response to nivolumab for advanced lung cancer, renal </w:t>
            </w:r>
            <w:r w:rsidRPr="00443C43">
              <w:rPr>
                <w:rFonts w:eastAsia="Arial"/>
                <w:sz w:val="16"/>
                <w:szCs w:val="16"/>
                <w:lang w:val="en-US"/>
              </w:rPr>
              <w:lastRenderedPageBreak/>
              <w:t>carcinoma, or malignant melanoma</w:t>
            </w:r>
          </w:p>
        </w:tc>
        <w:tc>
          <w:tcPr>
            <w:tcW w:w="1276" w:type="dxa"/>
          </w:tcPr>
          <w:p w14:paraId="724E9247"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NA</w:t>
            </w:r>
          </w:p>
        </w:tc>
        <w:tc>
          <w:tcPr>
            <w:tcW w:w="1149" w:type="dxa"/>
          </w:tcPr>
          <w:p w14:paraId="4B4E95F1"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9FF99"/>
          </w:tcPr>
          <w:p w14:paraId="20DB2AF9"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Beneficial</w:t>
            </w:r>
          </w:p>
        </w:tc>
      </w:tr>
      <w:tr w:rsidR="002C5725" w:rsidRPr="00443C43" w14:paraId="2BE3D683" w14:textId="77777777" w:rsidTr="006F6DF5">
        <w:trPr>
          <w:cnfStyle w:val="000000100000" w:firstRow="0" w:lastRow="0" w:firstColumn="0" w:lastColumn="0" w:oddVBand="0" w:evenVBand="0" w:oddHBand="1" w:evenHBand="0" w:firstRowFirstColumn="0" w:firstRowLastColumn="0" w:lastRowFirstColumn="0" w:lastRowLastColumn="0"/>
        </w:trPr>
        <w:tc>
          <w:tcPr>
            <w:tcW w:w="1413" w:type="dxa"/>
            <w:vMerge w:val="restart"/>
          </w:tcPr>
          <w:p w14:paraId="5DAF1C46" w14:textId="77777777" w:rsidR="00443C43" w:rsidRPr="00443C43" w:rsidRDefault="00443C43" w:rsidP="00443C43">
            <w:pPr>
              <w:spacing w:before="120" w:after="120"/>
              <w:jc w:val="left"/>
              <w:rPr>
                <w:rFonts w:eastAsia="Arial"/>
                <w:b/>
                <w:bCs/>
                <w:lang w:val="en-US"/>
              </w:rPr>
            </w:pPr>
            <w:r w:rsidRPr="00AC7042">
              <w:rPr>
                <w:rFonts w:eastAsia="Arial"/>
                <w:b/>
                <w:bCs/>
                <w:sz w:val="24"/>
                <w:szCs w:val="24"/>
                <w:lang w:val="en-US"/>
              </w:rPr>
              <w:t>Frequency of use</w:t>
            </w:r>
          </w:p>
        </w:tc>
        <w:tc>
          <w:tcPr>
            <w:tcW w:w="1276" w:type="dxa"/>
          </w:tcPr>
          <w:p w14:paraId="21DC87D7" w14:textId="77777777" w:rsidR="00443C43" w:rsidRPr="001575D7" w:rsidRDefault="00443C43" w:rsidP="00443C43">
            <w:pPr>
              <w:spacing w:before="120" w:after="120"/>
              <w:jc w:val="left"/>
              <w:rPr>
                <w:rFonts w:eastAsia="Arial"/>
                <w:lang w:val="en-US"/>
              </w:rPr>
            </w:pPr>
            <w:r w:rsidRPr="001575D7">
              <w:rPr>
                <w:rFonts w:eastAsia="Arial"/>
                <w:lang w:val="en-US"/>
              </w:rPr>
              <w:t>Parkinson’s disease</w:t>
            </w:r>
          </w:p>
        </w:tc>
        <w:tc>
          <w:tcPr>
            <w:tcW w:w="1275" w:type="dxa"/>
          </w:tcPr>
          <w:p w14:paraId="245417DA" w14:textId="52BBF3EE" w:rsidR="00443C43" w:rsidRPr="00443C43" w:rsidRDefault="00443C43" w:rsidP="00443C43">
            <w:pPr>
              <w:spacing w:before="120" w:after="120"/>
              <w:jc w:val="left"/>
              <w:rPr>
                <w:rFonts w:eastAsia="Arial"/>
                <w:sz w:val="20"/>
                <w:szCs w:val="20"/>
                <w:lang w:val="en-US"/>
              </w:rPr>
            </w:pPr>
            <w:proofErr w:type="spellStart"/>
            <w:r w:rsidRPr="00443C43">
              <w:rPr>
                <w:rFonts w:eastAsia="Arial"/>
                <w:sz w:val="20"/>
                <w:szCs w:val="20"/>
                <w:lang w:val="en-US"/>
              </w:rPr>
              <w:t>Venderova</w:t>
            </w:r>
            <w:proofErr w:type="spellEnd"/>
            <w:r w:rsidRPr="00443C43">
              <w:rPr>
                <w:rFonts w:eastAsia="Arial"/>
                <w:sz w:val="20"/>
                <w:szCs w:val="20"/>
                <w:lang w:val="en-US"/>
              </w:rPr>
              <w:t xml:space="preserve"> et al., 2004</w:t>
            </w:r>
            <w:r w:rsidR="0065786C" w:rsidRPr="0065786C">
              <w:rPr>
                <w:sz w:val="20"/>
                <w:szCs w:val="24"/>
                <w:vertAlign w:val="superscript"/>
              </w:rPr>
              <w:t>153</w:t>
            </w:r>
          </w:p>
          <w:p w14:paraId="4923CA6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Cross-sectional (study specific data)</w:t>
            </w:r>
          </w:p>
        </w:tc>
        <w:tc>
          <w:tcPr>
            <w:tcW w:w="1418" w:type="dxa"/>
            <w:shd w:val="clear" w:color="auto" w:fill="D9D9D9" w:themeFill="background1" w:themeFillShade="D9"/>
          </w:tcPr>
          <w:p w14:paraId="7D17D05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At least once a day vs less than once daily</w:t>
            </w:r>
          </w:p>
        </w:tc>
        <w:tc>
          <w:tcPr>
            <w:tcW w:w="1134" w:type="dxa"/>
          </w:tcPr>
          <w:p w14:paraId="159F8E8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Self-medicated with whole Sativa plant or extracts</w:t>
            </w:r>
          </w:p>
        </w:tc>
        <w:tc>
          <w:tcPr>
            <w:tcW w:w="1478" w:type="dxa"/>
          </w:tcPr>
          <w:p w14:paraId="252C192E"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Dyskinesia</w:t>
            </w:r>
          </w:p>
        </w:tc>
        <w:tc>
          <w:tcPr>
            <w:tcW w:w="1215" w:type="dxa"/>
          </w:tcPr>
          <w:p w14:paraId="27CEB368"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Dyskinesia improvement</w:t>
            </w:r>
          </w:p>
        </w:tc>
        <w:tc>
          <w:tcPr>
            <w:tcW w:w="1276" w:type="dxa"/>
          </w:tcPr>
          <w:p w14:paraId="3FC5716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149B4C7D"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00B050"/>
          </w:tcPr>
          <w:p w14:paraId="24D21E5F" w14:textId="4986EEAA" w:rsidR="00443C43" w:rsidRPr="00443C43" w:rsidRDefault="006F6DF5" w:rsidP="00443C43">
            <w:pPr>
              <w:spacing w:before="120" w:after="120"/>
              <w:jc w:val="left"/>
              <w:rPr>
                <w:rFonts w:eastAsia="Arial"/>
                <w:sz w:val="20"/>
                <w:szCs w:val="20"/>
                <w:lang w:val="en-US"/>
              </w:rPr>
            </w:pPr>
            <w:r>
              <w:rPr>
                <w:rFonts w:eastAsia="Arial"/>
                <w:color w:val="FFFFFF"/>
                <w:sz w:val="20"/>
                <w:szCs w:val="20"/>
                <w:lang w:val="en-US"/>
              </w:rPr>
              <w:t>Significant negative association</w:t>
            </w:r>
          </w:p>
        </w:tc>
      </w:tr>
      <w:tr w:rsidR="00F46CF1" w:rsidRPr="00443C43" w14:paraId="3C55DBA9" w14:textId="77777777" w:rsidTr="00CF2505">
        <w:tc>
          <w:tcPr>
            <w:tcW w:w="1413" w:type="dxa"/>
            <w:vMerge/>
          </w:tcPr>
          <w:p w14:paraId="5EA93BAD" w14:textId="77777777" w:rsidR="00F46CF1" w:rsidRPr="00443C43" w:rsidRDefault="00F46CF1" w:rsidP="00F46CF1">
            <w:pPr>
              <w:spacing w:before="120" w:after="120"/>
              <w:jc w:val="left"/>
              <w:rPr>
                <w:rFonts w:eastAsia="Arial"/>
                <w:b/>
                <w:bCs/>
                <w:sz w:val="20"/>
                <w:szCs w:val="20"/>
                <w:lang w:val="en-US"/>
              </w:rPr>
            </w:pPr>
          </w:p>
        </w:tc>
        <w:tc>
          <w:tcPr>
            <w:tcW w:w="1276" w:type="dxa"/>
            <w:vMerge w:val="restart"/>
          </w:tcPr>
          <w:p w14:paraId="1D633EC1" w14:textId="1F5FFA9A" w:rsidR="00F46CF1" w:rsidRPr="00443C43" w:rsidRDefault="00F46CF1" w:rsidP="00F46CF1">
            <w:pPr>
              <w:spacing w:before="120" w:after="120"/>
              <w:jc w:val="left"/>
              <w:rPr>
                <w:rFonts w:eastAsia="Arial"/>
                <w:lang w:val="en-US"/>
              </w:rPr>
            </w:pPr>
            <w:r>
              <w:rPr>
                <w:rFonts w:eastAsia="Arial"/>
                <w:lang w:val="en-US"/>
              </w:rPr>
              <w:t>Cannabis use in the o</w:t>
            </w:r>
            <w:r w:rsidRPr="00443C43">
              <w:rPr>
                <w:rFonts w:eastAsia="Arial"/>
                <w:lang w:val="en-US"/>
              </w:rPr>
              <w:t>lder general public</w:t>
            </w:r>
          </w:p>
        </w:tc>
        <w:tc>
          <w:tcPr>
            <w:tcW w:w="1275" w:type="dxa"/>
          </w:tcPr>
          <w:p w14:paraId="036B42F7" w14:textId="1DBE458E"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Choi et al., 2021a</w:t>
            </w:r>
            <w:r w:rsidRPr="0065786C">
              <w:rPr>
                <w:sz w:val="20"/>
                <w:szCs w:val="24"/>
                <w:vertAlign w:val="superscript"/>
              </w:rPr>
              <w:t>4</w:t>
            </w:r>
          </w:p>
          <w:p w14:paraId="44F4B0D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Sequential NSDUH 2015–18</w:t>
            </w:r>
          </w:p>
        </w:tc>
        <w:tc>
          <w:tcPr>
            <w:tcW w:w="1418" w:type="dxa"/>
            <w:shd w:val="clear" w:color="auto" w:fill="D9D9D9" w:themeFill="background1" w:themeFillShade="D9"/>
          </w:tcPr>
          <w:p w14:paraId="7A30B092"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Past-year high (100–365 days of use) vs low (1–99 days of use) frequency</w:t>
            </w:r>
          </w:p>
        </w:tc>
        <w:tc>
          <w:tcPr>
            <w:tcW w:w="1134" w:type="dxa"/>
          </w:tcPr>
          <w:p w14:paraId="38F2BF0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5397889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CUD</w:t>
            </w:r>
          </w:p>
        </w:tc>
        <w:tc>
          <w:tcPr>
            <w:tcW w:w="1215" w:type="dxa"/>
          </w:tcPr>
          <w:p w14:paraId="7761191F"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Past-year either marijuana abuse or dependence per DSM-IV</w:t>
            </w:r>
          </w:p>
        </w:tc>
        <w:tc>
          <w:tcPr>
            <w:tcW w:w="1276" w:type="dxa"/>
          </w:tcPr>
          <w:p w14:paraId="630DA08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1CD4A5BA"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24E69103" w14:textId="16A4925E" w:rsidR="00F46CF1" w:rsidRPr="00443C43" w:rsidRDefault="00F46CF1" w:rsidP="00F46CF1">
            <w:pPr>
              <w:spacing w:before="120" w:after="120"/>
              <w:jc w:val="left"/>
              <w:rPr>
                <w:rFonts w:eastAsia="Arial"/>
                <w:color w:val="FFFFFF"/>
                <w:sz w:val="20"/>
                <w:szCs w:val="20"/>
                <w:lang w:val="en-US"/>
              </w:rPr>
            </w:pPr>
            <w:r>
              <w:rPr>
                <w:rFonts w:eastAsia="Arial"/>
                <w:sz w:val="20"/>
                <w:szCs w:val="20"/>
                <w:lang w:val="en-US"/>
              </w:rPr>
              <w:t>Significant positive association</w:t>
            </w:r>
          </w:p>
        </w:tc>
      </w:tr>
      <w:tr w:rsidR="00F46CF1" w:rsidRPr="00443C43" w14:paraId="260CEA76"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44D8A561"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464D62EA" w14:textId="77777777" w:rsidR="00F46CF1" w:rsidRPr="00443C43" w:rsidRDefault="00F46CF1" w:rsidP="00F46CF1">
            <w:pPr>
              <w:spacing w:before="120" w:after="120"/>
              <w:jc w:val="left"/>
              <w:rPr>
                <w:rFonts w:eastAsia="Arial"/>
                <w:lang w:val="en-US"/>
              </w:rPr>
            </w:pPr>
          </w:p>
        </w:tc>
        <w:tc>
          <w:tcPr>
            <w:tcW w:w="1275" w:type="dxa"/>
            <w:vMerge w:val="restart"/>
          </w:tcPr>
          <w:p w14:paraId="21D87B55" w14:textId="3373410D"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Benitez et al., 2020</w:t>
            </w:r>
            <w:r w:rsidRPr="0065786C">
              <w:rPr>
                <w:sz w:val="20"/>
                <w:szCs w:val="24"/>
                <w:vertAlign w:val="superscript"/>
              </w:rPr>
              <w:t>99</w:t>
            </w:r>
          </w:p>
          <w:p w14:paraId="09003AE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Cross-sectional NESARC-III 2012–13</w:t>
            </w:r>
          </w:p>
        </w:tc>
        <w:tc>
          <w:tcPr>
            <w:tcW w:w="1418" w:type="dxa"/>
            <w:vMerge w:val="restart"/>
            <w:shd w:val="clear" w:color="auto" w:fill="D9D9D9" w:themeFill="background1" w:themeFillShade="D9"/>
          </w:tcPr>
          <w:p w14:paraId="68E18823" w14:textId="77777777" w:rsidR="00F46CF1" w:rsidRPr="00443C43" w:rsidRDefault="00F46CF1" w:rsidP="00F46CF1">
            <w:pPr>
              <w:spacing w:before="120" w:after="120"/>
              <w:jc w:val="left"/>
              <w:rPr>
                <w:rFonts w:eastAsia="Arial"/>
                <w:sz w:val="18"/>
                <w:szCs w:val="18"/>
                <w:lang w:val="en-US"/>
              </w:rPr>
            </w:pPr>
            <w:r w:rsidRPr="00443C43">
              <w:rPr>
                <w:rFonts w:eastAsia="Arial"/>
                <w:sz w:val="18"/>
                <w:szCs w:val="18"/>
                <w:lang w:val="en-US"/>
              </w:rPr>
              <w:t>Overall effect comparing 1–11 times per year vs 1–3 times per month vs 1–4 times per week vs every or nearly every day</w:t>
            </w:r>
          </w:p>
        </w:tc>
        <w:tc>
          <w:tcPr>
            <w:tcW w:w="1134" w:type="dxa"/>
            <w:vMerge w:val="restart"/>
          </w:tcPr>
          <w:p w14:paraId="2F309217"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75613AFE"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Cognitive functioning</w:t>
            </w:r>
          </w:p>
        </w:tc>
        <w:tc>
          <w:tcPr>
            <w:tcW w:w="1215" w:type="dxa"/>
          </w:tcPr>
          <w:p w14:paraId="2E211CC8"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Total scale of Executive Function Index (EFI)</w:t>
            </w:r>
          </w:p>
        </w:tc>
        <w:tc>
          <w:tcPr>
            <w:tcW w:w="1276" w:type="dxa"/>
          </w:tcPr>
          <w:p w14:paraId="4759FDE5"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626E20D7"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01100"/>
          </w:tcPr>
          <w:p w14:paraId="35EED277" w14:textId="5E7DCFDC" w:rsidR="00F46CF1" w:rsidRPr="00443C43" w:rsidRDefault="00F46CF1" w:rsidP="00F46CF1">
            <w:pPr>
              <w:spacing w:before="120" w:after="120"/>
              <w:jc w:val="left"/>
              <w:rPr>
                <w:rFonts w:eastAsia="Arial"/>
                <w:color w:val="FFFFFF"/>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F46CF1" w:rsidRPr="00443C43" w14:paraId="0F140516" w14:textId="77777777" w:rsidTr="00CF2505">
        <w:tc>
          <w:tcPr>
            <w:tcW w:w="1413" w:type="dxa"/>
            <w:vMerge/>
          </w:tcPr>
          <w:p w14:paraId="588B726E"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78B1BD53" w14:textId="77777777" w:rsidR="00F46CF1" w:rsidRPr="00443C43" w:rsidRDefault="00F46CF1" w:rsidP="00F46CF1">
            <w:pPr>
              <w:spacing w:before="120" w:after="120"/>
              <w:jc w:val="left"/>
              <w:rPr>
                <w:rFonts w:eastAsia="Arial"/>
                <w:lang w:val="en-US"/>
              </w:rPr>
            </w:pPr>
          </w:p>
        </w:tc>
        <w:tc>
          <w:tcPr>
            <w:tcW w:w="1275" w:type="dxa"/>
            <w:vMerge/>
          </w:tcPr>
          <w:p w14:paraId="55B91169"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37DDD784" w14:textId="77777777" w:rsidR="00F46CF1" w:rsidRPr="00443C43" w:rsidRDefault="00F46CF1" w:rsidP="00F46CF1">
            <w:pPr>
              <w:spacing w:before="120" w:after="120"/>
              <w:jc w:val="left"/>
              <w:rPr>
                <w:rFonts w:eastAsia="Arial"/>
                <w:sz w:val="20"/>
                <w:szCs w:val="20"/>
                <w:lang w:val="en-US"/>
              </w:rPr>
            </w:pPr>
          </w:p>
        </w:tc>
        <w:tc>
          <w:tcPr>
            <w:tcW w:w="1134" w:type="dxa"/>
            <w:vMerge/>
          </w:tcPr>
          <w:p w14:paraId="54A1ABC8" w14:textId="77777777" w:rsidR="00F46CF1" w:rsidRPr="00443C43" w:rsidRDefault="00F46CF1" w:rsidP="00F46CF1">
            <w:pPr>
              <w:spacing w:before="120" w:after="120"/>
              <w:jc w:val="left"/>
              <w:rPr>
                <w:rFonts w:eastAsia="Arial"/>
                <w:sz w:val="20"/>
                <w:szCs w:val="20"/>
                <w:lang w:val="en-US"/>
              </w:rPr>
            </w:pPr>
          </w:p>
        </w:tc>
        <w:tc>
          <w:tcPr>
            <w:tcW w:w="1478" w:type="dxa"/>
          </w:tcPr>
          <w:p w14:paraId="594806C6"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Executive functioning</w:t>
            </w:r>
          </w:p>
        </w:tc>
        <w:tc>
          <w:tcPr>
            <w:tcW w:w="1215" w:type="dxa"/>
          </w:tcPr>
          <w:p w14:paraId="3B38C21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Executive function subscale of the EFI</w:t>
            </w:r>
          </w:p>
        </w:tc>
        <w:tc>
          <w:tcPr>
            <w:tcW w:w="1276" w:type="dxa"/>
          </w:tcPr>
          <w:p w14:paraId="0B7A658A"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719624AA"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 xml:space="preserve"> Multivariable</w:t>
            </w:r>
          </w:p>
        </w:tc>
        <w:tc>
          <w:tcPr>
            <w:tcW w:w="1316" w:type="dxa"/>
            <w:shd w:val="clear" w:color="auto" w:fill="901100"/>
          </w:tcPr>
          <w:p w14:paraId="28097D2E" w14:textId="3223B9F2" w:rsidR="00F46CF1" w:rsidRPr="00443C43" w:rsidRDefault="00F46CF1" w:rsidP="00F46CF1">
            <w:pPr>
              <w:spacing w:before="120" w:after="120"/>
              <w:jc w:val="left"/>
              <w:rPr>
                <w:rFonts w:eastAsia="Arial"/>
                <w:color w:val="FFFFFF"/>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F46CF1" w:rsidRPr="00443C43" w14:paraId="39C9D387"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0E13D963"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2A876DE1" w14:textId="77777777" w:rsidR="00F46CF1" w:rsidRPr="00443C43" w:rsidRDefault="00F46CF1" w:rsidP="00F46CF1">
            <w:pPr>
              <w:spacing w:before="120" w:after="120"/>
              <w:jc w:val="left"/>
              <w:rPr>
                <w:rFonts w:eastAsia="Arial"/>
                <w:lang w:val="en-US"/>
              </w:rPr>
            </w:pPr>
          </w:p>
        </w:tc>
        <w:tc>
          <w:tcPr>
            <w:tcW w:w="1275" w:type="dxa"/>
            <w:vMerge/>
          </w:tcPr>
          <w:p w14:paraId="288F0C15"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12CF5614" w14:textId="77777777" w:rsidR="00F46CF1" w:rsidRPr="00443C43" w:rsidRDefault="00F46CF1" w:rsidP="00F46CF1">
            <w:pPr>
              <w:spacing w:before="120" w:after="120"/>
              <w:jc w:val="left"/>
              <w:rPr>
                <w:rFonts w:eastAsia="Arial"/>
                <w:sz w:val="20"/>
                <w:szCs w:val="20"/>
                <w:lang w:val="en-US"/>
              </w:rPr>
            </w:pPr>
          </w:p>
        </w:tc>
        <w:tc>
          <w:tcPr>
            <w:tcW w:w="1134" w:type="dxa"/>
            <w:vMerge/>
          </w:tcPr>
          <w:p w14:paraId="3725E594" w14:textId="77777777" w:rsidR="00F46CF1" w:rsidRPr="00443C43" w:rsidRDefault="00F46CF1" w:rsidP="00F46CF1">
            <w:pPr>
              <w:spacing w:before="120" w:after="120"/>
              <w:jc w:val="left"/>
              <w:rPr>
                <w:rFonts w:eastAsia="Arial"/>
                <w:sz w:val="20"/>
                <w:szCs w:val="20"/>
                <w:lang w:val="en-US"/>
              </w:rPr>
            </w:pPr>
          </w:p>
        </w:tc>
        <w:tc>
          <w:tcPr>
            <w:tcW w:w="1478" w:type="dxa"/>
          </w:tcPr>
          <w:p w14:paraId="43E52DF7"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Concentration/ focus</w:t>
            </w:r>
          </w:p>
        </w:tc>
        <w:tc>
          <w:tcPr>
            <w:tcW w:w="1215" w:type="dxa"/>
          </w:tcPr>
          <w:p w14:paraId="4A213658"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Attention subscale of the EFI</w:t>
            </w:r>
          </w:p>
        </w:tc>
        <w:tc>
          <w:tcPr>
            <w:tcW w:w="1276" w:type="dxa"/>
          </w:tcPr>
          <w:p w14:paraId="772EB11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554CF1D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 xml:space="preserve"> Multivariable</w:t>
            </w:r>
          </w:p>
        </w:tc>
        <w:tc>
          <w:tcPr>
            <w:tcW w:w="1316" w:type="dxa"/>
            <w:shd w:val="clear" w:color="auto" w:fill="901100"/>
          </w:tcPr>
          <w:p w14:paraId="03E66BFF" w14:textId="28D6EB0A" w:rsidR="00F46CF1" w:rsidRPr="00443C43" w:rsidRDefault="00F46CF1" w:rsidP="00F46CF1">
            <w:pPr>
              <w:spacing w:before="120" w:after="120"/>
              <w:jc w:val="left"/>
              <w:rPr>
                <w:rFonts w:eastAsia="Arial"/>
                <w:color w:val="FFFFFF"/>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443C43" w:rsidRPr="00443C43" w14:paraId="345FD810" w14:textId="77777777" w:rsidTr="00CF2505">
        <w:tc>
          <w:tcPr>
            <w:tcW w:w="1413" w:type="dxa"/>
            <w:vMerge/>
          </w:tcPr>
          <w:p w14:paraId="0EC4BD3C"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2C9C5C72" w14:textId="77777777" w:rsidR="00443C43" w:rsidRPr="00443C43" w:rsidRDefault="00443C43" w:rsidP="00443C43">
            <w:pPr>
              <w:spacing w:before="120" w:after="120"/>
              <w:jc w:val="left"/>
              <w:rPr>
                <w:rFonts w:eastAsia="Arial"/>
                <w:lang w:val="en-US"/>
              </w:rPr>
            </w:pPr>
          </w:p>
        </w:tc>
        <w:tc>
          <w:tcPr>
            <w:tcW w:w="1275" w:type="dxa"/>
            <w:vMerge w:val="restart"/>
          </w:tcPr>
          <w:p w14:paraId="05935D5B" w14:textId="1A4A8142"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Choi et al., 2018</w:t>
            </w:r>
            <w:r w:rsidR="0065786C" w:rsidRPr="0065786C">
              <w:rPr>
                <w:sz w:val="20"/>
                <w:szCs w:val="24"/>
                <w:vertAlign w:val="superscript"/>
              </w:rPr>
              <w:t>106</w:t>
            </w:r>
          </w:p>
          <w:p w14:paraId="01711AA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Cross-sectional NESARC-III 2012-13</w:t>
            </w:r>
          </w:p>
        </w:tc>
        <w:tc>
          <w:tcPr>
            <w:tcW w:w="1418" w:type="dxa"/>
            <w:vMerge w:val="restart"/>
            <w:shd w:val="clear" w:color="auto" w:fill="D9D9D9" w:themeFill="background1" w:themeFillShade="D9"/>
          </w:tcPr>
          <w:p w14:paraId="6B18C4D8" w14:textId="77777777" w:rsidR="00443C43" w:rsidRPr="00443C43" w:rsidRDefault="00443C43" w:rsidP="00443C43">
            <w:pPr>
              <w:spacing w:before="120" w:after="120"/>
              <w:jc w:val="left"/>
              <w:rPr>
                <w:rFonts w:eastAsia="Arial"/>
                <w:sz w:val="18"/>
                <w:szCs w:val="18"/>
                <w:lang w:val="en-CA"/>
              </w:rPr>
            </w:pPr>
            <w:r w:rsidRPr="00443C43">
              <w:rPr>
                <w:rFonts w:eastAsia="Arial"/>
                <w:sz w:val="18"/>
                <w:szCs w:val="18"/>
                <w:lang w:val="en-CA"/>
              </w:rPr>
              <w:lastRenderedPageBreak/>
              <w:t xml:space="preserve">Overall effect comparing once </w:t>
            </w:r>
            <w:r w:rsidRPr="00443C43">
              <w:rPr>
                <w:rFonts w:eastAsia="Arial"/>
                <w:sz w:val="18"/>
                <w:szCs w:val="18"/>
                <w:lang w:val="en-CA"/>
              </w:rPr>
              <w:lastRenderedPageBreak/>
              <w:t>in the past year vs twice in the past year vs 3–6 times in the past year vs 7–11 times in the past year vs once a month vs 2–3 times a month vs 1–2 times a week vs 3–4 times a week vs nearly every day vs every day</w:t>
            </w:r>
          </w:p>
        </w:tc>
        <w:tc>
          <w:tcPr>
            <w:tcW w:w="1134" w:type="dxa"/>
            <w:vMerge w:val="restart"/>
          </w:tcPr>
          <w:p w14:paraId="3044918D"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NA</w:t>
            </w:r>
          </w:p>
        </w:tc>
        <w:tc>
          <w:tcPr>
            <w:tcW w:w="1478" w:type="dxa"/>
          </w:tcPr>
          <w:p w14:paraId="51908FA2"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ED visits/ admission</w:t>
            </w:r>
          </w:p>
        </w:tc>
        <w:tc>
          <w:tcPr>
            <w:tcW w:w="1215" w:type="dxa"/>
          </w:tcPr>
          <w:p w14:paraId="31E329A5"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Past-year ED visit</w:t>
            </w:r>
          </w:p>
        </w:tc>
        <w:tc>
          <w:tcPr>
            <w:tcW w:w="1276" w:type="dxa"/>
          </w:tcPr>
          <w:p w14:paraId="72C17914"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034EE1D1"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BFBFBF"/>
          </w:tcPr>
          <w:p w14:paraId="0439B19F" w14:textId="77777777" w:rsidR="00443C43" w:rsidRPr="00443C43" w:rsidRDefault="00443C43" w:rsidP="00443C43">
            <w:pPr>
              <w:spacing w:before="120" w:after="120"/>
              <w:jc w:val="left"/>
              <w:rPr>
                <w:rFonts w:eastAsia="Arial"/>
                <w:color w:val="FFFFFF"/>
                <w:sz w:val="20"/>
                <w:szCs w:val="20"/>
                <w:lang w:val="en-US"/>
              </w:rPr>
            </w:pPr>
            <w:r w:rsidRPr="00443C43">
              <w:rPr>
                <w:rFonts w:eastAsia="Arial"/>
                <w:sz w:val="20"/>
                <w:szCs w:val="20"/>
                <w:lang w:val="en-US"/>
              </w:rPr>
              <w:t xml:space="preserve">Non-significant </w:t>
            </w:r>
            <w:r w:rsidRPr="00443C43">
              <w:rPr>
                <w:rFonts w:eastAsia="Arial"/>
                <w:sz w:val="20"/>
                <w:szCs w:val="20"/>
                <w:lang w:val="en-US"/>
              </w:rPr>
              <w:lastRenderedPageBreak/>
              <w:t>(effect direction not reported)</w:t>
            </w:r>
          </w:p>
        </w:tc>
      </w:tr>
      <w:tr w:rsidR="00443C43" w:rsidRPr="00443C43" w14:paraId="59816A03"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5BF0AA3B"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3ABF6E84" w14:textId="77777777" w:rsidR="00443C43" w:rsidRPr="00443C43" w:rsidRDefault="00443C43" w:rsidP="00443C43">
            <w:pPr>
              <w:spacing w:before="120" w:after="120"/>
              <w:jc w:val="left"/>
              <w:rPr>
                <w:rFonts w:eastAsia="Arial"/>
                <w:lang w:val="en-US"/>
              </w:rPr>
            </w:pPr>
          </w:p>
        </w:tc>
        <w:tc>
          <w:tcPr>
            <w:tcW w:w="1275" w:type="dxa"/>
            <w:vMerge/>
          </w:tcPr>
          <w:p w14:paraId="5CFF8E46" w14:textId="77777777" w:rsidR="00443C43" w:rsidRPr="00443C43" w:rsidRDefault="00443C43"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530208D7" w14:textId="77777777" w:rsidR="00443C43" w:rsidRPr="00443C43" w:rsidRDefault="00443C43" w:rsidP="00443C43">
            <w:pPr>
              <w:spacing w:before="120" w:after="120"/>
              <w:jc w:val="left"/>
              <w:rPr>
                <w:rFonts w:eastAsia="Arial"/>
                <w:sz w:val="20"/>
                <w:szCs w:val="20"/>
                <w:lang w:val="en-CA"/>
              </w:rPr>
            </w:pPr>
          </w:p>
        </w:tc>
        <w:tc>
          <w:tcPr>
            <w:tcW w:w="1134" w:type="dxa"/>
            <w:vMerge/>
          </w:tcPr>
          <w:p w14:paraId="101A1226" w14:textId="77777777" w:rsidR="00443C43" w:rsidRPr="00443C43" w:rsidRDefault="00443C43" w:rsidP="00443C43">
            <w:pPr>
              <w:spacing w:before="120" w:after="120"/>
              <w:jc w:val="left"/>
              <w:rPr>
                <w:rFonts w:eastAsia="Arial"/>
                <w:sz w:val="20"/>
                <w:szCs w:val="20"/>
                <w:lang w:val="en-US"/>
              </w:rPr>
            </w:pPr>
          </w:p>
        </w:tc>
        <w:tc>
          <w:tcPr>
            <w:tcW w:w="1478" w:type="dxa"/>
          </w:tcPr>
          <w:p w14:paraId="533700D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Physical injury</w:t>
            </w:r>
          </w:p>
        </w:tc>
        <w:tc>
          <w:tcPr>
            <w:tcW w:w="1215" w:type="dxa"/>
          </w:tcPr>
          <w:p w14:paraId="00271092" w14:textId="7944D09B" w:rsidR="00443C43" w:rsidRPr="00443C43" w:rsidRDefault="002C5725" w:rsidP="00443C43">
            <w:pPr>
              <w:spacing w:before="120" w:after="120"/>
              <w:jc w:val="left"/>
              <w:rPr>
                <w:rFonts w:eastAsia="Arial"/>
                <w:sz w:val="16"/>
                <w:szCs w:val="16"/>
                <w:lang w:val="en-US"/>
              </w:rPr>
            </w:pPr>
            <w:r w:rsidRPr="00FB7355">
              <w:rPr>
                <w:rFonts w:eastAsia="Arial"/>
                <w:sz w:val="16"/>
                <w:szCs w:val="16"/>
                <w:lang w:val="en-US"/>
              </w:rPr>
              <w:t>Any p</w:t>
            </w:r>
            <w:r w:rsidR="00443C43" w:rsidRPr="00443C43">
              <w:rPr>
                <w:rFonts w:eastAsia="Arial"/>
                <w:sz w:val="16"/>
                <w:szCs w:val="16"/>
                <w:lang w:val="en-US"/>
              </w:rPr>
              <w:t>ast-year injury that caused the person to seek medical help or cut down usual activities for &gt; half a day</w:t>
            </w:r>
          </w:p>
        </w:tc>
        <w:tc>
          <w:tcPr>
            <w:tcW w:w="1276" w:type="dxa"/>
          </w:tcPr>
          <w:p w14:paraId="75B35ED1"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7D497774"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BFBFBF"/>
          </w:tcPr>
          <w:p w14:paraId="06788B37"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 direction not reported)</w:t>
            </w:r>
          </w:p>
        </w:tc>
      </w:tr>
      <w:tr w:rsidR="006F6DF5" w:rsidRPr="00443C43" w14:paraId="3291A597" w14:textId="77777777" w:rsidTr="00CF2505">
        <w:tc>
          <w:tcPr>
            <w:tcW w:w="1413" w:type="dxa"/>
            <w:vMerge/>
          </w:tcPr>
          <w:p w14:paraId="54CCD54C"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511FA724" w14:textId="77777777" w:rsidR="006F6DF5" w:rsidRPr="00443C43" w:rsidRDefault="006F6DF5" w:rsidP="006F6DF5">
            <w:pPr>
              <w:spacing w:before="120" w:after="120"/>
              <w:jc w:val="left"/>
              <w:rPr>
                <w:rFonts w:eastAsia="Arial"/>
                <w:lang w:val="en-US"/>
              </w:rPr>
            </w:pPr>
          </w:p>
        </w:tc>
        <w:tc>
          <w:tcPr>
            <w:tcW w:w="1275" w:type="dxa"/>
            <w:vMerge w:val="restart"/>
          </w:tcPr>
          <w:p w14:paraId="465BE473" w14:textId="5A9BD5B9"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Choi et al., 2016a</w:t>
            </w:r>
            <w:r w:rsidRPr="0065786C">
              <w:rPr>
                <w:sz w:val="20"/>
                <w:szCs w:val="24"/>
                <w:vertAlign w:val="superscript"/>
              </w:rPr>
              <w:t>104</w:t>
            </w:r>
          </w:p>
          <w:p w14:paraId="4E57D77C"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Sequential NSDUH 2008–12</w:t>
            </w:r>
          </w:p>
        </w:tc>
        <w:tc>
          <w:tcPr>
            <w:tcW w:w="1418" w:type="dxa"/>
            <w:vMerge w:val="restart"/>
            <w:shd w:val="clear" w:color="auto" w:fill="D9D9D9" w:themeFill="background1" w:themeFillShade="D9"/>
          </w:tcPr>
          <w:p w14:paraId="1AF2835F" w14:textId="77777777" w:rsidR="006F6DF5" w:rsidRPr="00443C43" w:rsidRDefault="006F6DF5" w:rsidP="006F6DF5">
            <w:pPr>
              <w:spacing w:before="120" w:after="120"/>
              <w:jc w:val="left"/>
              <w:rPr>
                <w:rFonts w:eastAsia="Arial"/>
                <w:sz w:val="20"/>
                <w:szCs w:val="20"/>
                <w:lang w:val="en-CA"/>
              </w:rPr>
            </w:pPr>
            <w:r w:rsidRPr="00443C43">
              <w:rPr>
                <w:rFonts w:eastAsia="Arial"/>
                <w:sz w:val="20"/>
                <w:szCs w:val="20"/>
                <w:lang w:val="en-CA"/>
              </w:rPr>
              <w:t>Number of weeks used marijuana in the past year</w:t>
            </w:r>
          </w:p>
        </w:tc>
        <w:tc>
          <w:tcPr>
            <w:tcW w:w="1134" w:type="dxa"/>
            <w:vMerge w:val="restart"/>
          </w:tcPr>
          <w:p w14:paraId="64A68663"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637E6A9D"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Depression</w:t>
            </w:r>
          </w:p>
        </w:tc>
        <w:tc>
          <w:tcPr>
            <w:tcW w:w="1215" w:type="dxa"/>
          </w:tcPr>
          <w:p w14:paraId="03CD0366" w14:textId="77777777" w:rsidR="006F6DF5" w:rsidRPr="00443C43" w:rsidRDefault="006F6DF5" w:rsidP="006F6DF5">
            <w:pPr>
              <w:spacing w:before="120" w:after="120"/>
              <w:jc w:val="left"/>
              <w:rPr>
                <w:rFonts w:eastAsia="Arial"/>
                <w:sz w:val="16"/>
                <w:szCs w:val="16"/>
                <w:lang w:val="en-US"/>
              </w:rPr>
            </w:pPr>
            <w:r w:rsidRPr="00443C43">
              <w:rPr>
                <w:rFonts w:eastAsia="Arial"/>
                <w:sz w:val="16"/>
                <w:szCs w:val="16"/>
                <w:lang w:val="en-US"/>
              </w:rPr>
              <w:t>Past-year self-reported major depressive episode per DSM-IV</w:t>
            </w:r>
          </w:p>
        </w:tc>
        <w:tc>
          <w:tcPr>
            <w:tcW w:w="1276" w:type="dxa"/>
          </w:tcPr>
          <w:p w14:paraId="6B0804EB"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2DB1934C" w14:textId="77777777" w:rsidR="006F6DF5" w:rsidRPr="00443C43" w:rsidRDefault="006F6DF5" w:rsidP="006F6DF5">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9FF99"/>
          </w:tcPr>
          <w:p w14:paraId="106CA20E" w14:textId="10144EC3" w:rsidR="006F6DF5" w:rsidRPr="00443C4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F46CF1" w:rsidRPr="00443C43" w14:paraId="75D1058C"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188A55AB"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0E05435C" w14:textId="77777777" w:rsidR="00F46CF1" w:rsidRPr="00443C43" w:rsidRDefault="00F46CF1" w:rsidP="00F46CF1">
            <w:pPr>
              <w:spacing w:before="120" w:after="120"/>
              <w:jc w:val="left"/>
              <w:rPr>
                <w:rFonts w:eastAsia="Arial"/>
                <w:lang w:val="en-US"/>
              </w:rPr>
            </w:pPr>
          </w:p>
        </w:tc>
        <w:tc>
          <w:tcPr>
            <w:tcW w:w="1275" w:type="dxa"/>
            <w:vMerge/>
          </w:tcPr>
          <w:p w14:paraId="7AF5E9C6"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47164A77" w14:textId="77777777" w:rsidR="00F46CF1" w:rsidRPr="00443C43" w:rsidRDefault="00F46CF1" w:rsidP="00F46CF1">
            <w:pPr>
              <w:spacing w:before="120" w:after="120"/>
              <w:jc w:val="left"/>
              <w:rPr>
                <w:rFonts w:eastAsia="Arial"/>
                <w:sz w:val="20"/>
                <w:szCs w:val="20"/>
                <w:lang w:val="en-CA"/>
              </w:rPr>
            </w:pPr>
          </w:p>
        </w:tc>
        <w:tc>
          <w:tcPr>
            <w:tcW w:w="1134" w:type="dxa"/>
            <w:vMerge/>
          </w:tcPr>
          <w:p w14:paraId="3D3382AF" w14:textId="77777777" w:rsidR="00F46CF1" w:rsidRPr="00443C43" w:rsidRDefault="00F46CF1" w:rsidP="00F46CF1">
            <w:pPr>
              <w:spacing w:before="120" w:after="120"/>
              <w:jc w:val="left"/>
              <w:rPr>
                <w:rFonts w:eastAsia="Arial"/>
                <w:sz w:val="20"/>
                <w:szCs w:val="20"/>
                <w:lang w:val="en-US"/>
              </w:rPr>
            </w:pPr>
          </w:p>
        </w:tc>
        <w:tc>
          <w:tcPr>
            <w:tcW w:w="1478" w:type="dxa"/>
          </w:tcPr>
          <w:p w14:paraId="7C294A0A"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Suicidal behaviour or ideation</w:t>
            </w:r>
          </w:p>
        </w:tc>
        <w:tc>
          <w:tcPr>
            <w:tcW w:w="1215" w:type="dxa"/>
          </w:tcPr>
          <w:p w14:paraId="570A5300"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Past-year serious suicidal thoughts (“At any time in the past 12 months… including today, did you seriously think about trying to kill yourself?”)</w:t>
            </w:r>
          </w:p>
        </w:tc>
        <w:tc>
          <w:tcPr>
            <w:tcW w:w="1276" w:type="dxa"/>
          </w:tcPr>
          <w:p w14:paraId="421EFA18"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396D556B"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01100"/>
          </w:tcPr>
          <w:p w14:paraId="3272B686" w14:textId="31B381E8"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F46CF1" w:rsidRPr="00443C43" w14:paraId="67350003" w14:textId="77777777" w:rsidTr="00CF2505">
        <w:tc>
          <w:tcPr>
            <w:tcW w:w="1413" w:type="dxa"/>
            <w:vMerge/>
          </w:tcPr>
          <w:p w14:paraId="6ECEC803"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0DDC1A8C" w14:textId="77777777" w:rsidR="00F46CF1" w:rsidRPr="00443C43" w:rsidRDefault="00F46CF1" w:rsidP="00F46CF1">
            <w:pPr>
              <w:spacing w:before="120" w:after="120"/>
              <w:jc w:val="left"/>
              <w:rPr>
                <w:rFonts w:eastAsia="Arial"/>
                <w:lang w:val="en-US"/>
              </w:rPr>
            </w:pPr>
          </w:p>
        </w:tc>
        <w:tc>
          <w:tcPr>
            <w:tcW w:w="1275" w:type="dxa"/>
            <w:vMerge w:val="restart"/>
          </w:tcPr>
          <w:p w14:paraId="4FF31F49" w14:textId="64FF71EC"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Choi et al., 2016b</w:t>
            </w:r>
            <w:r w:rsidRPr="0065786C">
              <w:rPr>
                <w:sz w:val="20"/>
                <w:szCs w:val="24"/>
                <w:vertAlign w:val="superscript"/>
              </w:rPr>
              <w:t>105</w:t>
            </w:r>
          </w:p>
          <w:p w14:paraId="3D0416BA"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 xml:space="preserve">Cross-sectional </w:t>
            </w:r>
            <w:r w:rsidRPr="00443C43">
              <w:rPr>
                <w:rFonts w:eastAsia="Arial"/>
                <w:sz w:val="20"/>
                <w:szCs w:val="20"/>
                <w:lang w:val="en-US"/>
              </w:rPr>
              <w:lastRenderedPageBreak/>
              <w:t>NESARC-III 2012–13</w:t>
            </w:r>
          </w:p>
        </w:tc>
        <w:tc>
          <w:tcPr>
            <w:tcW w:w="1418" w:type="dxa"/>
            <w:vMerge w:val="restart"/>
            <w:shd w:val="clear" w:color="auto" w:fill="D9D9D9" w:themeFill="background1" w:themeFillShade="D9"/>
          </w:tcPr>
          <w:p w14:paraId="60E8A3ED" w14:textId="77777777" w:rsidR="00F46CF1" w:rsidRPr="00443C43" w:rsidRDefault="00F46CF1" w:rsidP="00F46CF1">
            <w:pPr>
              <w:spacing w:before="120" w:after="120"/>
              <w:jc w:val="left"/>
              <w:rPr>
                <w:rFonts w:eastAsia="Arial"/>
                <w:sz w:val="20"/>
                <w:szCs w:val="20"/>
                <w:lang w:val="en-CA"/>
              </w:rPr>
            </w:pPr>
            <w:r w:rsidRPr="00443C43">
              <w:rPr>
                <w:rFonts w:eastAsia="Arial"/>
                <w:sz w:val="20"/>
                <w:szCs w:val="20"/>
                <w:lang w:val="en-CA"/>
              </w:rPr>
              <w:lastRenderedPageBreak/>
              <w:t>Currently using more than once a month vs once a month of less</w:t>
            </w:r>
          </w:p>
        </w:tc>
        <w:tc>
          <w:tcPr>
            <w:tcW w:w="1134" w:type="dxa"/>
            <w:vMerge w:val="restart"/>
          </w:tcPr>
          <w:p w14:paraId="57E5AA71"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20C887BF"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Substance use disorder</w:t>
            </w:r>
          </w:p>
        </w:tc>
        <w:tc>
          <w:tcPr>
            <w:tcW w:w="1215" w:type="dxa"/>
          </w:tcPr>
          <w:p w14:paraId="480C63EE"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Lifetime occurrence of any drug use disorders, including marijuana and other drug use disorders</w:t>
            </w:r>
          </w:p>
        </w:tc>
        <w:tc>
          <w:tcPr>
            <w:tcW w:w="1276" w:type="dxa"/>
          </w:tcPr>
          <w:p w14:paraId="1E628E7C"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4600E989"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01100"/>
          </w:tcPr>
          <w:p w14:paraId="2C0C1958" w14:textId="57A8E9D0"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6F6DF5" w:rsidRPr="00443C43" w14:paraId="08743279"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74E5205"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12AD8F57" w14:textId="77777777" w:rsidR="006F6DF5" w:rsidRPr="00443C43" w:rsidRDefault="006F6DF5" w:rsidP="006F6DF5">
            <w:pPr>
              <w:spacing w:before="120" w:after="120"/>
              <w:jc w:val="left"/>
              <w:rPr>
                <w:rFonts w:eastAsia="Arial"/>
                <w:lang w:val="en-US"/>
              </w:rPr>
            </w:pPr>
          </w:p>
        </w:tc>
        <w:tc>
          <w:tcPr>
            <w:tcW w:w="1275" w:type="dxa"/>
            <w:vMerge/>
          </w:tcPr>
          <w:p w14:paraId="2760CA75" w14:textId="77777777" w:rsidR="006F6DF5" w:rsidRPr="00443C43" w:rsidRDefault="006F6DF5" w:rsidP="006F6DF5">
            <w:pPr>
              <w:spacing w:before="120" w:after="120"/>
              <w:jc w:val="left"/>
              <w:rPr>
                <w:rFonts w:eastAsia="Arial"/>
                <w:sz w:val="20"/>
                <w:szCs w:val="20"/>
                <w:lang w:val="en-US"/>
              </w:rPr>
            </w:pPr>
          </w:p>
        </w:tc>
        <w:tc>
          <w:tcPr>
            <w:tcW w:w="1418" w:type="dxa"/>
            <w:vMerge/>
            <w:shd w:val="clear" w:color="auto" w:fill="D9D9D9" w:themeFill="background1" w:themeFillShade="D9"/>
          </w:tcPr>
          <w:p w14:paraId="4743B9C7" w14:textId="77777777" w:rsidR="006F6DF5" w:rsidRPr="00443C43" w:rsidRDefault="006F6DF5" w:rsidP="006F6DF5">
            <w:pPr>
              <w:spacing w:before="120" w:after="120"/>
              <w:jc w:val="left"/>
              <w:rPr>
                <w:rFonts w:eastAsia="Arial"/>
                <w:sz w:val="20"/>
                <w:szCs w:val="20"/>
                <w:lang w:val="en-CA"/>
              </w:rPr>
            </w:pPr>
          </w:p>
        </w:tc>
        <w:tc>
          <w:tcPr>
            <w:tcW w:w="1134" w:type="dxa"/>
            <w:vMerge/>
          </w:tcPr>
          <w:p w14:paraId="0C3AE7E1" w14:textId="77777777" w:rsidR="006F6DF5" w:rsidRPr="00443C43" w:rsidRDefault="006F6DF5" w:rsidP="006F6DF5">
            <w:pPr>
              <w:spacing w:before="120" w:after="120"/>
              <w:jc w:val="left"/>
              <w:rPr>
                <w:rFonts w:eastAsia="Arial"/>
                <w:sz w:val="20"/>
                <w:szCs w:val="20"/>
                <w:lang w:val="en-US"/>
              </w:rPr>
            </w:pPr>
          </w:p>
        </w:tc>
        <w:tc>
          <w:tcPr>
            <w:tcW w:w="1478" w:type="dxa"/>
          </w:tcPr>
          <w:p w14:paraId="4ADE5B62"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Mental health disorder</w:t>
            </w:r>
          </w:p>
        </w:tc>
        <w:tc>
          <w:tcPr>
            <w:tcW w:w="1215" w:type="dxa"/>
          </w:tcPr>
          <w:p w14:paraId="4F64A4BA" w14:textId="77777777" w:rsidR="006F6DF5" w:rsidRPr="00443C43" w:rsidRDefault="006F6DF5" w:rsidP="006F6DF5">
            <w:pPr>
              <w:spacing w:before="120" w:after="120"/>
              <w:jc w:val="left"/>
              <w:rPr>
                <w:rFonts w:eastAsia="Arial"/>
                <w:sz w:val="16"/>
                <w:szCs w:val="16"/>
                <w:lang w:val="en-US"/>
              </w:rPr>
            </w:pPr>
            <w:r w:rsidRPr="00443C43">
              <w:rPr>
                <w:rFonts w:eastAsia="Arial"/>
                <w:sz w:val="16"/>
                <w:szCs w:val="16"/>
                <w:lang w:val="en-US"/>
              </w:rPr>
              <w:t>Lifetime occurrence of any mental disorders, including major depressive disorder, anxiety disorder, PTSD, bipolar 1 disorder and/or manic or hypomanic episodes</w:t>
            </w:r>
          </w:p>
        </w:tc>
        <w:tc>
          <w:tcPr>
            <w:tcW w:w="1276" w:type="dxa"/>
          </w:tcPr>
          <w:p w14:paraId="63106383" w14:textId="77777777" w:rsidR="006F6DF5" w:rsidRPr="00443C43" w:rsidRDefault="006F6DF5" w:rsidP="006F6DF5">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06C680AB" w14:textId="77777777" w:rsidR="006F6DF5" w:rsidRPr="00443C43" w:rsidRDefault="006F6DF5" w:rsidP="006F6DF5">
            <w:pPr>
              <w:spacing w:before="120" w:after="120"/>
              <w:jc w:val="left"/>
              <w:rPr>
                <w:rFonts w:eastAsia="Arial"/>
                <w:sz w:val="16"/>
                <w:szCs w:val="16"/>
                <w:lang w:val="en-US"/>
              </w:rPr>
            </w:pPr>
            <w:r w:rsidRPr="00443C43">
              <w:rPr>
                <w:rFonts w:eastAsia="Arial"/>
                <w:sz w:val="16"/>
                <w:szCs w:val="16"/>
                <w:lang w:val="en-US"/>
              </w:rPr>
              <w:t>Multivariable</w:t>
            </w:r>
          </w:p>
        </w:tc>
        <w:tc>
          <w:tcPr>
            <w:tcW w:w="1316" w:type="dxa"/>
            <w:shd w:val="clear" w:color="auto" w:fill="99FF99"/>
          </w:tcPr>
          <w:p w14:paraId="0842DF11" w14:textId="3DFCE57B" w:rsidR="006F6DF5" w:rsidRPr="00443C4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32339F" w:rsidRPr="00443C43" w14:paraId="4F7B441B" w14:textId="77777777" w:rsidTr="0032339F">
        <w:trPr>
          <w:trHeight w:val="1870"/>
        </w:trPr>
        <w:tc>
          <w:tcPr>
            <w:tcW w:w="1413" w:type="dxa"/>
            <w:vMerge/>
          </w:tcPr>
          <w:p w14:paraId="6CC0EE46" w14:textId="77777777" w:rsidR="0032339F" w:rsidRPr="00443C43" w:rsidRDefault="0032339F" w:rsidP="00443C43">
            <w:pPr>
              <w:spacing w:before="120" w:after="120"/>
              <w:jc w:val="left"/>
              <w:rPr>
                <w:rFonts w:eastAsia="Arial"/>
                <w:b/>
                <w:bCs/>
                <w:sz w:val="20"/>
                <w:szCs w:val="20"/>
                <w:lang w:val="en-US"/>
              </w:rPr>
            </w:pPr>
          </w:p>
        </w:tc>
        <w:tc>
          <w:tcPr>
            <w:tcW w:w="1276" w:type="dxa"/>
            <w:vMerge w:val="restart"/>
          </w:tcPr>
          <w:p w14:paraId="4081D49D" w14:textId="16DE1424" w:rsidR="0032339F" w:rsidRPr="0090785E" w:rsidRDefault="0032339F" w:rsidP="00443C43">
            <w:pPr>
              <w:spacing w:before="120" w:after="120"/>
              <w:jc w:val="left"/>
              <w:rPr>
                <w:rFonts w:eastAsia="Arial"/>
                <w:lang w:val="en-US"/>
              </w:rPr>
            </w:pPr>
            <w:r w:rsidRPr="0032339F">
              <w:rPr>
                <w:rFonts w:eastAsia="Arial"/>
                <w:lang w:val="en-US"/>
              </w:rPr>
              <w:t>Healthy older adults who use recreational</w:t>
            </w:r>
          </w:p>
        </w:tc>
        <w:tc>
          <w:tcPr>
            <w:tcW w:w="1275" w:type="dxa"/>
            <w:vMerge w:val="restart"/>
          </w:tcPr>
          <w:p w14:paraId="4FC65523" w14:textId="585C7AEF" w:rsidR="0032339F" w:rsidRPr="0032339F" w:rsidRDefault="0032339F" w:rsidP="00443C43">
            <w:pPr>
              <w:spacing w:before="120" w:after="120"/>
              <w:jc w:val="left"/>
              <w:rPr>
                <w:rFonts w:eastAsia="Arial"/>
                <w:sz w:val="20"/>
                <w:szCs w:val="20"/>
                <w:lang w:val="en-US"/>
              </w:rPr>
            </w:pPr>
            <w:r w:rsidRPr="00D41A99">
              <w:rPr>
                <w:rFonts w:eastAsia="Arial"/>
                <w:sz w:val="20"/>
                <w:szCs w:val="20"/>
                <w:lang w:val="en-US"/>
              </w:rPr>
              <w:t>Thayer et al., 2018</w:t>
            </w:r>
            <w:r w:rsidR="0065786C" w:rsidRPr="0065786C">
              <w:rPr>
                <w:sz w:val="20"/>
                <w:szCs w:val="24"/>
                <w:vertAlign w:val="superscript"/>
              </w:rPr>
              <w:t>152</w:t>
            </w:r>
          </w:p>
          <w:p w14:paraId="06BD1236" w14:textId="62DBB371" w:rsidR="0032339F" w:rsidRPr="00D41A99" w:rsidRDefault="00F46CF1" w:rsidP="00443C43">
            <w:pPr>
              <w:spacing w:before="120" w:after="120"/>
              <w:jc w:val="left"/>
              <w:rPr>
                <w:rFonts w:eastAsia="Arial"/>
                <w:sz w:val="20"/>
                <w:szCs w:val="20"/>
                <w:lang w:val="en-US"/>
              </w:rPr>
            </w:pPr>
            <w:r>
              <w:rPr>
                <w:rFonts w:eastAsia="Arial"/>
                <w:sz w:val="20"/>
                <w:szCs w:val="20"/>
                <w:lang w:val="en-US"/>
              </w:rPr>
              <w:t>Cross-sectional</w:t>
            </w:r>
          </w:p>
        </w:tc>
        <w:tc>
          <w:tcPr>
            <w:tcW w:w="1418" w:type="dxa"/>
            <w:vMerge w:val="restart"/>
            <w:shd w:val="clear" w:color="auto" w:fill="D9D9D9" w:themeFill="background1" w:themeFillShade="D9"/>
          </w:tcPr>
          <w:p w14:paraId="1E7043B6" w14:textId="77777777" w:rsidR="0032339F" w:rsidRPr="00DF7588" w:rsidRDefault="0032339F" w:rsidP="00443C43">
            <w:pPr>
              <w:spacing w:before="120" w:after="120"/>
              <w:jc w:val="left"/>
              <w:rPr>
                <w:rFonts w:eastAsia="Arial"/>
                <w:sz w:val="20"/>
                <w:szCs w:val="20"/>
                <w:lang w:val="en-CA"/>
              </w:rPr>
            </w:pPr>
            <w:r w:rsidRPr="0018385C">
              <w:rPr>
                <w:rFonts w:eastAsia="Arial"/>
                <w:sz w:val="20"/>
                <w:szCs w:val="20"/>
                <w:lang w:val="en-CA"/>
              </w:rPr>
              <w:t xml:space="preserve">Number of days used in the past </w:t>
            </w:r>
            <w:r w:rsidRPr="00DF7588">
              <w:rPr>
                <w:rFonts w:eastAsia="Arial"/>
                <w:sz w:val="20"/>
                <w:szCs w:val="20"/>
                <w:lang w:val="en-CA"/>
              </w:rPr>
              <w:t>90 days</w:t>
            </w:r>
          </w:p>
        </w:tc>
        <w:tc>
          <w:tcPr>
            <w:tcW w:w="1134" w:type="dxa"/>
            <w:vMerge w:val="restart"/>
          </w:tcPr>
          <w:p w14:paraId="53E26965" w14:textId="77777777" w:rsidR="0032339F" w:rsidRPr="00996884" w:rsidRDefault="0032339F" w:rsidP="00443C43">
            <w:pPr>
              <w:spacing w:before="120" w:after="120"/>
              <w:jc w:val="left"/>
              <w:rPr>
                <w:rFonts w:eastAsia="Arial"/>
                <w:sz w:val="20"/>
                <w:szCs w:val="20"/>
                <w:lang w:val="en-US"/>
              </w:rPr>
            </w:pPr>
            <w:r w:rsidRPr="005C75E3">
              <w:rPr>
                <w:rFonts w:eastAsia="Arial"/>
                <w:sz w:val="20"/>
                <w:szCs w:val="20"/>
                <w:lang w:val="en-US"/>
              </w:rPr>
              <w:t>NA</w:t>
            </w:r>
          </w:p>
        </w:tc>
        <w:tc>
          <w:tcPr>
            <w:tcW w:w="1478" w:type="dxa"/>
            <w:vMerge w:val="restart"/>
          </w:tcPr>
          <w:p w14:paraId="2FF21E16" w14:textId="28404A1F" w:rsidR="0032339F" w:rsidRPr="004774E3" w:rsidRDefault="0032339F" w:rsidP="00443C43">
            <w:pPr>
              <w:spacing w:before="120" w:after="120"/>
              <w:jc w:val="left"/>
              <w:rPr>
                <w:rFonts w:eastAsia="Arial"/>
                <w:sz w:val="20"/>
                <w:szCs w:val="20"/>
                <w:lang w:val="en-US"/>
              </w:rPr>
            </w:pPr>
            <w:r w:rsidRPr="00996884">
              <w:rPr>
                <w:rFonts w:eastAsia="Arial"/>
                <w:sz w:val="20"/>
                <w:szCs w:val="20"/>
                <w:lang w:val="en-US"/>
              </w:rPr>
              <w:t>Regional brain volume</w:t>
            </w:r>
          </w:p>
        </w:tc>
        <w:tc>
          <w:tcPr>
            <w:tcW w:w="1215" w:type="dxa"/>
          </w:tcPr>
          <w:p w14:paraId="7678F606" w14:textId="6AFCD8C8" w:rsidR="0032339F" w:rsidRPr="008D63E6" w:rsidRDefault="0032339F" w:rsidP="00443C43">
            <w:pPr>
              <w:spacing w:before="120" w:after="120"/>
              <w:jc w:val="left"/>
              <w:rPr>
                <w:rFonts w:eastAsia="Arial"/>
                <w:sz w:val="16"/>
                <w:szCs w:val="16"/>
                <w:lang w:val="en-US"/>
              </w:rPr>
            </w:pPr>
            <w:r w:rsidRPr="008D63E6">
              <w:rPr>
                <w:rFonts w:eastAsia="Arial"/>
                <w:sz w:val="16"/>
                <w:szCs w:val="16"/>
                <w:lang w:val="en-US"/>
              </w:rPr>
              <w:t>All subcortical volumes (Voxel-based morphometry automated segmentations)</w:t>
            </w:r>
          </w:p>
        </w:tc>
        <w:tc>
          <w:tcPr>
            <w:tcW w:w="1276" w:type="dxa"/>
          </w:tcPr>
          <w:p w14:paraId="198341B0" w14:textId="65A2E6A8" w:rsidR="0032339F" w:rsidRPr="008D63E6" w:rsidRDefault="0032339F" w:rsidP="00443C43">
            <w:pPr>
              <w:spacing w:before="120" w:after="120"/>
              <w:jc w:val="left"/>
              <w:rPr>
                <w:rFonts w:eastAsia="Arial"/>
                <w:sz w:val="20"/>
                <w:szCs w:val="20"/>
                <w:lang w:val="en-US"/>
              </w:rPr>
            </w:pPr>
            <w:r w:rsidRPr="008D63E6">
              <w:rPr>
                <w:rFonts w:eastAsia="Arial"/>
                <w:sz w:val="20"/>
                <w:szCs w:val="20"/>
                <w:lang w:val="en-US"/>
              </w:rPr>
              <w:t>NA</w:t>
            </w:r>
          </w:p>
        </w:tc>
        <w:tc>
          <w:tcPr>
            <w:tcW w:w="1149" w:type="dxa"/>
          </w:tcPr>
          <w:p w14:paraId="5B7BBA01" w14:textId="3874F3D6" w:rsidR="0032339F" w:rsidRPr="00DF3900" w:rsidRDefault="0032339F" w:rsidP="00443C43">
            <w:pPr>
              <w:spacing w:before="120" w:after="120"/>
              <w:jc w:val="left"/>
              <w:rPr>
                <w:rFonts w:eastAsia="Arial"/>
                <w:sz w:val="16"/>
                <w:szCs w:val="16"/>
                <w:lang w:val="en-US"/>
              </w:rPr>
            </w:pPr>
            <w:r w:rsidRPr="00DF3900">
              <w:rPr>
                <w:rFonts w:eastAsia="Arial"/>
                <w:sz w:val="16"/>
                <w:szCs w:val="16"/>
                <w:lang w:val="en-US"/>
              </w:rPr>
              <w:t>Multivariable</w:t>
            </w:r>
          </w:p>
        </w:tc>
        <w:tc>
          <w:tcPr>
            <w:tcW w:w="1316" w:type="dxa"/>
            <w:shd w:val="clear" w:color="auto" w:fill="BFBFBF"/>
          </w:tcPr>
          <w:p w14:paraId="349B93A1" w14:textId="2B385ACC" w:rsidR="0032339F" w:rsidRPr="0032339F" w:rsidRDefault="0032339F" w:rsidP="00443C43">
            <w:pPr>
              <w:spacing w:before="120" w:after="120"/>
              <w:jc w:val="left"/>
              <w:rPr>
                <w:rFonts w:eastAsia="Arial"/>
                <w:sz w:val="20"/>
                <w:szCs w:val="20"/>
                <w:lang w:val="en-US"/>
              </w:rPr>
            </w:pPr>
            <w:r w:rsidRPr="00460369">
              <w:rPr>
                <w:rFonts w:eastAsia="Arial"/>
                <w:sz w:val="20"/>
                <w:szCs w:val="20"/>
                <w:lang w:val="en-US"/>
              </w:rPr>
              <w:t xml:space="preserve">Non-significant (effect </w:t>
            </w:r>
            <w:r w:rsidRPr="0032339F">
              <w:rPr>
                <w:rFonts w:eastAsia="Arial"/>
                <w:sz w:val="20"/>
                <w:szCs w:val="20"/>
                <w:lang w:val="en-US"/>
              </w:rPr>
              <w:t>direction not reported)</w:t>
            </w:r>
          </w:p>
        </w:tc>
      </w:tr>
      <w:tr w:rsidR="00F46CF1" w:rsidRPr="00443C43" w14:paraId="07F52ECE"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401E86A6"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6E205CE7" w14:textId="77777777" w:rsidR="00F46CF1" w:rsidRPr="0032339F" w:rsidRDefault="00F46CF1" w:rsidP="00F46CF1">
            <w:pPr>
              <w:spacing w:before="120" w:after="120"/>
              <w:jc w:val="left"/>
              <w:rPr>
                <w:rFonts w:eastAsia="Arial"/>
                <w:lang w:val="en-US"/>
              </w:rPr>
            </w:pPr>
          </w:p>
        </w:tc>
        <w:tc>
          <w:tcPr>
            <w:tcW w:w="1275" w:type="dxa"/>
            <w:vMerge/>
          </w:tcPr>
          <w:p w14:paraId="6A98F883" w14:textId="77777777" w:rsidR="00F46CF1" w:rsidRPr="0032339F"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09829754" w14:textId="77777777" w:rsidR="00F46CF1" w:rsidRPr="0032339F" w:rsidRDefault="00F46CF1" w:rsidP="00F46CF1">
            <w:pPr>
              <w:spacing w:before="120" w:after="120"/>
              <w:jc w:val="left"/>
              <w:rPr>
                <w:rFonts w:eastAsia="Arial"/>
                <w:sz w:val="20"/>
                <w:szCs w:val="20"/>
                <w:lang w:val="en-CA"/>
              </w:rPr>
            </w:pPr>
          </w:p>
        </w:tc>
        <w:tc>
          <w:tcPr>
            <w:tcW w:w="1134" w:type="dxa"/>
            <w:vMerge/>
          </w:tcPr>
          <w:p w14:paraId="71F42DE8" w14:textId="77777777" w:rsidR="00F46CF1" w:rsidRPr="0032339F" w:rsidRDefault="00F46CF1" w:rsidP="00F46CF1">
            <w:pPr>
              <w:spacing w:before="120" w:after="120"/>
              <w:jc w:val="left"/>
              <w:rPr>
                <w:rFonts w:eastAsia="Arial"/>
                <w:sz w:val="20"/>
                <w:szCs w:val="20"/>
                <w:lang w:val="en-US"/>
              </w:rPr>
            </w:pPr>
          </w:p>
        </w:tc>
        <w:tc>
          <w:tcPr>
            <w:tcW w:w="1478" w:type="dxa"/>
            <w:vMerge/>
          </w:tcPr>
          <w:p w14:paraId="3F92068E" w14:textId="77777777" w:rsidR="00F46CF1" w:rsidRPr="0032339F" w:rsidRDefault="00F46CF1" w:rsidP="00F46CF1">
            <w:pPr>
              <w:spacing w:before="120" w:after="120"/>
              <w:jc w:val="left"/>
              <w:rPr>
                <w:rFonts w:eastAsia="Arial"/>
                <w:sz w:val="20"/>
                <w:szCs w:val="20"/>
                <w:lang w:val="en-US"/>
              </w:rPr>
            </w:pPr>
          </w:p>
        </w:tc>
        <w:tc>
          <w:tcPr>
            <w:tcW w:w="1215" w:type="dxa"/>
          </w:tcPr>
          <w:p w14:paraId="6012575E"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Left caudal middle frontal cortical volume (Surface-based morphometry; ≥ 100 voxels; uncorrected p &lt; 0.001; whole brain general linear models)</w:t>
            </w:r>
          </w:p>
        </w:tc>
        <w:tc>
          <w:tcPr>
            <w:tcW w:w="1276" w:type="dxa"/>
          </w:tcPr>
          <w:p w14:paraId="3AAE8C90"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55533ADD"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75062638" w14:textId="0B3979DA"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F46CF1" w:rsidRPr="00443C43" w14:paraId="76C7BCBA" w14:textId="77777777" w:rsidTr="00CF2505">
        <w:tc>
          <w:tcPr>
            <w:tcW w:w="1413" w:type="dxa"/>
            <w:vMerge/>
          </w:tcPr>
          <w:p w14:paraId="64113D12"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0460CA23" w14:textId="77777777" w:rsidR="00F46CF1" w:rsidRPr="0032339F" w:rsidRDefault="00F46CF1" w:rsidP="00F46CF1">
            <w:pPr>
              <w:spacing w:before="120" w:after="120"/>
              <w:jc w:val="left"/>
              <w:rPr>
                <w:rFonts w:eastAsia="Arial"/>
                <w:lang w:val="en-US"/>
              </w:rPr>
            </w:pPr>
          </w:p>
        </w:tc>
        <w:tc>
          <w:tcPr>
            <w:tcW w:w="1275" w:type="dxa"/>
            <w:vMerge/>
          </w:tcPr>
          <w:p w14:paraId="10375817" w14:textId="77777777" w:rsidR="00F46CF1" w:rsidRPr="0032339F"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363B26C0" w14:textId="77777777" w:rsidR="00F46CF1" w:rsidRPr="0032339F" w:rsidRDefault="00F46CF1" w:rsidP="00F46CF1">
            <w:pPr>
              <w:spacing w:before="120" w:after="120"/>
              <w:jc w:val="left"/>
              <w:rPr>
                <w:rFonts w:eastAsia="Arial"/>
                <w:sz w:val="20"/>
                <w:szCs w:val="20"/>
                <w:lang w:val="en-CA"/>
              </w:rPr>
            </w:pPr>
          </w:p>
        </w:tc>
        <w:tc>
          <w:tcPr>
            <w:tcW w:w="1134" w:type="dxa"/>
            <w:vMerge/>
          </w:tcPr>
          <w:p w14:paraId="164A56AA" w14:textId="77777777" w:rsidR="00F46CF1" w:rsidRPr="0032339F" w:rsidRDefault="00F46CF1" w:rsidP="00F46CF1">
            <w:pPr>
              <w:spacing w:before="120" w:after="120"/>
              <w:jc w:val="left"/>
              <w:rPr>
                <w:rFonts w:eastAsia="Arial"/>
                <w:sz w:val="20"/>
                <w:szCs w:val="20"/>
                <w:lang w:val="en-US"/>
              </w:rPr>
            </w:pPr>
          </w:p>
        </w:tc>
        <w:tc>
          <w:tcPr>
            <w:tcW w:w="1478" w:type="dxa"/>
            <w:vMerge/>
          </w:tcPr>
          <w:p w14:paraId="3CEB731A" w14:textId="77777777" w:rsidR="00F46CF1" w:rsidRPr="0032339F" w:rsidRDefault="00F46CF1" w:rsidP="00F46CF1">
            <w:pPr>
              <w:spacing w:before="120" w:after="120"/>
              <w:jc w:val="left"/>
              <w:rPr>
                <w:rFonts w:eastAsia="Arial"/>
                <w:sz w:val="20"/>
                <w:szCs w:val="20"/>
                <w:lang w:val="en-US"/>
              </w:rPr>
            </w:pPr>
          </w:p>
        </w:tc>
        <w:tc>
          <w:tcPr>
            <w:tcW w:w="1215" w:type="dxa"/>
          </w:tcPr>
          <w:p w14:paraId="2FAB80E4"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 xml:space="preserve">Right cerebellum crus I volume (Voxel-based morphometry; ≥ 100 voxels; </w:t>
            </w:r>
            <w:r w:rsidRPr="0032339F">
              <w:rPr>
                <w:rFonts w:eastAsia="Arial"/>
                <w:sz w:val="16"/>
                <w:szCs w:val="16"/>
                <w:lang w:val="en-US"/>
              </w:rPr>
              <w:lastRenderedPageBreak/>
              <w:t>corrected p &lt; 0.05; whole brain general linear models)</w:t>
            </w:r>
          </w:p>
        </w:tc>
        <w:tc>
          <w:tcPr>
            <w:tcW w:w="1276" w:type="dxa"/>
          </w:tcPr>
          <w:p w14:paraId="617C7980"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lastRenderedPageBreak/>
              <w:t>NA</w:t>
            </w:r>
          </w:p>
        </w:tc>
        <w:tc>
          <w:tcPr>
            <w:tcW w:w="1149" w:type="dxa"/>
          </w:tcPr>
          <w:p w14:paraId="7F4E190F"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7224546D" w14:textId="46EBA430"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F46CF1" w:rsidRPr="00443C43" w14:paraId="562409B8"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67A01165"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02C84A34" w14:textId="77777777" w:rsidR="00F46CF1" w:rsidRPr="0032339F" w:rsidRDefault="00F46CF1" w:rsidP="00F46CF1">
            <w:pPr>
              <w:spacing w:before="120" w:after="120"/>
              <w:jc w:val="left"/>
              <w:rPr>
                <w:rFonts w:eastAsia="Arial"/>
                <w:lang w:val="en-US"/>
              </w:rPr>
            </w:pPr>
          </w:p>
        </w:tc>
        <w:tc>
          <w:tcPr>
            <w:tcW w:w="1275" w:type="dxa"/>
            <w:vMerge/>
          </w:tcPr>
          <w:p w14:paraId="58D35FB1" w14:textId="77777777" w:rsidR="00F46CF1" w:rsidRPr="0032339F"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400AE8FD" w14:textId="77777777" w:rsidR="00F46CF1" w:rsidRPr="0032339F" w:rsidRDefault="00F46CF1" w:rsidP="00F46CF1">
            <w:pPr>
              <w:spacing w:before="120" w:after="120"/>
              <w:jc w:val="left"/>
              <w:rPr>
                <w:rFonts w:eastAsia="Arial"/>
                <w:sz w:val="20"/>
                <w:szCs w:val="20"/>
                <w:lang w:val="en-CA"/>
              </w:rPr>
            </w:pPr>
          </w:p>
        </w:tc>
        <w:tc>
          <w:tcPr>
            <w:tcW w:w="1134" w:type="dxa"/>
            <w:vMerge/>
          </w:tcPr>
          <w:p w14:paraId="7D98FAA9" w14:textId="77777777" w:rsidR="00F46CF1" w:rsidRPr="0032339F" w:rsidRDefault="00F46CF1" w:rsidP="00F46CF1">
            <w:pPr>
              <w:spacing w:before="120" w:after="120"/>
              <w:jc w:val="left"/>
              <w:rPr>
                <w:rFonts w:eastAsia="Arial"/>
                <w:sz w:val="20"/>
                <w:szCs w:val="20"/>
                <w:lang w:val="en-US"/>
              </w:rPr>
            </w:pPr>
          </w:p>
        </w:tc>
        <w:tc>
          <w:tcPr>
            <w:tcW w:w="1478" w:type="dxa"/>
            <w:vMerge/>
          </w:tcPr>
          <w:p w14:paraId="70D533E8" w14:textId="77777777" w:rsidR="00F46CF1" w:rsidRPr="0032339F" w:rsidRDefault="00F46CF1" w:rsidP="00F46CF1">
            <w:pPr>
              <w:spacing w:before="120" w:after="120"/>
              <w:jc w:val="left"/>
              <w:rPr>
                <w:rFonts w:eastAsia="Arial"/>
                <w:sz w:val="20"/>
                <w:szCs w:val="20"/>
                <w:lang w:val="en-US"/>
              </w:rPr>
            </w:pPr>
          </w:p>
        </w:tc>
        <w:tc>
          <w:tcPr>
            <w:tcW w:w="1215" w:type="dxa"/>
          </w:tcPr>
          <w:p w14:paraId="3E3537B4"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Right occipital fusiform gyrus volume (Voxel-based morphometry; ≥ 100 voxels; corrected p &lt; 0.05; whole brain general linear models)</w:t>
            </w:r>
          </w:p>
        </w:tc>
        <w:tc>
          <w:tcPr>
            <w:tcW w:w="1276" w:type="dxa"/>
          </w:tcPr>
          <w:p w14:paraId="1AA6C7F0"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0B5109F9"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3EF84962" w14:textId="14550A18"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443C43" w:rsidRPr="00443C43" w14:paraId="5FF7269E" w14:textId="77777777" w:rsidTr="00CF2505">
        <w:tc>
          <w:tcPr>
            <w:tcW w:w="1413" w:type="dxa"/>
            <w:vMerge/>
          </w:tcPr>
          <w:p w14:paraId="3F95BEDF"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6EC8417B" w14:textId="77777777" w:rsidR="00443C43" w:rsidRPr="0032339F" w:rsidRDefault="00443C43" w:rsidP="00443C43">
            <w:pPr>
              <w:spacing w:before="120" w:after="120"/>
              <w:jc w:val="left"/>
              <w:rPr>
                <w:rFonts w:eastAsia="Arial"/>
                <w:lang w:val="en-US"/>
              </w:rPr>
            </w:pPr>
          </w:p>
        </w:tc>
        <w:tc>
          <w:tcPr>
            <w:tcW w:w="1275" w:type="dxa"/>
            <w:vMerge/>
          </w:tcPr>
          <w:p w14:paraId="13850F09" w14:textId="77777777" w:rsidR="00443C43" w:rsidRPr="0032339F" w:rsidRDefault="00443C43"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729E8FC7" w14:textId="77777777" w:rsidR="00443C43" w:rsidRPr="0032339F" w:rsidRDefault="00443C43" w:rsidP="00443C43">
            <w:pPr>
              <w:spacing w:before="120" w:after="120"/>
              <w:jc w:val="left"/>
              <w:rPr>
                <w:rFonts w:eastAsia="Arial"/>
                <w:sz w:val="20"/>
                <w:szCs w:val="20"/>
                <w:lang w:val="en-CA"/>
              </w:rPr>
            </w:pPr>
          </w:p>
        </w:tc>
        <w:tc>
          <w:tcPr>
            <w:tcW w:w="1134" w:type="dxa"/>
            <w:vMerge/>
          </w:tcPr>
          <w:p w14:paraId="47FEB862" w14:textId="77777777" w:rsidR="00443C43" w:rsidRPr="0032339F" w:rsidRDefault="00443C43" w:rsidP="00443C43">
            <w:pPr>
              <w:spacing w:before="120" w:after="120"/>
              <w:jc w:val="left"/>
              <w:rPr>
                <w:rFonts w:eastAsia="Arial"/>
                <w:sz w:val="20"/>
                <w:szCs w:val="20"/>
                <w:lang w:val="en-US"/>
              </w:rPr>
            </w:pPr>
          </w:p>
        </w:tc>
        <w:tc>
          <w:tcPr>
            <w:tcW w:w="1478" w:type="dxa"/>
          </w:tcPr>
          <w:p w14:paraId="11F46172" w14:textId="77777777" w:rsidR="00443C43" w:rsidRPr="0032339F" w:rsidRDefault="00443C43" w:rsidP="00443C43">
            <w:pPr>
              <w:spacing w:before="120" w:after="120"/>
              <w:jc w:val="left"/>
              <w:rPr>
                <w:rFonts w:eastAsia="Arial"/>
                <w:sz w:val="20"/>
                <w:szCs w:val="20"/>
                <w:lang w:val="en-US"/>
              </w:rPr>
            </w:pPr>
            <w:r w:rsidRPr="0032339F">
              <w:rPr>
                <w:rFonts w:eastAsia="Arial"/>
                <w:sz w:val="20"/>
                <w:szCs w:val="20"/>
                <w:lang w:val="en-US"/>
              </w:rPr>
              <w:t>Total brain volume</w:t>
            </w:r>
          </w:p>
        </w:tc>
        <w:tc>
          <w:tcPr>
            <w:tcW w:w="1215" w:type="dxa"/>
          </w:tcPr>
          <w:p w14:paraId="674AFDB8" w14:textId="77777777" w:rsidR="00443C43" w:rsidRPr="0032339F" w:rsidRDefault="00443C43" w:rsidP="00443C43">
            <w:pPr>
              <w:spacing w:before="120" w:after="120"/>
              <w:jc w:val="left"/>
              <w:rPr>
                <w:rFonts w:eastAsia="Arial"/>
                <w:sz w:val="16"/>
                <w:szCs w:val="16"/>
                <w:lang w:val="en-US"/>
              </w:rPr>
            </w:pPr>
            <w:r w:rsidRPr="0032339F">
              <w:rPr>
                <w:rFonts w:eastAsia="Arial"/>
                <w:sz w:val="16"/>
                <w:szCs w:val="16"/>
                <w:lang w:val="en-US"/>
              </w:rPr>
              <w:t>Global structural volume (Voxel-based morphometry automated segmentations)</w:t>
            </w:r>
          </w:p>
        </w:tc>
        <w:tc>
          <w:tcPr>
            <w:tcW w:w="1276" w:type="dxa"/>
          </w:tcPr>
          <w:p w14:paraId="42F47B99" w14:textId="77777777" w:rsidR="00443C43" w:rsidRPr="0032339F" w:rsidRDefault="00443C43" w:rsidP="00443C43">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38366ACF" w14:textId="77777777" w:rsidR="00443C43" w:rsidRPr="0032339F" w:rsidRDefault="00443C43" w:rsidP="00443C43">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BFBFBF"/>
          </w:tcPr>
          <w:p w14:paraId="1AAC52F4" w14:textId="77777777" w:rsidR="00443C43" w:rsidRPr="0032339F" w:rsidRDefault="00443C43" w:rsidP="00443C43">
            <w:pPr>
              <w:spacing w:before="120" w:after="120"/>
              <w:jc w:val="left"/>
              <w:rPr>
                <w:rFonts w:eastAsia="Arial"/>
                <w:sz w:val="20"/>
                <w:szCs w:val="20"/>
                <w:lang w:val="en-US"/>
              </w:rPr>
            </w:pPr>
            <w:r w:rsidRPr="0032339F">
              <w:rPr>
                <w:rFonts w:eastAsia="Arial"/>
                <w:sz w:val="20"/>
                <w:szCs w:val="20"/>
                <w:lang w:val="en-US"/>
              </w:rPr>
              <w:t>Non-significant (effect direction not reported)</w:t>
            </w:r>
          </w:p>
        </w:tc>
      </w:tr>
      <w:tr w:rsidR="00F46CF1" w:rsidRPr="00443C43" w14:paraId="287831DD"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val="restart"/>
          </w:tcPr>
          <w:p w14:paraId="27915C48" w14:textId="77777777" w:rsidR="00F46CF1" w:rsidRPr="00443C43" w:rsidRDefault="00F46CF1" w:rsidP="00F46CF1">
            <w:pPr>
              <w:spacing w:before="120" w:after="120"/>
              <w:jc w:val="left"/>
              <w:rPr>
                <w:rFonts w:eastAsia="Arial"/>
                <w:b/>
                <w:bCs/>
                <w:sz w:val="20"/>
                <w:szCs w:val="20"/>
                <w:lang w:val="en-US"/>
              </w:rPr>
            </w:pPr>
            <w:r w:rsidRPr="00AC7042">
              <w:rPr>
                <w:rFonts w:eastAsia="Arial"/>
                <w:b/>
                <w:bCs/>
                <w:lang w:val="en-US"/>
              </w:rPr>
              <w:t>Duration of use</w:t>
            </w:r>
          </w:p>
        </w:tc>
        <w:tc>
          <w:tcPr>
            <w:tcW w:w="1276" w:type="dxa"/>
            <w:vMerge w:val="restart"/>
          </w:tcPr>
          <w:p w14:paraId="0E8E0AAE" w14:textId="3160560F" w:rsidR="00F46CF1" w:rsidRPr="00443C43" w:rsidRDefault="00F46CF1" w:rsidP="00F46CF1">
            <w:pPr>
              <w:spacing w:before="120" w:after="120"/>
              <w:jc w:val="left"/>
              <w:rPr>
                <w:rFonts w:eastAsia="Arial"/>
                <w:lang w:val="en-US"/>
              </w:rPr>
            </w:pPr>
            <w:r>
              <w:rPr>
                <w:rFonts w:eastAsia="Arial"/>
                <w:lang w:val="en-US"/>
              </w:rPr>
              <w:t>Cannabis use in the o</w:t>
            </w:r>
            <w:r w:rsidRPr="00443C43">
              <w:rPr>
                <w:rFonts w:eastAsia="Arial"/>
                <w:lang w:val="en-US"/>
              </w:rPr>
              <w:t>lder general public</w:t>
            </w:r>
          </w:p>
        </w:tc>
        <w:tc>
          <w:tcPr>
            <w:tcW w:w="1275" w:type="dxa"/>
            <w:vMerge w:val="restart"/>
          </w:tcPr>
          <w:p w14:paraId="7A3C647D" w14:textId="24E4B228"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Choi et al., 2021a</w:t>
            </w:r>
            <w:r w:rsidRPr="0065786C">
              <w:rPr>
                <w:sz w:val="20"/>
                <w:szCs w:val="24"/>
                <w:vertAlign w:val="superscript"/>
              </w:rPr>
              <w:t>4</w:t>
            </w:r>
          </w:p>
          <w:p w14:paraId="79E800D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Sequential NSDUH 2015–18</w:t>
            </w:r>
          </w:p>
        </w:tc>
        <w:tc>
          <w:tcPr>
            <w:tcW w:w="1418" w:type="dxa"/>
            <w:vMerge w:val="restart"/>
            <w:shd w:val="clear" w:color="auto" w:fill="D9D9D9" w:themeFill="background1" w:themeFillShade="D9"/>
          </w:tcPr>
          <w:p w14:paraId="54758555" w14:textId="77777777" w:rsidR="00F46CF1" w:rsidRPr="00443C43" w:rsidRDefault="00F46CF1" w:rsidP="00F46CF1">
            <w:pPr>
              <w:spacing w:before="120" w:after="120"/>
              <w:jc w:val="left"/>
              <w:rPr>
                <w:rFonts w:eastAsia="Arial"/>
                <w:sz w:val="18"/>
                <w:szCs w:val="18"/>
                <w:lang w:val="en-CA"/>
              </w:rPr>
            </w:pPr>
            <w:r w:rsidRPr="00443C43">
              <w:rPr>
                <w:rFonts w:eastAsia="Arial"/>
                <w:sz w:val="18"/>
                <w:szCs w:val="18"/>
                <w:lang w:val="en-CA"/>
              </w:rPr>
              <w:t>Continuous use for 24 months vs initiation/re-initiation (i.e., no use 13–24 months ago, but past-year use)</w:t>
            </w:r>
          </w:p>
        </w:tc>
        <w:tc>
          <w:tcPr>
            <w:tcW w:w="1134" w:type="dxa"/>
            <w:vMerge w:val="restart"/>
          </w:tcPr>
          <w:p w14:paraId="3B88FB80"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478" w:type="dxa"/>
          </w:tcPr>
          <w:p w14:paraId="11252D60"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CUD</w:t>
            </w:r>
          </w:p>
        </w:tc>
        <w:tc>
          <w:tcPr>
            <w:tcW w:w="1215" w:type="dxa"/>
          </w:tcPr>
          <w:p w14:paraId="5A4A877A"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Past-year either marijuana abuse or dependence per DSM-IV</w:t>
            </w:r>
          </w:p>
        </w:tc>
        <w:tc>
          <w:tcPr>
            <w:tcW w:w="1276" w:type="dxa"/>
          </w:tcPr>
          <w:p w14:paraId="783C37B9"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39329D55"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 xml:space="preserve">Univariable </w:t>
            </w:r>
          </w:p>
        </w:tc>
        <w:tc>
          <w:tcPr>
            <w:tcW w:w="1316" w:type="dxa"/>
            <w:shd w:val="clear" w:color="auto" w:fill="FF7D6C"/>
          </w:tcPr>
          <w:p w14:paraId="65CA99B9" w14:textId="21006FCD" w:rsidR="00F46CF1" w:rsidRPr="00443C4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F46CF1" w:rsidRPr="00443C43" w14:paraId="670A1DA5" w14:textId="77777777" w:rsidTr="00CF2505">
        <w:tc>
          <w:tcPr>
            <w:tcW w:w="1413" w:type="dxa"/>
            <w:vMerge/>
          </w:tcPr>
          <w:p w14:paraId="261DB517"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5CB909F9" w14:textId="77777777" w:rsidR="00F46CF1" w:rsidRPr="00443C43" w:rsidRDefault="00F46CF1" w:rsidP="00F46CF1">
            <w:pPr>
              <w:spacing w:before="120" w:after="120"/>
              <w:jc w:val="left"/>
              <w:rPr>
                <w:rFonts w:eastAsia="Arial"/>
                <w:lang w:val="en-US"/>
              </w:rPr>
            </w:pPr>
          </w:p>
        </w:tc>
        <w:tc>
          <w:tcPr>
            <w:tcW w:w="1275" w:type="dxa"/>
            <w:vMerge/>
          </w:tcPr>
          <w:p w14:paraId="41C06E66" w14:textId="77777777" w:rsidR="00F46CF1" w:rsidRPr="00443C43"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0E5809D6" w14:textId="77777777" w:rsidR="00F46CF1" w:rsidRPr="00443C43" w:rsidRDefault="00F46CF1" w:rsidP="00F46CF1">
            <w:pPr>
              <w:spacing w:before="120" w:after="120"/>
              <w:jc w:val="left"/>
              <w:rPr>
                <w:rFonts w:eastAsia="Arial"/>
                <w:sz w:val="20"/>
                <w:szCs w:val="20"/>
                <w:lang w:val="en-CA"/>
              </w:rPr>
            </w:pPr>
          </w:p>
        </w:tc>
        <w:tc>
          <w:tcPr>
            <w:tcW w:w="1134" w:type="dxa"/>
            <w:vMerge/>
          </w:tcPr>
          <w:p w14:paraId="627E14DB" w14:textId="77777777" w:rsidR="00F46CF1" w:rsidRPr="00443C43" w:rsidRDefault="00F46CF1" w:rsidP="00F46CF1">
            <w:pPr>
              <w:spacing w:before="120" w:after="120"/>
              <w:jc w:val="left"/>
              <w:rPr>
                <w:rFonts w:eastAsia="Arial"/>
                <w:sz w:val="20"/>
                <w:szCs w:val="20"/>
                <w:lang w:val="en-US"/>
              </w:rPr>
            </w:pPr>
          </w:p>
        </w:tc>
        <w:tc>
          <w:tcPr>
            <w:tcW w:w="1478" w:type="dxa"/>
          </w:tcPr>
          <w:p w14:paraId="19F305A7"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Risky behaviour</w:t>
            </w:r>
          </w:p>
        </w:tc>
        <w:tc>
          <w:tcPr>
            <w:tcW w:w="1215" w:type="dxa"/>
          </w:tcPr>
          <w:p w14:paraId="1B2CA752"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Driving under the influence of marijuana</w:t>
            </w:r>
          </w:p>
        </w:tc>
        <w:tc>
          <w:tcPr>
            <w:tcW w:w="1276" w:type="dxa"/>
          </w:tcPr>
          <w:p w14:paraId="1B1BAB7D" w14:textId="77777777" w:rsidR="00F46CF1" w:rsidRPr="00443C43" w:rsidRDefault="00F46CF1" w:rsidP="00F46CF1">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0F8EA4D1" w14:textId="77777777" w:rsidR="00F46CF1" w:rsidRPr="00443C43" w:rsidRDefault="00F46CF1" w:rsidP="00F46CF1">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901100"/>
          </w:tcPr>
          <w:p w14:paraId="6E55A78F" w14:textId="306D2D16" w:rsidR="00F46CF1" w:rsidRPr="00443C43" w:rsidRDefault="00F46CF1" w:rsidP="00F46CF1">
            <w:pPr>
              <w:spacing w:before="120" w:after="120"/>
              <w:jc w:val="left"/>
              <w:rPr>
                <w:rFonts w:eastAsia="Arial"/>
                <w:sz w:val="20"/>
                <w:szCs w:val="20"/>
                <w:lang w:val="en-US"/>
              </w:rPr>
            </w:pPr>
            <w:r>
              <w:rPr>
                <w:rFonts w:eastAsia="Arial"/>
                <w:sz w:val="20"/>
                <w:szCs w:val="20"/>
                <w:lang w:val="en-US"/>
              </w:rPr>
              <w:t>Significant positive association</w:t>
            </w:r>
          </w:p>
        </w:tc>
      </w:tr>
      <w:tr w:rsidR="0032339F" w:rsidRPr="00443C43" w14:paraId="7803AB7B" w14:textId="77777777" w:rsidTr="0032339F">
        <w:trPr>
          <w:cnfStyle w:val="000000100000" w:firstRow="0" w:lastRow="0" w:firstColumn="0" w:lastColumn="0" w:oddVBand="0" w:evenVBand="0" w:oddHBand="1" w:evenHBand="0" w:firstRowFirstColumn="0" w:firstRowLastColumn="0" w:lastRowFirstColumn="0" w:lastRowLastColumn="0"/>
          <w:trHeight w:val="2830"/>
        </w:trPr>
        <w:tc>
          <w:tcPr>
            <w:tcW w:w="1413" w:type="dxa"/>
            <w:vMerge/>
          </w:tcPr>
          <w:p w14:paraId="0A203729" w14:textId="77777777" w:rsidR="0032339F" w:rsidRPr="00443C43" w:rsidRDefault="0032339F" w:rsidP="00443C43">
            <w:pPr>
              <w:spacing w:before="120" w:after="120"/>
              <w:jc w:val="left"/>
              <w:rPr>
                <w:rFonts w:eastAsia="Arial"/>
                <w:b/>
                <w:bCs/>
                <w:sz w:val="20"/>
                <w:szCs w:val="20"/>
                <w:lang w:val="en-US"/>
              </w:rPr>
            </w:pPr>
          </w:p>
        </w:tc>
        <w:tc>
          <w:tcPr>
            <w:tcW w:w="1276" w:type="dxa"/>
            <w:vMerge w:val="restart"/>
          </w:tcPr>
          <w:p w14:paraId="10F0C8CF" w14:textId="4CA10F23" w:rsidR="0032339F" w:rsidRPr="0090785E" w:rsidRDefault="0032339F" w:rsidP="00443C43">
            <w:pPr>
              <w:spacing w:before="120" w:after="120"/>
              <w:jc w:val="left"/>
              <w:rPr>
                <w:rFonts w:eastAsia="Arial"/>
                <w:lang w:val="en-US"/>
              </w:rPr>
            </w:pPr>
            <w:r w:rsidRPr="0032339F">
              <w:rPr>
                <w:rFonts w:eastAsia="Arial"/>
                <w:lang w:val="en-US"/>
              </w:rPr>
              <w:t>Healthy older adults who use recreational</w:t>
            </w:r>
          </w:p>
        </w:tc>
        <w:tc>
          <w:tcPr>
            <w:tcW w:w="1275" w:type="dxa"/>
            <w:vMerge w:val="restart"/>
          </w:tcPr>
          <w:p w14:paraId="0054676C" w14:textId="763385A5" w:rsidR="0032339F" w:rsidRPr="0032339F" w:rsidRDefault="0032339F" w:rsidP="00443C43">
            <w:pPr>
              <w:spacing w:before="120" w:after="120"/>
              <w:jc w:val="left"/>
              <w:rPr>
                <w:rFonts w:eastAsia="Arial"/>
                <w:sz w:val="20"/>
                <w:szCs w:val="20"/>
                <w:lang w:val="en-US"/>
              </w:rPr>
            </w:pPr>
            <w:r w:rsidRPr="00D41A99">
              <w:rPr>
                <w:rFonts w:eastAsia="Arial"/>
                <w:sz w:val="20"/>
                <w:szCs w:val="20"/>
                <w:lang w:val="en-US"/>
              </w:rPr>
              <w:t>Thayer et al., 2018</w:t>
            </w:r>
            <w:r w:rsidR="0065786C" w:rsidRPr="0065786C">
              <w:rPr>
                <w:sz w:val="20"/>
                <w:szCs w:val="24"/>
                <w:vertAlign w:val="superscript"/>
              </w:rPr>
              <w:t>152</w:t>
            </w:r>
          </w:p>
          <w:p w14:paraId="411052E1" w14:textId="12E0F001" w:rsidR="0032339F" w:rsidRPr="00D41A99" w:rsidRDefault="00F46CF1" w:rsidP="00443C43">
            <w:pPr>
              <w:spacing w:before="120" w:after="120"/>
              <w:jc w:val="left"/>
              <w:rPr>
                <w:rFonts w:eastAsia="Arial"/>
                <w:sz w:val="20"/>
                <w:szCs w:val="20"/>
                <w:lang w:val="en-US"/>
              </w:rPr>
            </w:pPr>
            <w:r>
              <w:rPr>
                <w:rFonts w:eastAsia="Arial"/>
                <w:sz w:val="20"/>
                <w:szCs w:val="20"/>
                <w:lang w:val="en-US"/>
              </w:rPr>
              <w:t>Cross-sectional</w:t>
            </w:r>
          </w:p>
        </w:tc>
        <w:tc>
          <w:tcPr>
            <w:tcW w:w="1418" w:type="dxa"/>
            <w:vMerge w:val="restart"/>
            <w:shd w:val="clear" w:color="auto" w:fill="D9D9D9" w:themeFill="background1" w:themeFillShade="D9"/>
          </w:tcPr>
          <w:p w14:paraId="2A4867DE" w14:textId="77777777" w:rsidR="0032339F" w:rsidRPr="00D41A99" w:rsidRDefault="0032339F" w:rsidP="00443C43">
            <w:pPr>
              <w:spacing w:before="120" w:after="120"/>
              <w:jc w:val="left"/>
              <w:rPr>
                <w:rFonts w:eastAsia="Arial"/>
                <w:sz w:val="20"/>
                <w:szCs w:val="20"/>
                <w:lang w:val="en-CA"/>
              </w:rPr>
            </w:pPr>
            <w:r w:rsidRPr="00D41A99">
              <w:rPr>
                <w:rFonts w:eastAsia="Arial"/>
                <w:sz w:val="20"/>
                <w:szCs w:val="20"/>
                <w:lang w:val="en-CA"/>
              </w:rPr>
              <w:t>Estimated years of use</w:t>
            </w:r>
          </w:p>
        </w:tc>
        <w:tc>
          <w:tcPr>
            <w:tcW w:w="1134" w:type="dxa"/>
            <w:vMerge w:val="restart"/>
          </w:tcPr>
          <w:p w14:paraId="36C5879D" w14:textId="77777777" w:rsidR="0032339F" w:rsidRPr="00D41A99" w:rsidRDefault="0032339F" w:rsidP="00443C43">
            <w:pPr>
              <w:spacing w:before="120" w:after="120"/>
              <w:jc w:val="left"/>
              <w:rPr>
                <w:rFonts w:eastAsia="Arial"/>
                <w:sz w:val="20"/>
                <w:szCs w:val="20"/>
                <w:lang w:val="en-US"/>
              </w:rPr>
            </w:pPr>
            <w:r w:rsidRPr="00D41A99">
              <w:rPr>
                <w:rFonts w:eastAsia="Arial"/>
                <w:sz w:val="20"/>
                <w:szCs w:val="20"/>
                <w:lang w:val="en-US"/>
              </w:rPr>
              <w:t>NA</w:t>
            </w:r>
          </w:p>
        </w:tc>
        <w:tc>
          <w:tcPr>
            <w:tcW w:w="1478" w:type="dxa"/>
            <w:vMerge w:val="restart"/>
          </w:tcPr>
          <w:p w14:paraId="52F07550" w14:textId="0C991427" w:rsidR="0032339F" w:rsidRPr="00DF7588" w:rsidRDefault="0032339F" w:rsidP="00443C43">
            <w:pPr>
              <w:spacing w:before="120" w:after="120"/>
              <w:jc w:val="left"/>
              <w:rPr>
                <w:rFonts w:eastAsia="Arial"/>
                <w:sz w:val="20"/>
                <w:szCs w:val="20"/>
                <w:lang w:val="en-US"/>
              </w:rPr>
            </w:pPr>
            <w:r w:rsidRPr="0018385C">
              <w:rPr>
                <w:rFonts w:eastAsia="Arial"/>
                <w:sz w:val="20"/>
                <w:szCs w:val="20"/>
                <w:lang w:val="en-US"/>
              </w:rPr>
              <w:t>Regional brain volume</w:t>
            </w:r>
          </w:p>
        </w:tc>
        <w:tc>
          <w:tcPr>
            <w:tcW w:w="1215" w:type="dxa"/>
          </w:tcPr>
          <w:p w14:paraId="6DD171C0" w14:textId="74F21E84" w:rsidR="0032339F" w:rsidRPr="005C75E3" w:rsidRDefault="0032339F" w:rsidP="00443C43">
            <w:pPr>
              <w:spacing w:before="120" w:after="120"/>
              <w:jc w:val="left"/>
              <w:rPr>
                <w:rFonts w:eastAsia="Arial"/>
                <w:sz w:val="16"/>
                <w:szCs w:val="16"/>
                <w:lang w:val="en-US"/>
              </w:rPr>
            </w:pPr>
            <w:r w:rsidRPr="00DF7588">
              <w:rPr>
                <w:rFonts w:eastAsia="Arial"/>
                <w:sz w:val="16"/>
                <w:szCs w:val="16"/>
                <w:lang w:val="en-US"/>
              </w:rPr>
              <w:t>All subcortical volumes (Voxel-based morphometry automated segmentations)</w:t>
            </w:r>
          </w:p>
        </w:tc>
        <w:tc>
          <w:tcPr>
            <w:tcW w:w="1276" w:type="dxa"/>
          </w:tcPr>
          <w:p w14:paraId="1705BDFA" w14:textId="4A41C76E" w:rsidR="0032339F" w:rsidRPr="00996884" w:rsidRDefault="0032339F" w:rsidP="00443C43">
            <w:pPr>
              <w:spacing w:before="120" w:after="120"/>
              <w:jc w:val="left"/>
              <w:rPr>
                <w:rFonts w:eastAsia="Arial"/>
                <w:sz w:val="20"/>
                <w:szCs w:val="20"/>
                <w:lang w:val="en-US"/>
              </w:rPr>
            </w:pPr>
            <w:r w:rsidRPr="00996884">
              <w:rPr>
                <w:rFonts w:eastAsia="Arial"/>
                <w:sz w:val="20"/>
                <w:szCs w:val="20"/>
                <w:lang w:val="en-US"/>
              </w:rPr>
              <w:t>NA</w:t>
            </w:r>
          </w:p>
        </w:tc>
        <w:tc>
          <w:tcPr>
            <w:tcW w:w="1149" w:type="dxa"/>
          </w:tcPr>
          <w:p w14:paraId="5255D099" w14:textId="60AAEBC6" w:rsidR="0032339F" w:rsidRPr="004774E3" w:rsidRDefault="0032339F" w:rsidP="00443C43">
            <w:pPr>
              <w:spacing w:before="120" w:after="120"/>
              <w:jc w:val="left"/>
              <w:rPr>
                <w:rFonts w:eastAsia="Arial"/>
                <w:sz w:val="16"/>
                <w:szCs w:val="16"/>
                <w:lang w:val="en-US"/>
              </w:rPr>
            </w:pPr>
            <w:r w:rsidRPr="00996884">
              <w:rPr>
                <w:rFonts w:eastAsia="Arial"/>
                <w:sz w:val="16"/>
                <w:szCs w:val="16"/>
                <w:lang w:val="en-US"/>
              </w:rPr>
              <w:t>Multivariable</w:t>
            </w:r>
          </w:p>
        </w:tc>
        <w:tc>
          <w:tcPr>
            <w:tcW w:w="1316" w:type="dxa"/>
            <w:shd w:val="clear" w:color="auto" w:fill="BFBFBF"/>
          </w:tcPr>
          <w:p w14:paraId="413060F0" w14:textId="439C99D8" w:rsidR="0032339F" w:rsidRPr="008D63E6" w:rsidRDefault="0032339F" w:rsidP="00443C43">
            <w:pPr>
              <w:spacing w:before="120" w:after="120"/>
              <w:jc w:val="left"/>
              <w:rPr>
                <w:rFonts w:eastAsia="Arial"/>
                <w:sz w:val="20"/>
                <w:szCs w:val="20"/>
                <w:lang w:val="en-US"/>
              </w:rPr>
            </w:pPr>
            <w:r w:rsidRPr="004774E3">
              <w:rPr>
                <w:rFonts w:eastAsia="Arial"/>
                <w:sz w:val="20"/>
                <w:szCs w:val="20"/>
                <w:lang w:val="en-US"/>
              </w:rPr>
              <w:t>Non-significa</w:t>
            </w:r>
            <w:r w:rsidRPr="008D63E6">
              <w:rPr>
                <w:rFonts w:eastAsia="Arial"/>
                <w:sz w:val="20"/>
                <w:szCs w:val="20"/>
                <w:lang w:val="en-US"/>
              </w:rPr>
              <w:t>nt (effect direction not reported)</w:t>
            </w:r>
          </w:p>
        </w:tc>
      </w:tr>
      <w:tr w:rsidR="00F46CF1" w:rsidRPr="00443C43" w14:paraId="6124AD4B" w14:textId="77777777" w:rsidTr="00CF2505">
        <w:tc>
          <w:tcPr>
            <w:tcW w:w="1413" w:type="dxa"/>
            <w:vMerge/>
          </w:tcPr>
          <w:p w14:paraId="37F86F02"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50C77405" w14:textId="77777777" w:rsidR="00F46CF1" w:rsidRPr="0032339F" w:rsidRDefault="00F46CF1" w:rsidP="00F46CF1">
            <w:pPr>
              <w:spacing w:before="120" w:after="120"/>
              <w:jc w:val="left"/>
              <w:rPr>
                <w:rFonts w:eastAsia="Arial"/>
                <w:lang w:val="en-US"/>
              </w:rPr>
            </w:pPr>
          </w:p>
        </w:tc>
        <w:tc>
          <w:tcPr>
            <w:tcW w:w="1275" w:type="dxa"/>
            <w:vMerge/>
          </w:tcPr>
          <w:p w14:paraId="0EBACAEC" w14:textId="77777777" w:rsidR="00F46CF1" w:rsidRPr="0032339F"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2F0770D0" w14:textId="77777777" w:rsidR="00F46CF1" w:rsidRPr="0032339F" w:rsidRDefault="00F46CF1" w:rsidP="00F46CF1">
            <w:pPr>
              <w:spacing w:before="120" w:after="120"/>
              <w:jc w:val="left"/>
              <w:rPr>
                <w:rFonts w:eastAsia="Arial"/>
                <w:sz w:val="20"/>
                <w:szCs w:val="20"/>
                <w:lang w:val="en-CA"/>
              </w:rPr>
            </w:pPr>
          </w:p>
        </w:tc>
        <w:tc>
          <w:tcPr>
            <w:tcW w:w="1134" w:type="dxa"/>
            <w:vMerge/>
          </w:tcPr>
          <w:p w14:paraId="4B7FB46D" w14:textId="77777777" w:rsidR="00F46CF1" w:rsidRPr="0032339F" w:rsidRDefault="00F46CF1" w:rsidP="00F46CF1">
            <w:pPr>
              <w:spacing w:before="120" w:after="120"/>
              <w:jc w:val="left"/>
              <w:rPr>
                <w:rFonts w:eastAsia="Arial"/>
                <w:sz w:val="20"/>
                <w:szCs w:val="20"/>
                <w:lang w:val="en-US"/>
              </w:rPr>
            </w:pPr>
          </w:p>
        </w:tc>
        <w:tc>
          <w:tcPr>
            <w:tcW w:w="1478" w:type="dxa"/>
            <w:vMerge/>
          </w:tcPr>
          <w:p w14:paraId="7D39A3C5" w14:textId="77777777" w:rsidR="00F46CF1" w:rsidRPr="0032339F" w:rsidRDefault="00F46CF1" w:rsidP="00F46CF1">
            <w:pPr>
              <w:spacing w:before="120" w:after="120"/>
              <w:jc w:val="left"/>
              <w:rPr>
                <w:rFonts w:eastAsia="Arial"/>
                <w:sz w:val="20"/>
                <w:szCs w:val="20"/>
                <w:lang w:val="en-US"/>
              </w:rPr>
            </w:pPr>
          </w:p>
        </w:tc>
        <w:tc>
          <w:tcPr>
            <w:tcW w:w="1215" w:type="dxa"/>
          </w:tcPr>
          <w:p w14:paraId="274CA52B"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Left frontal orbital cortex volume (Voxel-based morphometry; ≥ 100 voxels; uncorrected p &lt; 0.001; whole brain general linear models)</w:t>
            </w:r>
          </w:p>
        </w:tc>
        <w:tc>
          <w:tcPr>
            <w:tcW w:w="1276" w:type="dxa"/>
          </w:tcPr>
          <w:p w14:paraId="42692BFA"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57C8E8FD"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519F2393" w14:textId="0A3D756A"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F46CF1" w:rsidRPr="00443C43" w14:paraId="47865DCB"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57190FDB"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778216D4" w14:textId="77777777" w:rsidR="00F46CF1" w:rsidRPr="0032339F" w:rsidRDefault="00F46CF1" w:rsidP="00F46CF1">
            <w:pPr>
              <w:spacing w:before="120" w:after="120"/>
              <w:jc w:val="left"/>
              <w:rPr>
                <w:rFonts w:eastAsia="Arial"/>
                <w:lang w:val="en-US"/>
              </w:rPr>
            </w:pPr>
          </w:p>
        </w:tc>
        <w:tc>
          <w:tcPr>
            <w:tcW w:w="1275" w:type="dxa"/>
            <w:vMerge/>
          </w:tcPr>
          <w:p w14:paraId="54B2ADCA" w14:textId="77777777" w:rsidR="00F46CF1" w:rsidRPr="0032339F" w:rsidRDefault="00F46CF1" w:rsidP="00F46CF1">
            <w:pPr>
              <w:spacing w:before="120" w:after="120"/>
              <w:jc w:val="left"/>
              <w:rPr>
                <w:rFonts w:eastAsia="Arial"/>
                <w:sz w:val="20"/>
                <w:szCs w:val="20"/>
                <w:lang w:val="en-US"/>
              </w:rPr>
            </w:pPr>
          </w:p>
        </w:tc>
        <w:tc>
          <w:tcPr>
            <w:tcW w:w="1418" w:type="dxa"/>
            <w:vMerge/>
            <w:shd w:val="clear" w:color="auto" w:fill="D9D9D9" w:themeFill="background1" w:themeFillShade="D9"/>
          </w:tcPr>
          <w:p w14:paraId="65C1F213" w14:textId="77777777" w:rsidR="00F46CF1" w:rsidRPr="0032339F" w:rsidRDefault="00F46CF1" w:rsidP="00F46CF1">
            <w:pPr>
              <w:spacing w:before="120" w:after="120"/>
              <w:jc w:val="left"/>
              <w:rPr>
                <w:rFonts w:eastAsia="Arial"/>
                <w:sz w:val="20"/>
                <w:szCs w:val="20"/>
                <w:lang w:val="en-CA"/>
              </w:rPr>
            </w:pPr>
          </w:p>
        </w:tc>
        <w:tc>
          <w:tcPr>
            <w:tcW w:w="1134" w:type="dxa"/>
            <w:vMerge/>
          </w:tcPr>
          <w:p w14:paraId="5C70BEFB" w14:textId="77777777" w:rsidR="00F46CF1" w:rsidRPr="0032339F" w:rsidRDefault="00F46CF1" w:rsidP="00F46CF1">
            <w:pPr>
              <w:spacing w:before="120" w:after="120"/>
              <w:jc w:val="left"/>
              <w:rPr>
                <w:rFonts w:eastAsia="Arial"/>
                <w:sz w:val="20"/>
                <w:szCs w:val="20"/>
                <w:lang w:val="en-US"/>
              </w:rPr>
            </w:pPr>
          </w:p>
        </w:tc>
        <w:tc>
          <w:tcPr>
            <w:tcW w:w="1478" w:type="dxa"/>
            <w:vMerge/>
          </w:tcPr>
          <w:p w14:paraId="6C5B9B97" w14:textId="77777777" w:rsidR="00F46CF1" w:rsidRPr="0032339F" w:rsidRDefault="00F46CF1" w:rsidP="00F46CF1">
            <w:pPr>
              <w:spacing w:before="120" w:after="120"/>
              <w:jc w:val="left"/>
              <w:rPr>
                <w:rFonts w:eastAsia="Arial"/>
                <w:sz w:val="20"/>
                <w:szCs w:val="20"/>
                <w:lang w:val="en-US"/>
              </w:rPr>
            </w:pPr>
          </w:p>
        </w:tc>
        <w:tc>
          <w:tcPr>
            <w:tcW w:w="1215" w:type="dxa"/>
          </w:tcPr>
          <w:p w14:paraId="116CEC17"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Right lateral occipital cortex volume (Voxel-based morphometry; ≥ 100 voxels; uncorrected p &lt; 0.001; whole brain general linear models)</w:t>
            </w:r>
          </w:p>
        </w:tc>
        <w:tc>
          <w:tcPr>
            <w:tcW w:w="1276" w:type="dxa"/>
          </w:tcPr>
          <w:p w14:paraId="1AA9E821" w14:textId="77777777" w:rsidR="00F46CF1" w:rsidRPr="0032339F" w:rsidRDefault="00F46CF1" w:rsidP="00F46CF1">
            <w:pPr>
              <w:spacing w:before="120" w:after="120"/>
              <w:jc w:val="left"/>
              <w:rPr>
                <w:rFonts w:eastAsia="Arial"/>
                <w:sz w:val="20"/>
                <w:szCs w:val="20"/>
                <w:lang w:val="en-US"/>
              </w:rPr>
            </w:pPr>
            <w:r w:rsidRPr="0032339F">
              <w:rPr>
                <w:rFonts w:eastAsia="Arial"/>
                <w:sz w:val="20"/>
                <w:szCs w:val="20"/>
                <w:lang w:val="en-US"/>
              </w:rPr>
              <w:t>NA</w:t>
            </w:r>
          </w:p>
        </w:tc>
        <w:tc>
          <w:tcPr>
            <w:tcW w:w="1149" w:type="dxa"/>
          </w:tcPr>
          <w:p w14:paraId="033AEF31" w14:textId="77777777" w:rsidR="00F46CF1" w:rsidRPr="0032339F" w:rsidRDefault="00F46CF1" w:rsidP="00F46CF1">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901100"/>
          </w:tcPr>
          <w:p w14:paraId="06F6DCEE" w14:textId="7FDA8B2E" w:rsidR="00F46CF1" w:rsidRPr="0032339F" w:rsidRDefault="00F46CF1" w:rsidP="00F46CF1">
            <w:pPr>
              <w:spacing w:before="120" w:after="120"/>
              <w:jc w:val="left"/>
              <w:rPr>
                <w:rFonts w:eastAsia="Arial"/>
                <w:sz w:val="20"/>
                <w:szCs w:val="20"/>
                <w:lang w:val="en-US"/>
              </w:rPr>
            </w:pPr>
            <w:r>
              <w:rPr>
                <w:rFonts w:eastAsia="Arial"/>
                <w:sz w:val="20"/>
                <w:szCs w:val="20"/>
                <w:lang w:val="en-US"/>
              </w:rPr>
              <w:t xml:space="preserve">Significant </w:t>
            </w:r>
            <w:r>
              <w:rPr>
                <w:rFonts w:eastAsia="Arial"/>
                <w:sz w:val="20"/>
                <w:szCs w:val="20"/>
                <w:lang w:val="en-US"/>
              </w:rPr>
              <w:t>negative</w:t>
            </w:r>
            <w:r>
              <w:rPr>
                <w:rFonts w:eastAsia="Arial"/>
                <w:sz w:val="20"/>
                <w:szCs w:val="20"/>
                <w:lang w:val="en-US"/>
              </w:rPr>
              <w:t xml:space="preserve"> association</w:t>
            </w:r>
          </w:p>
        </w:tc>
      </w:tr>
      <w:tr w:rsidR="0032339F" w:rsidRPr="00443C43" w14:paraId="1D45E04E" w14:textId="77777777" w:rsidTr="00CF2505">
        <w:tc>
          <w:tcPr>
            <w:tcW w:w="1413" w:type="dxa"/>
            <w:vMerge/>
          </w:tcPr>
          <w:p w14:paraId="08C92296" w14:textId="77777777" w:rsidR="0032339F" w:rsidRPr="00443C43" w:rsidRDefault="0032339F" w:rsidP="00443C43">
            <w:pPr>
              <w:spacing w:before="120" w:after="120"/>
              <w:jc w:val="left"/>
              <w:rPr>
                <w:rFonts w:eastAsia="Arial"/>
                <w:b/>
                <w:bCs/>
                <w:sz w:val="20"/>
                <w:szCs w:val="20"/>
                <w:lang w:val="en-US"/>
              </w:rPr>
            </w:pPr>
          </w:p>
        </w:tc>
        <w:tc>
          <w:tcPr>
            <w:tcW w:w="1276" w:type="dxa"/>
            <w:vMerge/>
          </w:tcPr>
          <w:p w14:paraId="274083A0" w14:textId="77777777" w:rsidR="0032339F" w:rsidRPr="0032339F" w:rsidRDefault="0032339F" w:rsidP="00443C43">
            <w:pPr>
              <w:spacing w:before="120" w:after="120"/>
              <w:jc w:val="left"/>
              <w:rPr>
                <w:rFonts w:eastAsia="Arial"/>
                <w:lang w:val="en-US"/>
              </w:rPr>
            </w:pPr>
          </w:p>
        </w:tc>
        <w:tc>
          <w:tcPr>
            <w:tcW w:w="1275" w:type="dxa"/>
            <w:vMerge/>
          </w:tcPr>
          <w:p w14:paraId="71064E44" w14:textId="77777777" w:rsidR="0032339F" w:rsidRPr="0032339F" w:rsidRDefault="0032339F" w:rsidP="00443C43">
            <w:pPr>
              <w:spacing w:before="120" w:after="120"/>
              <w:jc w:val="left"/>
              <w:rPr>
                <w:rFonts w:eastAsia="Arial"/>
                <w:sz w:val="20"/>
                <w:szCs w:val="20"/>
                <w:lang w:val="en-US"/>
              </w:rPr>
            </w:pPr>
          </w:p>
        </w:tc>
        <w:tc>
          <w:tcPr>
            <w:tcW w:w="1418" w:type="dxa"/>
            <w:vMerge/>
            <w:shd w:val="clear" w:color="auto" w:fill="D9D9D9" w:themeFill="background1" w:themeFillShade="D9"/>
          </w:tcPr>
          <w:p w14:paraId="19F568F0" w14:textId="77777777" w:rsidR="0032339F" w:rsidRPr="0032339F" w:rsidRDefault="0032339F" w:rsidP="00443C43">
            <w:pPr>
              <w:spacing w:before="120" w:after="120"/>
              <w:jc w:val="left"/>
              <w:rPr>
                <w:rFonts w:eastAsia="Arial"/>
                <w:sz w:val="20"/>
                <w:szCs w:val="20"/>
                <w:lang w:val="en-CA"/>
              </w:rPr>
            </w:pPr>
          </w:p>
        </w:tc>
        <w:tc>
          <w:tcPr>
            <w:tcW w:w="1134" w:type="dxa"/>
            <w:vMerge/>
          </w:tcPr>
          <w:p w14:paraId="76C777C1" w14:textId="77777777" w:rsidR="0032339F" w:rsidRPr="0032339F" w:rsidRDefault="0032339F" w:rsidP="00443C43">
            <w:pPr>
              <w:spacing w:before="120" w:after="120"/>
              <w:jc w:val="left"/>
              <w:rPr>
                <w:rFonts w:eastAsia="Arial"/>
                <w:sz w:val="20"/>
                <w:szCs w:val="20"/>
                <w:lang w:val="en-US"/>
              </w:rPr>
            </w:pPr>
          </w:p>
        </w:tc>
        <w:tc>
          <w:tcPr>
            <w:tcW w:w="1478" w:type="dxa"/>
            <w:vMerge/>
          </w:tcPr>
          <w:p w14:paraId="5D4A2CA2" w14:textId="77777777" w:rsidR="0032339F" w:rsidRPr="0032339F" w:rsidRDefault="0032339F" w:rsidP="00443C43">
            <w:pPr>
              <w:spacing w:before="120" w:after="120"/>
              <w:jc w:val="left"/>
              <w:rPr>
                <w:rFonts w:eastAsia="Arial"/>
                <w:sz w:val="20"/>
                <w:szCs w:val="20"/>
                <w:lang w:val="en-US"/>
              </w:rPr>
            </w:pPr>
          </w:p>
        </w:tc>
        <w:tc>
          <w:tcPr>
            <w:tcW w:w="1215" w:type="dxa"/>
          </w:tcPr>
          <w:p w14:paraId="019F3712" w14:textId="77777777" w:rsidR="0032339F" w:rsidRPr="0032339F" w:rsidRDefault="0032339F" w:rsidP="00443C43">
            <w:pPr>
              <w:spacing w:before="120" w:after="120"/>
              <w:jc w:val="left"/>
              <w:rPr>
                <w:rFonts w:eastAsia="Arial"/>
                <w:sz w:val="16"/>
                <w:szCs w:val="16"/>
                <w:lang w:val="en-US"/>
              </w:rPr>
            </w:pPr>
            <w:r w:rsidRPr="0032339F">
              <w:rPr>
                <w:rFonts w:eastAsia="Arial"/>
                <w:sz w:val="16"/>
                <w:szCs w:val="16"/>
                <w:lang w:val="en-US"/>
              </w:rPr>
              <w:t xml:space="preserve">Global structural volume (Voxel-based morphometry </w:t>
            </w:r>
            <w:r w:rsidRPr="0032339F">
              <w:rPr>
                <w:rFonts w:eastAsia="Arial"/>
                <w:sz w:val="16"/>
                <w:szCs w:val="16"/>
                <w:lang w:val="en-US"/>
              </w:rPr>
              <w:lastRenderedPageBreak/>
              <w:t>automated segmentations)</w:t>
            </w:r>
          </w:p>
        </w:tc>
        <w:tc>
          <w:tcPr>
            <w:tcW w:w="1276" w:type="dxa"/>
          </w:tcPr>
          <w:p w14:paraId="54105673" w14:textId="77777777" w:rsidR="0032339F" w:rsidRPr="0032339F" w:rsidRDefault="0032339F" w:rsidP="00443C43">
            <w:pPr>
              <w:spacing w:before="120" w:after="120"/>
              <w:jc w:val="left"/>
              <w:rPr>
                <w:rFonts w:eastAsia="Arial"/>
                <w:sz w:val="20"/>
                <w:szCs w:val="20"/>
                <w:lang w:val="en-US"/>
              </w:rPr>
            </w:pPr>
            <w:r w:rsidRPr="0032339F">
              <w:rPr>
                <w:rFonts w:eastAsia="Arial"/>
                <w:sz w:val="20"/>
                <w:szCs w:val="20"/>
                <w:lang w:val="en-US"/>
              </w:rPr>
              <w:lastRenderedPageBreak/>
              <w:t>NA</w:t>
            </w:r>
          </w:p>
        </w:tc>
        <w:tc>
          <w:tcPr>
            <w:tcW w:w="1149" w:type="dxa"/>
          </w:tcPr>
          <w:p w14:paraId="11D15A5D" w14:textId="77777777" w:rsidR="0032339F" w:rsidRPr="0032339F" w:rsidRDefault="0032339F" w:rsidP="00443C43">
            <w:pPr>
              <w:spacing w:before="120" w:after="120"/>
              <w:jc w:val="left"/>
              <w:rPr>
                <w:rFonts w:eastAsia="Arial"/>
                <w:sz w:val="16"/>
                <w:szCs w:val="16"/>
                <w:lang w:val="en-US"/>
              </w:rPr>
            </w:pPr>
            <w:r w:rsidRPr="0032339F">
              <w:rPr>
                <w:rFonts w:eastAsia="Arial"/>
                <w:sz w:val="16"/>
                <w:szCs w:val="16"/>
                <w:lang w:val="en-US"/>
              </w:rPr>
              <w:t>Multivariable</w:t>
            </w:r>
          </w:p>
        </w:tc>
        <w:tc>
          <w:tcPr>
            <w:tcW w:w="1316" w:type="dxa"/>
            <w:shd w:val="clear" w:color="auto" w:fill="BFBFBF"/>
          </w:tcPr>
          <w:p w14:paraId="278465E6" w14:textId="77777777" w:rsidR="0032339F" w:rsidRPr="0032339F" w:rsidRDefault="0032339F" w:rsidP="00443C43">
            <w:pPr>
              <w:spacing w:before="120" w:after="120"/>
              <w:jc w:val="left"/>
              <w:rPr>
                <w:rFonts w:eastAsia="Arial"/>
                <w:sz w:val="20"/>
                <w:szCs w:val="20"/>
                <w:lang w:val="en-US"/>
              </w:rPr>
            </w:pPr>
            <w:r w:rsidRPr="0032339F">
              <w:rPr>
                <w:rFonts w:eastAsia="Arial"/>
                <w:sz w:val="20"/>
                <w:szCs w:val="20"/>
                <w:lang w:val="en-US"/>
              </w:rPr>
              <w:t xml:space="preserve">Non-significant (effect </w:t>
            </w:r>
            <w:r w:rsidRPr="0032339F">
              <w:rPr>
                <w:rFonts w:eastAsia="Arial"/>
                <w:sz w:val="20"/>
                <w:szCs w:val="20"/>
                <w:lang w:val="en-US"/>
              </w:rPr>
              <w:lastRenderedPageBreak/>
              <w:t>direction not reported)</w:t>
            </w:r>
          </w:p>
        </w:tc>
      </w:tr>
      <w:tr w:rsidR="006F6DF5" w:rsidRPr="00443C43" w14:paraId="744EC254"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1CBAC936"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44C5CAEC" w14:textId="77777777" w:rsidR="006F6DF5" w:rsidRPr="004C08AD" w:rsidRDefault="006F6DF5" w:rsidP="006F6DF5">
            <w:pPr>
              <w:spacing w:before="120" w:after="120"/>
              <w:jc w:val="left"/>
              <w:rPr>
                <w:rFonts w:eastAsia="Arial"/>
                <w:highlight w:val="yellow"/>
                <w:lang w:val="en-US"/>
                <w:rPrChange w:id="0" w:author="Dianna Wolfe" w:date="2021-11-22T13:19:00Z">
                  <w:rPr>
                    <w:rFonts w:eastAsia="Arial"/>
                    <w:lang w:val="en-US"/>
                  </w:rPr>
                </w:rPrChange>
              </w:rPr>
            </w:pPr>
          </w:p>
        </w:tc>
        <w:tc>
          <w:tcPr>
            <w:tcW w:w="1275" w:type="dxa"/>
            <w:vMerge/>
          </w:tcPr>
          <w:p w14:paraId="7306A350" w14:textId="77777777" w:rsidR="006F6DF5" w:rsidRPr="004C08AD" w:rsidRDefault="006F6DF5" w:rsidP="006F6DF5">
            <w:pPr>
              <w:spacing w:before="120" w:after="120"/>
              <w:jc w:val="left"/>
              <w:rPr>
                <w:rFonts w:eastAsia="Arial"/>
                <w:sz w:val="20"/>
                <w:szCs w:val="20"/>
                <w:highlight w:val="yellow"/>
                <w:lang w:val="en-US"/>
                <w:rPrChange w:id="1" w:author="Dianna Wolfe" w:date="2021-11-22T13:19:00Z">
                  <w:rPr>
                    <w:rFonts w:eastAsia="Arial"/>
                    <w:sz w:val="20"/>
                    <w:szCs w:val="20"/>
                    <w:lang w:val="en-US"/>
                  </w:rPr>
                </w:rPrChange>
              </w:rPr>
            </w:pPr>
          </w:p>
        </w:tc>
        <w:tc>
          <w:tcPr>
            <w:tcW w:w="1418" w:type="dxa"/>
            <w:vMerge w:val="restart"/>
            <w:shd w:val="clear" w:color="auto" w:fill="D9D9D9" w:themeFill="background1" w:themeFillShade="D9"/>
          </w:tcPr>
          <w:p w14:paraId="60B41D43" w14:textId="77777777" w:rsidR="006F6DF5" w:rsidRPr="0018385C" w:rsidRDefault="006F6DF5" w:rsidP="006F6DF5">
            <w:pPr>
              <w:spacing w:before="120" w:after="120"/>
              <w:jc w:val="left"/>
              <w:rPr>
                <w:rFonts w:eastAsia="Arial"/>
                <w:sz w:val="20"/>
                <w:szCs w:val="20"/>
                <w:lang w:val="en-CA"/>
              </w:rPr>
            </w:pPr>
            <w:r w:rsidRPr="005C1713">
              <w:rPr>
                <w:rFonts w:eastAsia="Arial"/>
                <w:sz w:val="20"/>
                <w:szCs w:val="20"/>
                <w:lang w:val="en-CA"/>
              </w:rPr>
              <w:t>Short-term vs lifetime use</w:t>
            </w:r>
          </w:p>
        </w:tc>
        <w:tc>
          <w:tcPr>
            <w:tcW w:w="1134" w:type="dxa"/>
            <w:vMerge w:val="restart"/>
          </w:tcPr>
          <w:p w14:paraId="78D36E13" w14:textId="77777777" w:rsidR="006F6DF5" w:rsidRPr="00DF7588" w:rsidRDefault="006F6DF5" w:rsidP="006F6DF5">
            <w:pPr>
              <w:spacing w:before="120" w:after="120"/>
              <w:jc w:val="left"/>
              <w:rPr>
                <w:rFonts w:eastAsia="Arial"/>
                <w:sz w:val="20"/>
                <w:szCs w:val="20"/>
                <w:lang w:val="en-US"/>
              </w:rPr>
            </w:pPr>
            <w:r w:rsidRPr="00DF7588">
              <w:rPr>
                <w:rFonts w:eastAsia="Arial"/>
                <w:sz w:val="20"/>
                <w:szCs w:val="20"/>
                <w:lang w:val="en-US"/>
              </w:rPr>
              <w:t>NA</w:t>
            </w:r>
          </w:p>
        </w:tc>
        <w:tc>
          <w:tcPr>
            <w:tcW w:w="1478" w:type="dxa"/>
          </w:tcPr>
          <w:p w14:paraId="6232CDD4" w14:textId="77777777" w:rsidR="006F6DF5" w:rsidRPr="00996884" w:rsidRDefault="006F6DF5" w:rsidP="006F6DF5">
            <w:pPr>
              <w:spacing w:before="120" w:after="120"/>
              <w:jc w:val="left"/>
              <w:rPr>
                <w:rFonts w:eastAsia="Arial"/>
                <w:sz w:val="20"/>
                <w:szCs w:val="20"/>
                <w:lang w:val="en-US"/>
              </w:rPr>
            </w:pPr>
            <w:r w:rsidRPr="005C75E3">
              <w:rPr>
                <w:rFonts w:eastAsia="Arial"/>
                <w:sz w:val="20"/>
                <w:szCs w:val="20"/>
                <w:lang w:val="en-US"/>
              </w:rPr>
              <w:t>Anxiety</w:t>
            </w:r>
          </w:p>
        </w:tc>
        <w:tc>
          <w:tcPr>
            <w:tcW w:w="1215" w:type="dxa"/>
          </w:tcPr>
          <w:p w14:paraId="520F32D4" w14:textId="3FF5F36A" w:rsidR="006F6DF5" w:rsidRPr="004774E3" w:rsidRDefault="006F6DF5" w:rsidP="006F6DF5">
            <w:pPr>
              <w:spacing w:before="120" w:after="120"/>
              <w:jc w:val="left"/>
              <w:rPr>
                <w:rFonts w:eastAsia="Arial"/>
                <w:sz w:val="16"/>
                <w:szCs w:val="16"/>
                <w:lang w:val="en-US"/>
              </w:rPr>
            </w:pPr>
            <w:r w:rsidRPr="00996884">
              <w:rPr>
                <w:rFonts w:eastAsia="Arial"/>
                <w:sz w:val="16"/>
                <w:szCs w:val="16"/>
                <w:lang w:val="en-US"/>
              </w:rPr>
              <w:t>Beck Anxiety Inventory total score</w:t>
            </w:r>
          </w:p>
        </w:tc>
        <w:tc>
          <w:tcPr>
            <w:tcW w:w="1276" w:type="dxa"/>
          </w:tcPr>
          <w:p w14:paraId="2C1DCFAD" w14:textId="77777777" w:rsidR="006F6DF5" w:rsidRPr="008D63E6" w:rsidRDefault="006F6DF5" w:rsidP="006F6DF5">
            <w:pPr>
              <w:spacing w:before="120" w:after="120"/>
              <w:jc w:val="left"/>
              <w:rPr>
                <w:rFonts w:eastAsia="Arial"/>
                <w:sz w:val="20"/>
                <w:szCs w:val="20"/>
                <w:lang w:val="en-US"/>
              </w:rPr>
            </w:pPr>
            <w:r w:rsidRPr="008D63E6">
              <w:rPr>
                <w:rFonts w:eastAsia="Arial"/>
                <w:sz w:val="20"/>
                <w:szCs w:val="20"/>
                <w:lang w:val="en-US"/>
              </w:rPr>
              <w:t>NA</w:t>
            </w:r>
          </w:p>
        </w:tc>
        <w:tc>
          <w:tcPr>
            <w:tcW w:w="1149" w:type="dxa"/>
          </w:tcPr>
          <w:p w14:paraId="0EB4DF77" w14:textId="77777777" w:rsidR="006F6DF5" w:rsidRPr="008D63E6" w:rsidRDefault="006F6DF5" w:rsidP="006F6DF5">
            <w:pPr>
              <w:spacing w:before="120" w:after="120"/>
              <w:jc w:val="left"/>
              <w:rPr>
                <w:rFonts w:eastAsia="Arial"/>
                <w:sz w:val="16"/>
                <w:szCs w:val="16"/>
                <w:lang w:val="en-US"/>
              </w:rPr>
            </w:pPr>
            <w:r w:rsidRPr="008D63E6">
              <w:rPr>
                <w:rFonts w:eastAsia="Arial"/>
                <w:sz w:val="16"/>
                <w:szCs w:val="16"/>
                <w:lang w:val="en-US"/>
              </w:rPr>
              <w:t>Univariable</w:t>
            </w:r>
          </w:p>
        </w:tc>
        <w:tc>
          <w:tcPr>
            <w:tcW w:w="1316" w:type="dxa"/>
            <w:shd w:val="clear" w:color="auto" w:fill="99FF99"/>
          </w:tcPr>
          <w:p w14:paraId="4BED93DF" w14:textId="61589257" w:rsidR="006F6DF5" w:rsidRPr="00DF3900"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45EE75D6" w14:textId="77777777" w:rsidTr="00CF2505">
        <w:tc>
          <w:tcPr>
            <w:tcW w:w="1413" w:type="dxa"/>
            <w:vMerge/>
          </w:tcPr>
          <w:p w14:paraId="0C81F513"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70A38462" w14:textId="77777777" w:rsidR="006F6DF5" w:rsidRPr="004C08AD" w:rsidRDefault="006F6DF5" w:rsidP="006F6DF5">
            <w:pPr>
              <w:spacing w:before="120" w:after="120"/>
              <w:jc w:val="left"/>
              <w:rPr>
                <w:rFonts w:eastAsia="Arial"/>
                <w:highlight w:val="yellow"/>
                <w:lang w:val="en-US"/>
                <w:rPrChange w:id="2" w:author="Dianna Wolfe" w:date="2021-11-22T13:19:00Z">
                  <w:rPr>
                    <w:rFonts w:eastAsia="Arial"/>
                    <w:lang w:val="en-US"/>
                  </w:rPr>
                </w:rPrChange>
              </w:rPr>
            </w:pPr>
          </w:p>
        </w:tc>
        <w:tc>
          <w:tcPr>
            <w:tcW w:w="1275" w:type="dxa"/>
            <w:vMerge/>
          </w:tcPr>
          <w:p w14:paraId="4C1AA36E" w14:textId="77777777" w:rsidR="006F6DF5" w:rsidRPr="004C08AD" w:rsidRDefault="006F6DF5" w:rsidP="006F6DF5">
            <w:pPr>
              <w:spacing w:before="120" w:after="120"/>
              <w:jc w:val="left"/>
              <w:rPr>
                <w:rFonts w:eastAsia="Arial"/>
                <w:sz w:val="20"/>
                <w:szCs w:val="20"/>
                <w:highlight w:val="yellow"/>
                <w:lang w:val="en-US"/>
                <w:rPrChange w:id="3" w:author="Dianna Wolfe" w:date="2021-11-22T13:19:00Z">
                  <w:rPr>
                    <w:rFonts w:eastAsia="Arial"/>
                    <w:sz w:val="20"/>
                    <w:szCs w:val="20"/>
                    <w:lang w:val="en-US"/>
                  </w:rPr>
                </w:rPrChange>
              </w:rPr>
            </w:pPr>
          </w:p>
        </w:tc>
        <w:tc>
          <w:tcPr>
            <w:tcW w:w="1418" w:type="dxa"/>
            <w:vMerge/>
            <w:shd w:val="clear" w:color="auto" w:fill="D9D9D9" w:themeFill="background1" w:themeFillShade="D9"/>
          </w:tcPr>
          <w:p w14:paraId="34FC884E" w14:textId="77777777" w:rsidR="006F6DF5" w:rsidRPr="005C1713" w:rsidRDefault="006F6DF5" w:rsidP="006F6DF5">
            <w:pPr>
              <w:spacing w:before="120" w:after="120"/>
              <w:jc w:val="left"/>
              <w:rPr>
                <w:rFonts w:eastAsia="Arial"/>
                <w:sz w:val="20"/>
                <w:szCs w:val="20"/>
                <w:lang w:val="en-CA"/>
              </w:rPr>
            </w:pPr>
          </w:p>
        </w:tc>
        <w:tc>
          <w:tcPr>
            <w:tcW w:w="1134" w:type="dxa"/>
            <w:vMerge/>
          </w:tcPr>
          <w:p w14:paraId="5705EDE7" w14:textId="77777777" w:rsidR="006F6DF5" w:rsidRPr="005C1713" w:rsidRDefault="006F6DF5" w:rsidP="006F6DF5">
            <w:pPr>
              <w:spacing w:before="120" w:after="120"/>
              <w:jc w:val="left"/>
              <w:rPr>
                <w:rFonts w:eastAsia="Arial"/>
                <w:sz w:val="20"/>
                <w:szCs w:val="20"/>
                <w:lang w:val="en-US"/>
              </w:rPr>
            </w:pPr>
          </w:p>
        </w:tc>
        <w:tc>
          <w:tcPr>
            <w:tcW w:w="1478" w:type="dxa"/>
          </w:tcPr>
          <w:p w14:paraId="1984A165"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Depression</w:t>
            </w:r>
          </w:p>
        </w:tc>
        <w:tc>
          <w:tcPr>
            <w:tcW w:w="1215" w:type="dxa"/>
          </w:tcPr>
          <w:p w14:paraId="10305771" w14:textId="742D259A"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Beck Depression Inventory, Second Edition (BID-II) total score</w:t>
            </w:r>
          </w:p>
        </w:tc>
        <w:tc>
          <w:tcPr>
            <w:tcW w:w="1276" w:type="dxa"/>
          </w:tcPr>
          <w:p w14:paraId="299742EC"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2AEF2C68"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34874F00" w14:textId="1009CC5C"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68CAB1EE" w14:textId="77777777" w:rsidTr="00D41A99">
        <w:trPr>
          <w:cnfStyle w:val="000000100000" w:firstRow="0" w:lastRow="0" w:firstColumn="0" w:lastColumn="0" w:oddVBand="0" w:evenVBand="0" w:oddHBand="1" w:evenHBand="0" w:firstRowFirstColumn="0" w:firstRowLastColumn="0" w:lastRowFirstColumn="0" w:lastRowLastColumn="0"/>
        </w:trPr>
        <w:tc>
          <w:tcPr>
            <w:tcW w:w="1413" w:type="dxa"/>
            <w:vMerge/>
          </w:tcPr>
          <w:p w14:paraId="682B6D7A"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6513E03F" w14:textId="77777777" w:rsidR="006F6DF5" w:rsidRPr="004C08AD" w:rsidRDefault="006F6DF5" w:rsidP="006F6DF5">
            <w:pPr>
              <w:spacing w:before="120" w:after="120"/>
              <w:jc w:val="left"/>
              <w:rPr>
                <w:rFonts w:eastAsia="Arial"/>
                <w:highlight w:val="yellow"/>
                <w:lang w:val="en-US"/>
                <w:rPrChange w:id="4" w:author="Dianna Wolfe" w:date="2021-11-22T13:19:00Z">
                  <w:rPr>
                    <w:rFonts w:eastAsia="Arial"/>
                    <w:lang w:val="en-US"/>
                  </w:rPr>
                </w:rPrChange>
              </w:rPr>
            </w:pPr>
          </w:p>
        </w:tc>
        <w:tc>
          <w:tcPr>
            <w:tcW w:w="1275" w:type="dxa"/>
            <w:vMerge/>
          </w:tcPr>
          <w:p w14:paraId="468EC58D" w14:textId="77777777" w:rsidR="006F6DF5" w:rsidRPr="004C08AD" w:rsidRDefault="006F6DF5" w:rsidP="006F6DF5">
            <w:pPr>
              <w:spacing w:before="120" w:after="120"/>
              <w:jc w:val="left"/>
              <w:rPr>
                <w:rFonts w:eastAsia="Arial"/>
                <w:sz w:val="20"/>
                <w:szCs w:val="20"/>
                <w:highlight w:val="yellow"/>
                <w:lang w:val="en-US"/>
                <w:rPrChange w:id="5" w:author="Dianna Wolfe" w:date="2021-11-22T13:19:00Z">
                  <w:rPr>
                    <w:rFonts w:eastAsia="Arial"/>
                    <w:sz w:val="20"/>
                    <w:szCs w:val="20"/>
                    <w:lang w:val="en-US"/>
                  </w:rPr>
                </w:rPrChange>
              </w:rPr>
            </w:pPr>
          </w:p>
        </w:tc>
        <w:tc>
          <w:tcPr>
            <w:tcW w:w="1418" w:type="dxa"/>
            <w:vMerge/>
            <w:shd w:val="clear" w:color="auto" w:fill="D9D9D9" w:themeFill="background1" w:themeFillShade="D9"/>
          </w:tcPr>
          <w:p w14:paraId="6E3D84F1" w14:textId="77777777" w:rsidR="006F6DF5" w:rsidRPr="005C1713" w:rsidRDefault="006F6DF5" w:rsidP="006F6DF5">
            <w:pPr>
              <w:spacing w:before="120" w:after="120"/>
              <w:jc w:val="left"/>
              <w:rPr>
                <w:rFonts w:eastAsia="Arial"/>
                <w:sz w:val="20"/>
                <w:szCs w:val="20"/>
                <w:lang w:val="en-CA"/>
              </w:rPr>
            </w:pPr>
          </w:p>
        </w:tc>
        <w:tc>
          <w:tcPr>
            <w:tcW w:w="1134" w:type="dxa"/>
            <w:vMerge/>
          </w:tcPr>
          <w:p w14:paraId="4921FFC5" w14:textId="77777777" w:rsidR="006F6DF5" w:rsidRPr="005C1713" w:rsidRDefault="006F6DF5" w:rsidP="006F6DF5">
            <w:pPr>
              <w:spacing w:before="120" w:after="120"/>
              <w:jc w:val="left"/>
              <w:rPr>
                <w:rFonts w:eastAsia="Arial"/>
                <w:sz w:val="20"/>
                <w:szCs w:val="20"/>
                <w:lang w:val="en-US"/>
              </w:rPr>
            </w:pPr>
          </w:p>
        </w:tc>
        <w:tc>
          <w:tcPr>
            <w:tcW w:w="1478" w:type="dxa"/>
            <w:vMerge w:val="restart"/>
          </w:tcPr>
          <w:p w14:paraId="385E09E6"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Cognitive functioning</w:t>
            </w:r>
          </w:p>
        </w:tc>
        <w:tc>
          <w:tcPr>
            <w:tcW w:w="1215" w:type="dxa"/>
          </w:tcPr>
          <w:p w14:paraId="0AAE9486" w14:textId="6A607860"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Dimensional Change Card Sort score</w:t>
            </w:r>
          </w:p>
        </w:tc>
        <w:tc>
          <w:tcPr>
            <w:tcW w:w="1276" w:type="dxa"/>
          </w:tcPr>
          <w:p w14:paraId="66849598"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076BDBE9"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4FE03E81" w14:textId="69A03FEE"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7609EC7F" w14:textId="77777777" w:rsidTr="00CF2505">
        <w:tc>
          <w:tcPr>
            <w:tcW w:w="1413" w:type="dxa"/>
            <w:vMerge/>
          </w:tcPr>
          <w:p w14:paraId="4318D3D9"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2A840440" w14:textId="77777777" w:rsidR="006F6DF5" w:rsidRPr="004C08AD" w:rsidRDefault="006F6DF5" w:rsidP="006F6DF5">
            <w:pPr>
              <w:spacing w:before="120" w:after="120"/>
              <w:jc w:val="left"/>
              <w:rPr>
                <w:rFonts w:eastAsia="Arial"/>
                <w:highlight w:val="yellow"/>
                <w:lang w:val="en-US"/>
                <w:rPrChange w:id="6" w:author="Dianna Wolfe" w:date="2021-11-22T13:19:00Z">
                  <w:rPr>
                    <w:rFonts w:eastAsia="Arial"/>
                    <w:lang w:val="en-US"/>
                  </w:rPr>
                </w:rPrChange>
              </w:rPr>
            </w:pPr>
          </w:p>
        </w:tc>
        <w:tc>
          <w:tcPr>
            <w:tcW w:w="1275" w:type="dxa"/>
            <w:vMerge/>
          </w:tcPr>
          <w:p w14:paraId="25A3CB9E" w14:textId="77777777" w:rsidR="006F6DF5" w:rsidRPr="004C08AD" w:rsidRDefault="006F6DF5" w:rsidP="006F6DF5">
            <w:pPr>
              <w:spacing w:before="120" w:after="120"/>
              <w:jc w:val="left"/>
              <w:rPr>
                <w:rFonts w:eastAsia="Arial"/>
                <w:sz w:val="20"/>
                <w:szCs w:val="20"/>
                <w:highlight w:val="yellow"/>
                <w:lang w:val="en-US"/>
                <w:rPrChange w:id="7" w:author="Dianna Wolfe" w:date="2021-11-22T13:19:00Z">
                  <w:rPr>
                    <w:rFonts w:eastAsia="Arial"/>
                    <w:sz w:val="20"/>
                    <w:szCs w:val="20"/>
                    <w:lang w:val="en-US"/>
                  </w:rPr>
                </w:rPrChange>
              </w:rPr>
            </w:pPr>
          </w:p>
        </w:tc>
        <w:tc>
          <w:tcPr>
            <w:tcW w:w="1418" w:type="dxa"/>
            <w:vMerge/>
            <w:shd w:val="clear" w:color="auto" w:fill="D9D9D9" w:themeFill="background1" w:themeFillShade="D9"/>
          </w:tcPr>
          <w:p w14:paraId="17C72100" w14:textId="77777777" w:rsidR="006F6DF5" w:rsidRPr="005C1713" w:rsidRDefault="006F6DF5" w:rsidP="006F6DF5">
            <w:pPr>
              <w:spacing w:before="120" w:after="120"/>
              <w:jc w:val="left"/>
              <w:rPr>
                <w:rFonts w:eastAsia="Arial"/>
                <w:sz w:val="20"/>
                <w:szCs w:val="20"/>
                <w:lang w:val="en-CA"/>
              </w:rPr>
            </w:pPr>
          </w:p>
        </w:tc>
        <w:tc>
          <w:tcPr>
            <w:tcW w:w="1134" w:type="dxa"/>
            <w:vMerge/>
          </w:tcPr>
          <w:p w14:paraId="4D49C41B" w14:textId="77777777" w:rsidR="006F6DF5" w:rsidRPr="005C1713" w:rsidRDefault="006F6DF5" w:rsidP="006F6DF5">
            <w:pPr>
              <w:spacing w:before="120" w:after="120"/>
              <w:jc w:val="left"/>
              <w:rPr>
                <w:rFonts w:eastAsia="Arial"/>
                <w:sz w:val="20"/>
                <w:szCs w:val="20"/>
                <w:lang w:val="en-US"/>
              </w:rPr>
            </w:pPr>
          </w:p>
        </w:tc>
        <w:tc>
          <w:tcPr>
            <w:tcW w:w="1478" w:type="dxa"/>
            <w:vMerge/>
          </w:tcPr>
          <w:p w14:paraId="21F5281C" w14:textId="77777777" w:rsidR="006F6DF5" w:rsidRPr="005C1713" w:rsidRDefault="006F6DF5" w:rsidP="006F6DF5">
            <w:pPr>
              <w:spacing w:before="120" w:after="120"/>
              <w:jc w:val="left"/>
              <w:rPr>
                <w:rFonts w:eastAsia="Arial"/>
                <w:sz w:val="20"/>
                <w:szCs w:val="20"/>
                <w:lang w:val="en-US"/>
              </w:rPr>
            </w:pPr>
          </w:p>
        </w:tc>
        <w:tc>
          <w:tcPr>
            <w:tcW w:w="1215" w:type="dxa"/>
          </w:tcPr>
          <w:p w14:paraId="55108E04" w14:textId="5B6908A4"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Flanker Inhibitory Control score</w:t>
            </w:r>
          </w:p>
        </w:tc>
        <w:tc>
          <w:tcPr>
            <w:tcW w:w="1276" w:type="dxa"/>
          </w:tcPr>
          <w:p w14:paraId="7725131B"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645AE2F9"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0DC26784" w14:textId="72E60A1E"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00AB1A0B"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5C2B128"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49133076" w14:textId="77777777" w:rsidR="006F6DF5" w:rsidRPr="004C08AD" w:rsidRDefault="006F6DF5" w:rsidP="006F6DF5">
            <w:pPr>
              <w:spacing w:before="120" w:after="120"/>
              <w:jc w:val="left"/>
              <w:rPr>
                <w:rFonts w:eastAsia="Arial"/>
                <w:highlight w:val="yellow"/>
                <w:lang w:val="en-US"/>
                <w:rPrChange w:id="8" w:author="Dianna Wolfe" w:date="2021-11-22T13:19:00Z">
                  <w:rPr>
                    <w:rFonts w:eastAsia="Arial"/>
                    <w:lang w:val="en-US"/>
                  </w:rPr>
                </w:rPrChange>
              </w:rPr>
            </w:pPr>
          </w:p>
        </w:tc>
        <w:tc>
          <w:tcPr>
            <w:tcW w:w="1275" w:type="dxa"/>
            <w:vMerge/>
          </w:tcPr>
          <w:p w14:paraId="0036EC1F" w14:textId="77777777" w:rsidR="006F6DF5" w:rsidRPr="004C08AD" w:rsidRDefault="006F6DF5" w:rsidP="006F6DF5">
            <w:pPr>
              <w:spacing w:before="120" w:after="120"/>
              <w:jc w:val="left"/>
              <w:rPr>
                <w:rFonts w:eastAsia="Arial"/>
                <w:sz w:val="20"/>
                <w:szCs w:val="20"/>
                <w:highlight w:val="yellow"/>
                <w:lang w:val="en-US"/>
                <w:rPrChange w:id="9" w:author="Dianna Wolfe" w:date="2021-11-22T13:19:00Z">
                  <w:rPr>
                    <w:rFonts w:eastAsia="Arial"/>
                    <w:sz w:val="20"/>
                    <w:szCs w:val="20"/>
                    <w:lang w:val="en-US"/>
                  </w:rPr>
                </w:rPrChange>
              </w:rPr>
            </w:pPr>
          </w:p>
        </w:tc>
        <w:tc>
          <w:tcPr>
            <w:tcW w:w="1418" w:type="dxa"/>
            <w:vMerge/>
            <w:shd w:val="clear" w:color="auto" w:fill="D9D9D9" w:themeFill="background1" w:themeFillShade="D9"/>
          </w:tcPr>
          <w:p w14:paraId="560D1F27" w14:textId="77777777" w:rsidR="006F6DF5" w:rsidRPr="005C1713" w:rsidRDefault="006F6DF5" w:rsidP="006F6DF5">
            <w:pPr>
              <w:spacing w:before="120" w:after="120"/>
              <w:jc w:val="left"/>
              <w:rPr>
                <w:rFonts w:eastAsia="Arial"/>
                <w:sz w:val="20"/>
                <w:szCs w:val="20"/>
                <w:lang w:val="en-CA"/>
              </w:rPr>
            </w:pPr>
          </w:p>
        </w:tc>
        <w:tc>
          <w:tcPr>
            <w:tcW w:w="1134" w:type="dxa"/>
            <w:vMerge/>
          </w:tcPr>
          <w:p w14:paraId="5070F65B" w14:textId="77777777" w:rsidR="006F6DF5" w:rsidRPr="005C1713" w:rsidRDefault="006F6DF5" w:rsidP="006F6DF5">
            <w:pPr>
              <w:spacing w:before="120" w:after="120"/>
              <w:jc w:val="left"/>
              <w:rPr>
                <w:rFonts w:eastAsia="Arial"/>
                <w:sz w:val="20"/>
                <w:szCs w:val="20"/>
                <w:lang w:val="en-US"/>
              </w:rPr>
            </w:pPr>
          </w:p>
        </w:tc>
        <w:tc>
          <w:tcPr>
            <w:tcW w:w="1478" w:type="dxa"/>
            <w:vMerge/>
          </w:tcPr>
          <w:p w14:paraId="18A7EB76" w14:textId="77777777" w:rsidR="006F6DF5" w:rsidRPr="005C1713" w:rsidRDefault="006F6DF5" w:rsidP="006F6DF5">
            <w:pPr>
              <w:spacing w:before="120" w:after="120"/>
              <w:jc w:val="left"/>
              <w:rPr>
                <w:rFonts w:eastAsia="Arial"/>
                <w:sz w:val="20"/>
                <w:szCs w:val="20"/>
                <w:lang w:val="en-US"/>
              </w:rPr>
            </w:pPr>
          </w:p>
        </w:tc>
        <w:tc>
          <w:tcPr>
            <w:tcW w:w="1215" w:type="dxa"/>
          </w:tcPr>
          <w:p w14:paraId="7D00BEA4" w14:textId="7F34E824"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List Sorting Working Memory score</w:t>
            </w:r>
          </w:p>
        </w:tc>
        <w:tc>
          <w:tcPr>
            <w:tcW w:w="1276" w:type="dxa"/>
          </w:tcPr>
          <w:p w14:paraId="209EA34C"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00EB6F0F"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63103AC2" w14:textId="09A20714"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72DD4006" w14:textId="77777777" w:rsidTr="00CF2505">
        <w:tc>
          <w:tcPr>
            <w:tcW w:w="1413" w:type="dxa"/>
            <w:vMerge/>
          </w:tcPr>
          <w:p w14:paraId="3F12D6B6"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50C3DF3B" w14:textId="77777777" w:rsidR="006F6DF5" w:rsidRPr="004C08AD" w:rsidRDefault="006F6DF5" w:rsidP="006F6DF5">
            <w:pPr>
              <w:spacing w:before="120" w:after="120"/>
              <w:jc w:val="left"/>
              <w:rPr>
                <w:rFonts w:eastAsia="Arial"/>
                <w:highlight w:val="yellow"/>
                <w:lang w:val="en-US"/>
                <w:rPrChange w:id="10" w:author="Dianna Wolfe" w:date="2021-11-22T13:19:00Z">
                  <w:rPr>
                    <w:rFonts w:eastAsia="Arial"/>
                    <w:lang w:val="en-US"/>
                  </w:rPr>
                </w:rPrChange>
              </w:rPr>
            </w:pPr>
          </w:p>
        </w:tc>
        <w:tc>
          <w:tcPr>
            <w:tcW w:w="1275" w:type="dxa"/>
            <w:vMerge/>
          </w:tcPr>
          <w:p w14:paraId="0557BAF2" w14:textId="77777777" w:rsidR="006F6DF5" w:rsidRPr="004C08AD" w:rsidRDefault="006F6DF5" w:rsidP="006F6DF5">
            <w:pPr>
              <w:spacing w:before="120" w:after="120"/>
              <w:jc w:val="left"/>
              <w:rPr>
                <w:rFonts w:eastAsia="Arial"/>
                <w:sz w:val="20"/>
                <w:szCs w:val="20"/>
                <w:highlight w:val="yellow"/>
                <w:lang w:val="en-US"/>
                <w:rPrChange w:id="11" w:author="Dianna Wolfe" w:date="2021-11-22T13:19:00Z">
                  <w:rPr>
                    <w:rFonts w:eastAsia="Arial"/>
                    <w:sz w:val="20"/>
                    <w:szCs w:val="20"/>
                    <w:lang w:val="en-US"/>
                  </w:rPr>
                </w:rPrChange>
              </w:rPr>
            </w:pPr>
          </w:p>
        </w:tc>
        <w:tc>
          <w:tcPr>
            <w:tcW w:w="1418" w:type="dxa"/>
            <w:vMerge/>
            <w:shd w:val="clear" w:color="auto" w:fill="D9D9D9" w:themeFill="background1" w:themeFillShade="D9"/>
          </w:tcPr>
          <w:p w14:paraId="11AB8798" w14:textId="77777777" w:rsidR="006F6DF5" w:rsidRPr="005C1713" w:rsidRDefault="006F6DF5" w:rsidP="006F6DF5">
            <w:pPr>
              <w:spacing w:before="120" w:after="120"/>
              <w:jc w:val="left"/>
              <w:rPr>
                <w:rFonts w:eastAsia="Arial"/>
                <w:sz w:val="20"/>
                <w:szCs w:val="20"/>
                <w:lang w:val="en-CA"/>
              </w:rPr>
            </w:pPr>
          </w:p>
        </w:tc>
        <w:tc>
          <w:tcPr>
            <w:tcW w:w="1134" w:type="dxa"/>
            <w:vMerge/>
          </w:tcPr>
          <w:p w14:paraId="7C7D961A" w14:textId="77777777" w:rsidR="006F6DF5" w:rsidRPr="005C1713" w:rsidRDefault="006F6DF5" w:rsidP="006F6DF5">
            <w:pPr>
              <w:spacing w:before="120" w:after="120"/>
              <w:jc w:val="left"/>
              <w:rPr>
                <w:rFonts w:eastAsia="Arial"/>
                <w:sz w:val="20"/>
                <w:szCs w:val="20"/>
                <w:lang w:val="en-US"/>
              </w:rPr>
            </w:pPr>
          </w:p>
        </w:tc>
        <w:tc>
          <w:tcPr>
            <w:tcW w:w="1478" w:type="dxa"/>
            <w:vMerge/>
          </w:tcPr>
          <w:p w14:paraId="78F45303" w14:textId="77777777" w:rsidR="006F6DF5" w:rsidRPr="005C1713" w:rsidRDefault="006F6DF5" w:rsidP="006F6DF5">
            <w:pPr>
              <w:spacing w:before="120" w:after="120"/>
              <w:jc w:val="left"/>
              <w:rPr>
                <w:rFonts w:eastAsia="Arial"/>
                <w:sz w:val="20"/>
                <w:szCs w:val="20"/>
                <w:lang w:val="en-US"/>
              </w:rPr>
            </w:pPr>
          </w:p>
        </w:tc>
        <w:tc>
          <w:tcPr>
            <w:tcW w:w="1215" w:type="dxa"/>
          </w:tcPr>
          <w:p w14:paraId="502185C3" w14:textId="769A20B2"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Oral Reading score</w:t>
            </w:r>
          </w:p>
        </w:tc>
        <w:tc>
          <w:tcPr>
            <w:tcW w:w="1276" w:type="dxa"/>
          </w:tcPr>
          <w:p w14:paraId="3115646E"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1CBA9A98"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3DC96966" w14:textId="2BD6BD44"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7983189B" w14:textId="77777777" w:rsidTr="00D41A99">
        <w:trPr>
          <w:cnfStyle w:val="000000100000" w:firstRow="0" w:lastRow="0" w:firstColumn="0" w:lastColumn="0" w:oddVBand="0" w:evenVBand="0" w:oddHBand="1" w:evenHBand="0" w:firstRowFirstColumn="0" w:firstRowLastColumn="0" w:lastRowFirstColumn="0" w:lastRowLastColumn="0"/>
        </w:trPr>
        <w:tc>
          <w:tcPr>
            <w:tcW w:w="1413" w:type="dxa"/>
            <w:vMerge/>
          </w:tcPr>
          <w:p w14:paraId="2CEE1B72"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459FA23B" w14:textId="77777777" w:rsidR="006F6DF5" w:rsidRPr="004C08AD" w:rsidRDefault="006F6DF5" w:rsidP="006F6DF5">
            <w:pPr>
              <w:spacing w:before="120" w:after="120"/>
              <w:jc w:val="left"/>
              <w:rPr>
                <w:rFonts w:eastAsia="Arial"/>
                <w:highlight w:val="yellow"/>
                <w:lang w:val="en-US"/>
                <w:rPrChange w:id="12" w:author="Dianna Wolfe" w:date="2021-11-22T13:19:00Z">
                  <w:rPr>
                    <w:rFonts w:eastAsia="Arial"/>
                    <w:lang w:val="en-US"/>
                  </w:rPr>
                </w:rPrChange>
              </w:rPr>
            </w:pPr>
          </w:p>
        </w:tc>
        <w:tc>
          <w:tcPr>
            <w:tcW w:w="1275" w:type="dxa"/>
            <w:vMerge/>
          </w:tcPr>
          <w:p w14:paraId="181F85A8" w14:textId="77777777" w:rsidR="006F6DF5" w:rsidRPr="004C08AD" w:rsidRDefault="006F6DF5" w:rsidP="006F6DF5">
            <w:pPr>
              <w:spacing w:before="120" w:after="120"/>
              <w:jc w:val="left"/>
              <w:rPr>
                <w:rFonts w:eastAsia="Arial"/>
                <w:sz w:val="20"/>
                <w:szCs w:val="20"/>
                <w:highlight w:val="yellow"/>
                <w:lang w:val="en-US"/>
                <w:rPrChange w:id="13" w:author="Dianna Wolfe" w:date="2021-11-22T13:19:00Z">
                  <w:rPr>
                    <w:rFonts w:eastAsia="Arial"/>
                    <w:sz w:val="20"/>
                    <w:szCs w:val="20"/>
                    <w:lang w:val="en-US"/>
                  </w:rPr>
                </w:rPrChange>
              </w:rPr>
            </w:pPr>
          </w:p>
        </w:tc>
        <w:tc>
          <w:tcPr>
            <w:tcW w:w="1418" w:type="dxa"/>
            <w:vMerge/>
            <w:shd w:val="clear" w:color="auto" w:fill="D9D9D9" w:themeFill="background1" w:themeFillShade="D9"/>
          </w:tcPr>
          <w:p w14:paraId="0C5737CE" w14:textId="77777777" w:rsidR="006F6DF5" w:rsidRPr="005C1713" w:rsidRDefault="006F6DF5" w:rsidP="006F6DF5">
            <w:pPr>
              <w:spacing w:before="120" w:after="120"/>
              <w:jc w:val="left"/>
              <w:rPr>
                <w:rFonts w:eastAsia="Arial"/>
                <w:sz w:val="20"/>
                <w:szCs w:val="20"/>
                <w:lang w:val="en-CA"/>
              </w:rPr>
            </w:pPr>
          </w:p>
        </w:tc>
        <w:tc>
          <w:tcPr>
            <w:tcW w:w="1134" w:type="dxa"/>
            <w:vMerge/>
          </w:tcPr>
          <w:p w14:paraId="09048F0A" w14:textId="77777777" w:rsidR="006F6DF5" w:rsidRPr="005C1713" w:rsidRDefault="006F6DF5" w:rsidP="006F6DF5">
            <w:pPr>
              <w:spacing w:before="120" w:after="120"/>
              <w:jc w:val="left"/>
              <w:rPr>
                <w:rFonts w:eastAsia="Arial"/>
                <w:sz w:val="20"/>
                <w:szCs w:val="20"/>
                <w:lang w:val="en-US"/>
              </w:rPr>
            </w:pPr>
          </w:p>
        </w:tc>
        <w:tc>
          <w:tcPr>
            <w:tcW w:w="1478" w:type="dxa"/>
            <w:vMerge/>
          </w:tcPr>
          <w:p w14:paraId="0EF024C3" w14:textId="77777777" w:rsidR="006F6DF5" w:rsidRPr="005C1713" w:rsidRDefault="006F6DF5" w:rsidP="006F6DF5">
            <w:pPr>
              <w:spacing w:before="120" w:after="120"/>
              <w:jc w:val="left"/>
              <w:rPr>
                <w:rFonts w:eastAsia="Arial"/>
                <w:sz w:val="20"/>
                <w:szCs w:val="20"/>
                <w:lang w:val="en-US"/>
              </w:rPr>
            </w:pPr>
          </w:p>
        </w:tc>
        <w:tc>
          <w:tcPr>
            <w:tcW w:w="1215" w:type="dxa"/>
          </w:tcPr>
          <w:p w14:paraId="2DBF142C"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Pattern Comparison Processing Speed test</w:t>
            </w:r>
          </w:p>
        </w:tc>
        <w:tc>
          <w:tcPr>
            <w:tcW w:w="1276" w:type="dxa"/>
          </w:tcPr>
          <w:p w14:paraId="1675B2D4"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3C5A367F"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6BE98AEA" w14:textId="55C3B14E"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42B6B091" w14:textId="77777777" w:rsidTr="00CF2505">
        <w:tc>
          <w:tcPr>
            <w:tcW w:w="1413" w:type="dxa"/>
            <w:vMerge/>
          </w:tcPr>
          <w:p w14:paraId="3553FE33"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724BC929" w14:textId="77777777" w:rsidR="006F6DF5" w:rsidRPr="004C08AD" w:rsidRDefault="006F6DF5" w:rsidP="006F6DF5">
            <w:pPr>
              <w:spacing w:before="120" w:after="120"/>
              <w:jc w:val="left"/>
              <w:rPr>
                <w:rFonts w:eastAsia="Arial"/>
                <w:highlight w:val="yellow"/>
                <w:lang w:val="en-US"/>
                <w:rPrChange w:id="14" w:author="Dianna Wolfe" w:date="2021-11-22T13:19:00Z">
                  <w:rPr>
                    <w:rFonts w:eastAsia="Arial"/>
                    <w:lang w:val="en-US"/>
                  </w:rPr>
                </w:rPrChange>
              </w:rPr>
            </w:pPr>
          </w:p>
        </w:tc>
        <w:tc>
          <w:tcPr>
            <w:tcW w:w="1275" w:type="dxa"/>
            <w:vMerge/>
          </w:tcPr>
          <w:p w14:paraId="6071138B" w14:textId="77777777" w:rsidR="006F6DF5" w:rsidRPr="004C08AD" w:rsidRDefault="006F6DF5" w:rsidP="006F6DF5">
            <w:pPr>
              <w:spacing w:before="120" w:after="120"/>
              <w:jc w:val="left"/>
              <w:rPr>
                <w:rFonts w:eastAsia="Arial"/>
                <w:sz w:val="20"/>
                <w:szCs w:val="20"/>
                <w:highlight w:val="yellow"/>
                <w:lang w:val="en-US"/>
                <w:rPrChange w:id="15" w:author="Dianna Wolfe" w:date="2021-11-22T13:19:00Z">
                  <w:rPr>
                    <w:rFonts w:eastAsia="Arial"/>
                    <w:sz w:val="20"/>
                    <w:szCs w:val="20"/>
                    <w:lang w:val="en-US"/>
                  </w:rPr>
                </w:rPrChange>
              </w:rPr>
            </w:pPr>
          </w:p>
        </w:tc>
        <w:tc>
          <w:tcPr>
            <w:tcW w:w="1418" w:type="dxa"/>
            <w:vMerge/>
            <w:shd w:val="clear" w:color="auto" w:fill="D9D9D9" w:themeFill="background1" w:themeFillShade="D9"/>
          </w:tcPr>
          <w:p w14:paraId="6D0799D4" w14:textId="77777777" w:rsidR="006F6DF5" w:rsidRPr="005C1713" w:rsidRDefault="006F6DF5" w:rsidP="006F6DF5">
            <w:pPr>
              <w:spacing w:before="120" w:after="120"/>
              <w:jc w:val="left"/>
              <w:rPr>
                <w:rFonts w:eastAsia="Arial"/>
                <w:sz w:val="20"/>
                <w:szCs w:val="20"/>
                <w:lang w:val="en-CA"/>
              </w:rPr>
            </w:pPr>
          </w:p>
        </w:tc>
        <w:tc>
          <w:tcPr>
            <w:tcW w:w="1134" w:type="dxa"/>
            <w:vMerge/>
          </w:tcPr>
          <w:p w14:paraId="57A54E27" w14:textId="77777777" w:rsidR="006F6DF5" w:rsidRPr="005C1713" w:rsidRDefault="006F6DF5" w:rsidP="006F6DF5">
            <w:pPr>
              <w:spacing w:before="120" w:after="120"/>
              <w:jc w:val="left"/>
              <w:rPr>
                <w:rFonts w:eastAsia="Arial"/>
                <w:sz w:val="20"/>
                <w:szCs w:val="20"/>
                <w:lang w:val="en-US"/>
              </w:rPr>
            </w:pPr>
          </w:p>
        </w:tc>
        <w:tc>
          <w:tcPr>
            <w:tcW w:w="1478" w:type="dxa"/>
            <w:vMerge/>
          </w:tcPr>
          <w:p w14:paraId="7BB41CFC" w14:textId="77777777" w:rsidR="006F6DF5" w:rsidRPr="005C1713" w:rsidRDefault="006F6DF5" w:rsidP="006F6DF5">
            <w:pPr>
              <w:spacing w:before="120" w:after="120"/>
              <w:jc w:val="left"/>
              <w:rPr>
                <w:rFonts w:eastAsia="Arial"/>
                <w:sz w:val="20"/>
                <w:szCs w:val="20"/>
                <w:lang w:val="en-US"/>
              </w:rPr>
            </w:pPr>
          </w:p>
        </w:tc>
        <w:tc>
          <w:tcPr>
            <w:tcW w:w="1215" w:type="dxa"/>
          </w:tcPr>
          <w:p w14:paraId="47C8E230"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Picture Sequence Memory score</w:t>
            </w:r>
          </w:p>
        </w:tc>
        <w:tc>
          <w:tcPr>
            <w:tcW w:w="1276" w:type="dxa"/>
          </w:tcPr>
          <w:p w14:paraId="009A21FC"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34166C28"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5B40096E" w14:textId="793F4ED3"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3E6A3A17"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5A08689"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2A562A23" w14:textId="77777777" w:rsidR="006F6DF5" w:rsidRPr="004C08AD" w:rsidRDefault="006F6DF5" w:rsidP="006F6DF5">
            <w:pPr>
              <w:spacing w:before="120" w:after="120"/>
              <w:jc w:val="left"/>
              <w:rPr>
                <w:rFonts w:eastAsia="Arial"/>
                <w:highlight w:val="yellow"/>
                <w:lang w:val="en-US"/>
                <w:rPrChange w:id="16" w:author="Dianna Wolfe" w:date="2021-11-22T13:19:00Z">
                  <w:rPr>
                    <w:rFonts w:eastAsia="Arial"/>
                    <w:lang w:val="en-US"/>
                  </w:rPr>
                </w:rPrChange>
              </w:rPr>
            </w:pPr>
          </w:p>
        </w:tc>
        <w:tc>
          <w:tcPr>
            <w:tcW w:w="1275" w:type="dxa"/>
            <w:vMerge/>
          </w:tcPr>
          <w:p w14:paraId="469B37A3" w14:textId="77777777" w:rsidR="006F6DF5" w:rsidRPr="004C08AD" w:rsidRDefault="006F6DF5" w:rsidP="006F6DF5">
            <w:pPr>
              <w:spacing w:before="120" w:after="120"/>
              <w:jc w:val="left"/>
              <w:rPr>
                <w:rFonts w:eastAsia="Arial"/>
                <w:sz w:val="20"/>
                <w:szCs w:val="20"/>
                <w:highlight w:val="yellow"/>
                <w:lang w:val="en-US"/>
                <w:rPrChange w:id="17" w:author="Dianna Wolfe" w:date="2021-11-22T13:19:00Z">
                  <w:rPr>
                    <w:rFonts w:eastAsia="Arial"/>
                    <w:sz w:val="20"/>
                    <w:szCs w:val="20"/>
                    <w:lang w:val="en-US"/>
                  </w:rPr>
                </w:rPrChange>
              </w:rPr>
            </w:pPr>
          </w:p>
        </w:tc>
        <w:tc>
          <w:tcPr>
            <w:tcW w:w="1418" w:type="dxa"/>
            <w:vMerge/>
            <w:shd w:val="clear" w:color="auto" w:fill="D9D9D9" w:themeFill="background1" w:themeFillShade="D9"/>
          </w:tcPr>
          <w:p w14:paraId="4BB24786" w14:textId="77777777" w:rsidR="006F6DF5" w:rsidRPr="005C1713" w:rsidRDefault="006F6DF5" w:rsidP="006F6DF5">
            <w:pPr>
              <w:spacing w:before="120" w:after="120"/>
              <w:jc w:val="left"/>
              <w:rPr>
                <w:rFonts w:eastAsia="Arial"/>
                <w:sz w:val="20"/>
                <w:szCs w:val="20"/>
                <w:lang w:val="en-CA"/>
              </w:rPr>
            </w:pPr>
          </w:p>
        </w:tc>
        <w:tc>
          <w:tcPr>
            <w:tcW w:w="1134" w:type="dxa"/>
            <w:vMerge/>
          </w:tcPr>
          <w:p w14:paraId="116EBB52" w14:textId="77777777" w:rsidR="006F6DF5" w:rsidRPr="005C1713" w:rsidRDefault="006F6DF5" w:rsidP="006F6DF5">
            <w:pPr>
              <w:spacing w:before="120" w:after="120"/>
              <w:jc w:val="left"/>
              <w:rPr>
                <w:rFonts w:eastAsia="Arial"/>
                <w:sz w:val="20"/>
                <w:szCs w:val="20"/>
                <w:lang w:val="en-US"/>
              </w:rPr>
            </w:pPr>
          </w:p>
        </w:tc>
        <w:tc>
          <w:tcPr>
            <w:tcW w:w="1478" w:type="dxa"/>
            <w:vMerge/>
          </w:tcPr>
          <w:p w14:paraId="6014F1E2" w14:textId="77777777" w:rsidR="006F6DF5" w:rsidRPr="005C1713" w:rsidRDefault="006F6DF5" w:rsidP="006F6DF5">
            <w:pPr>
              <w:spacing w:before="120" w:after="120"/>
              <w:jc w:val="left"/>
              <w:rPr>
                <w:rFonts w:eastAsia="Arial"/>
                <w:sz w:val="20"/>
                <w:szCs w:val="20"/>
                <w:lang w:val="en-US"/>
              </w:rPr>
            </w:pPr>
          </w:p>
        </w:tc>
        <w:tc>
          <w:tcPr>
            <w:tcW w:w="1215" w:type="dxa"/>
          </w:tcPr>
          <w:p w14:paraId="1E9054AE"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Picture Vocabulary score</w:t>
            </w:r>
          </w:p>
        </w:tc>
        <w:tc>
          <w:tcPr>
            <w:tcW w:w="1276" w:type="dxa"/>
          </w:tcPr>
          <w:p w14:paraId="220D4811"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72927822"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7817A6E3" w14:textId="38A8E3C2"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0F544037" w14:textId="77777777" w:rsidTr="00D41A99">
        <w:tc>
          <w:tcPr>
            <w:tcW w:w="1413" w:type="dxa"/>
            <w:vMerge/>
          </w:tcPr>
          <w:p w14:paraId="0C43664A"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10B7E7DF" w14:textId="77777777" w:rsidR="006F6DF5" w:rsidRPr="004C08AD" w:rsidRDefault="006F6DF5" w:rsidP="006F6DF5">
            <w:pPr>
              <w:spacing w:before="120" w:after="120"/>
              <w:jc w:val="left"/>
              <w:rPr>
                <w:rFonts w:eastAsia="Arial"/>
                <w:highlight w:val="yellow"/>
                <w:lang w:val="en-US"/>
                <w:rPrChange w:id="18" w:author="Dianna Wolfe" w:date="2021-11-22T13:19:00Z">
                  <w:rPr>
                    <w:rFonts w:eastAsia="Arial"/>
                    <w:lang w:val="en-US"/>
                  </w:rPr>
                </w:rPrChange>
              </w:rPr>
            </w:pPr>
          </w:p>
        </w:tc>
        <w:tc>
          <w:tcPr>
            <w:tcW w:w="1275" w:type="dxa"/>
            <w:vMerge/>
          </w:tcPr>
          <w:p w14:paraId="7A471852" w14:textId="77777777" w:rsidR="006F6DF5" w:rsidRPr="004C08AD" w:rsidRDefault="006F6DF5" w:rsidP="006F6DF5">
            <w:pPr>
              <w:spacing w:before="120" w:after="120"/>
              <w:jc w:val="left"/>
              <w:rPr>
                <w:rFonts w:eastAsia="Arial"/>
                <w:sz w:val="20"/>
                <w:szCs w:val="20"/>
                <w:highlight w:val="yellow"/>
                <w:lang w:val="en-US"/>
                <w:rPrChange w:id="19" w:author="Dianna Wolfe" w:date="2021-11-22T13:19:00Z">
                  <w:rPr>
                    <w:rFonts w:eastAsia="Arial"/>
                    <w:sz w:val="20"/>
                    <w:szCs w:val="20"/>
                    <w:lang w:val="en-US"/>
                  </w:rPr>
                </w:rPrChange>
              </w:rPr>
            </w:pPr>
          </w:p>
        </w:tc>
        <w:tc>
          <w:tcPr>
            <w:tcW w:w="1418" w:type="dxa"/>
            <w:vMerge/>
            <w:shd w:val="clear" w:color="auto" w:fill="D9D9D9" w:themeFill="background1" w:themeFillShade="D9"/>
          </w:tcPr>
          <w:p w14:paraId="147CF87A" w14:textId="77777777" w:rsidR="006F6DF5" w:rsidRPr="005C1713" w:rsidRDefault="006F6DF5" w:rsidP="006F6DF5">
            <w:pPr>
              <w:spacing w:before="120" w:after="120"/>
              <w:jc w:val="left"/>
              <w:rPr>
                <w:rFonts w:eastAsia="Arial"/>
                <w:sz w:val="20"/>
                <w:szCs w:val="20"/>
                <w:lang w:val="en-CA"/>
              </w:rPr>
            </w:pPr>
          </w:p>
        </w:tc>
        <w:tc>
          <w:tcPr>
            <w:tcW w:w="1134" w:type="dxa"/>
            <w:vMerge/>
          </w:tcPr>
          <w:p w14:paraId="19552F5F" w14:textId="77777777" w:rsidR="006F6DF5" w:rsidRPr="005C1713" w:rsidRDefault="006F6DF5" w:rsidP="006F6DF5">
            <w:pPr>
              <w:spacing w:before="120" w:after="120"/>
              <w:jc w:val="left"/>
              <w:rPr>
                <w:rFonts w:eastAsia="Arial"/>
                <w:sz w:val="20"/>
                <w:szCs w:val="20"/>
                <w:lang w:val="en-US"/>
              </w:rPr>
            </w:pPr>
          </w:p>
        </w:tc>
        <w:tc>
          <w:tcPr>
            <w:tcW w:w="1478" w:type="dxa"/>
            <w:vMerge/>
          </w:tcPr>
          <w:p w14:paraId="74071B30" w14:textId="77777777" w:rsidR="006F6DF5" w:rsidRPr="005C1713" w:rsidRDefault="006F6DF5" w:rsidP="006F6DF5">
            <w:pPr>
              <w:spacing w:before="120" w:after="120"/>
              <w:jc w:val="left"/>
              <w:rPr>
                <w:rFonts w:eastAsia="Arial"/>
                <w:sz w:val="20"/>
                <w:szCs w:val="20"/>
                <w:lang w:val="en-US"/>
              </w:rPr>
            </w:pPr>
          </w:p>
        </w:tc>
        <w:tc>
          <w:tcPr>
            <w:tcW w:w="1215" w:type="dxa"/>
          </w:tcPr>
          <w:p w14:paraId="4FAAEBCF"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Total Composite score</w:t>
            </w:r>
          </w:p>
        </w:tc>
        <w:tc>
          <w:tcPr>
            <w:tcW w:w="1276" w:type="dxa"/>
          </w:tcPr>
          <w:p w14:paraId="6B254946"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107903E9"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0D97B054" w14:textId="3A6A9929"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55CA2C44"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2E302C36"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091CF03B" w14:textId="77777777" w:rsidR="006F6DF5" w:rsidRPr="004C08AD" w:rsidRDefault="006F6DF5" w:rsidP="006F6DF5">
            <w:pPr>
              <w:spacing w:before="120" w:after="120"/>
              <w:jc w:val="left"/>
              <w:rPr>
                <w:rFonts w:eastAsia="Arial"/>
                <w:highlight w:val="yellow"/>
                <w:lang w:val="en-US"/>
                <w:rPrChange w:id="20" w:author="Dianna Wolfe" w:date="2021-11-22T13:19:00Z">
                  <w:rPr>
                    <w:rFonts w:eastAsia="Arial"/>
                    <w:lang w:val="en-US"/>
                  </w:rPr>
                </w:rPrChange>
              </w:rPr>
            </w:pPr>
          </w:p>
        </w:tc>
        <w:tc>
          <w:tcPr>
            <w:tcW w:w="1275" w:type="dxa"/>
            <w:vMerge/>
          </w:tcPr>
          <w:p w14:paraId="3638CE64" w14:textId="77777777" w:rsidR="006F6DF5" w:rsidRPr="004C08AD" w:rsidRDefault="006F6DF5" w:rsidP="006F6DF5">
            <w:pPr>
              <w:spacing w:before="120" w:after="120"/>
              <w:jc w:val="left"/>
              <w:rPr>
                <w:rFonts w:eastAsia="Arial"/>
                <w:sz w:val="20"/>
                <w:szCs w:val="20"/>
                <w:highlight w:val="yellow"/>
                <w:lang w:val="en-US"/>
                <w:rPrChange w:id="21" w:author="Dianna Wolfe" w:date="2021-11-22T13:19:00Z">
                  <w:rPr>
                    <w:rFonts w:eastAsia="Arial"/>
                    <w:sz w:val="20"/>
                    <w:szCs w:val="20"/>
                    <w:lang w:val="en-US"/>
                  </w:rPr>
                </w:rPrChange>
              </w:rPr>
            </w:pPr>
          </w:p>
        </w:tc>
        <w:tc>
          <w:tcPr>
            <w:tcW w:w="1418" w:type="dxa"/>
            <w:vMerge/>
            <w:shd w:val="clear" w:color="auto" w:fill="D9D9D9" w:themeFill="background1" w:themeFillShade="D9"/>
          </w:tcPr>
          <w:p w14:paraId="3C52ACB1" w14:textId="77777777" w:rsidR="006F6DF5" w:rsidRPr="005C1713" w:rsidRDefault="006F6DF5" w:rsidP="006F6DF5">
            <w:pPr>
              <w:spacing w:before="120" w:after="120"/>
              <w:jc w:val="left"/>
              <w:rPr>
                <w:rFonts w:eastAsia="Arial"/>
                <w:sz w:val="20"/>
                <w:szCs w:val="20"/>
                <w:lang w:val="en-CA"/>
              </w:rPr>
            </w:pPr>
          </w:p>
        </w:tc>
        <w:tc>
          <w:tcPr>
            <w:tcW w:w="1134" w:type="dxa"/>
            <w:vMerge/>
          </w:tcPr>
          <w:p w14:paraId="4AB7DE63" w14:textId="77777777" w:rsidR="006F6DF5" w:rsidRPr="005C1713" w:rsidRDefault="006F6DF5" w:rsidP="006F6DF5">
            <w:pPr>
              <w:spacing w:before="120" w:after="120"/>
              <w:jc w:val="left"/>
              <w:rPr>
                <w:rFonts w:eastAsia="Arial"/>
                <w:sz w:val="20"/>
                <w:szCs w:val="20"/>
                <w:lang w:val="en-US"/>
              </w:rPr>
            </w:pPr>
          </w:p>
        </w:tc>
        <w:tc>
          <w:tcPr>
            <w:tcW w:w="1478" w:type="dxa"/>
            <w:vMerge w:val="restart"/>
          </w:tcPr>
          <w:p w14:paraId="0ADB5EE0"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Alcohol use</w:t>
            </w:r>
          </w:p>
        </w:tc>
        <w:tc>
          <w:tcPr>
            <w:tcW w:w="1215" w:type="dxa"/>
          </w:tcPr>
          <w:p w14:paraId="1CD361DD"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Alcohol Use Disorder Identification Test (AUDIT) total score</w:t>
            </w:r>
          </w:p>
        </w:tc>
        <w:tc>
          <w:tcPr>
            <w:tcW w:w="1276" w:type="dxa"/>
          </w:tcPr>
          <w:p w14:paraId="745E0E62"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575AC128"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4FB1099A" w14:textId="797BCFB3"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F46CF1" w:rsidRPr="00443C43" w14:paraId="1AC222F4" w14:textId="77777777" w:rsidTr="00CF2505">
        <w:tc>
          <w:tcPr>
            <w:tcW w:w="1413" w:type="dxa"/>
            <w:vMerge/>
          </w:tcPr>
          <w:p w14:paraId="481105F1"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501DD534" w14:textId="77777777" w:rsidR="00F46CF1" w:rsidRPr="004C08AD" w:rsidRDefault="00F46CF1" w:rsidP="00F46CF1">
            <w:pPr>
              <w:spacing w:before="120" w:after="120"/>
              <w:jc w:val="left"/>
              <w:rPr>
                <w:rFonts w:eastAsia="Arial"/>
                <w:highlight w:val="yellow"/>
                <w:lang w:val="en-US"/>
                <w:rPrChange w:id="22" w:author="Dianna Wolfe" w:date="2021-11-22T13:19:00Z">
                  <w:rPr>
                    <w:rFonts w:eastAsia="Arial"/>
                    <w:lang w:val="en-US"/>
                  </w:rPr>
                </w:rPrChange>
              </w:rPr>
            </w:pPr>
          </w:p>
        </w:tc>
        <w:tc>
          <w:tcPr>
            <w:tcW w:w="1275" w:type="dxa"/>
            <w:vMerge/>
          </w:tcPr>
          <w:p w14:paraId="2388FFE3" w14:textId="77777777" w:rsidR="00F46CF1" w:rsidRPr="004C08AD" w:rsidRDefault="00F46CF1" w:rsidP="00F46CF1">
            <w:pPr>
              <w:spacing w:before="120" w:after="120"/>
              <w:jc w:val="left"/>
              <w:rPr>
                <w:rFonts w:eastAsia="Arial"/>
                <w:sz w:val="20"/>
                <w:szCs w:val="20"/>
                <w:highlight w:val="yellow"/>
                <w:lang w:val="en-US"/>
                <w:rPrChange w:id="23" w:author="Dianna Wolfe" w:date="2021-11-22T13:19:00Z">
                  <w:rPr>
                    <w:rFonts w:eastAsia="Arial"/>
                    <w:sz w:val="20"/>
                    <w:szCs w:val="20"/>
                    <w:lang w:val="en-US"/>
                  </w:rPr>
                </w:rPrChange>
              </w:rPr>
            </w:pPr>
          </w:p>
        </w:tc>
        <w:tc>
          <w:tcPr>
            <w:tcW w:w="1418" w:type="dxa"/>
            <w:vMerge/>
            <w:shd w:val="clear" w:color="auto" w:fill="D9D9D9" w:themeFill="background1" w:themeFillShade="D9"/>
          </w:tcPr>
          <w:p w14:paraId="59CD72B1" w14:textId="77777777" w:rsidR="00F46CF1" w:rsidRPr="005C1713" w:rsidRDefault="00F46CF1" w:rsidP="00F46CF1">
            <w:pPr>
              <w:spacing w:before="120" w:after="120"/>
              <w:jc w:val="left"/>
              <w:rPr>
                <w:rFonts w:eastAsia="Arial"/>
                <w:sz w:val="20"/>
                <w:szCs w:val="20"/>
                <w:lang w:val="en-CA"/>
              </w:rPr>
            </w:pPr>
          </w:p>
        </w:tc>
        <w:tc>
          <w:tcPr>
            <w:tcW w:w="1134" w:type="dxa"/>
            <w:vMerge/>
          </w:tcPr>
          <w:p w14:paraId="39B5D83A" w14:textId="77777777" w:rsidR="00F46CF1" w:rsidRPr="005C1713" w:rsidRDefault="00F46CF1" w:rsidP="00F46CF1">
            <w:pPr>
              <w:spacing w:before="120" w:after="120"/>
              <w:jc w:val="left"/>
              <w:rPr>
                <w:rFonts w:eastAsia="Arial"/>
                <w:sz w:val="20"/>
                <w:szCs w:val="20"/>
                <w:lang w:val="en-US"/>
              </w:rPr>
            </w:pPr>
          </w:p>
        </w:tc>
        <w:tc>
          <w:tcPr>
            <w:tcW w:w="1478" w:type="dxa"/>
            <w:vMerge/>
          </w:tcPr>
          <w:p w14:paraId="10350071" w14:textId="77777777" w:rsidR="00F46CF1" w:rsidRPr="005C1713" w:rsidRDefault="00F46CF1" w:rsidP="00F46CF1">
            <w:pPr>
              <w:spacing w:before="120" w:after="120"/>
              <w:jc w:val="left"/>
              <w:rPr>
                <w:rFonts w:eastAsia="Arial"/>
                <w:sz w:val="20"/>
                <w:szCs w:val="20"/>
                <w:lang w:val="en-US"/>
              </w:rPr>
            </w:pPr>
          </w:p>
        </w:tc>
        <w:tc>
          <w:tcPr>
            <w:tcW w:w="1215" w:type="dxa"/>
          </w:tcPr>
          <w:p w14:paraId="5C5E9A95" w14:textId="77777777" w:rsidR="00F46CF1" w:rsidRPr="005C1713" w:rsidRDefault="00F46CF1" w:rsidP="00F46CF1">
            <w:pPr>
              <w:spacing w:before="120" w:after="120"/>
              <w:jc w:val="left"/>
              <w:rPr>
                <w:rFonts w:eastAsia="Arial"/>
                <w:sz w:val="16"/>
                <w:szCs w:val="16"/>
                <w:lang w:val="en-US"/>
              </w:rPr>
            </w:pPr>
            <w:r w:rsidRPr="005C1713">
              <w:rPr>
                <w:rFonts w:eastAsia="Arial"/>
                <w:sz w:val="16"/>
                <w:szCs w:val="16"/>
                <w:lang w:val="en-US"/>
              </w:rPr>
              <w:t>Timeline follow-back, alcohol-use days</w:t>
            </w:r>
          </w:p>
        </w:tc>
        <w:tc>
          <w:tcPr>
            <w:tcW w:w="1276" w:type="dxa"/>
          </w:tcPr>
          <w:p w14:paraId="345D346D" w14:textId="77777777" w:rsidR="00F46CF1" w:rsidRPr="005C1713" w:rsidRDefault="00F46CF1" w:rsidP="00F46CF1">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76B0FB75" w14:textId="77777777" w:rsidR="00F46CF1" w:rsidRPr="005C1713" w:rsidRDefault="00F46CF1" w:rsidP="00F46CF1">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FF7D6C"/>
          </w:tcPr>
          <w:p w14:paraId="7EABAABD" w14:textId="31F43E09" w:rsidR="00F46CF1" w:rsidRPr="005C171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6F6DF5" w:rsidRPr="00443C43" w14:paraId="586A2BF1"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24C39BB8"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7F39BAB5" w14:textId="77777777" w:rsidR="006F6DF5" w:rsidRPr="004C08AD" w:rsidRDefault="006F6DF5" w:rsidP="006F6DF5">
            <w:pPr>
              <w:spacing w:before="120" w:after="120"/>
              <w:jc w:val="left"/>
              <w:rPr>
                <w:rFonts w:eastAsia="Arial"/>
                <w:highlight w:val="yellow"/>
                <w:lang w:val="en-US"/>
                <w:rPrChange w:id="24" w:author="Dianna Wolfe" w:date="2021-11-22T13:19:00Z">
                  <w:rPr>
                    <w:rFonts w:eastAsia="Arial"/>
                    <w:lang w:val="en-US"/>
                  </w:rPr>
                </w:rPrChange>
              </w:rPr>
            </w:pPr>
          </w:p>
        </w:tc>
        <w:tc>
          <w:tcPr>
            <w:tcW w:w="1275" w:type="dxa"/>
            <w:vMerge/>
          </w:tcPr>
          <w:p w14:paraId="64BC9BED" w14:textId="77777777" w:rsidR="006F6DF5" w:rsidRPr="004C08AD" w:rsidRDefault="006F6DF5" w:rsidP="006F6DF5">
            <w:pPr>
              <w:spacing w:before="120" w:after="120"/>
              <w:jc w:val="left"/>
              <w:rPr>
                <w:rFonts w:eastAsia="Arial"/>
                <w:sz w:val="20"/>
                <w:szCs w:val="20"/>
                <w:highlight w:val="yellow"/>
                <w:lang w:val="en-US"/>
                <w:rPrChange w:id="25" w:author="Dianna Wolfe" w:date="2021-11-22T13:19:00Z">
                  <w:rPr>
                    <w:rFonts w:eastAsia="Arial"/>
                    <w:sz w:val="20"/>
                    <w:szCs w:val="20"/>
                    <w:lang w:val="en-US"/>
                  </w:rPr>
                </w:rPrChange>
              </w:rPr>
            </w:pPr>
          </w:p>
        </w:tc>
        <w:tc>
          <w:tcPr>
            <w:tcW w:w="1418" w:type="dxa"/>
            <w:vMerge/>
            <w:shd w:val="clear" w:color="auto" w:fill="D9D9D9" w:themeFill="background1" w:themeFillShade="D9"/>
          </w:tcPr>
          <w:p w14:paraId="32B6BBC6" w14:textId="77777777" w:rsidR="006F6DF5" w:rsidRPr="005C1713" w:rsidRDefault="006F6DF5" w:rsidP="006F6DF5">
            <w:pPr>
              <w:spacing w:before="120" w:after="120"/>
              <w:jc w:val="left"/>
              <w:rPr>
                <w:rFonts w:eastAsia="Arial"/>
                <w:sz w:val="20"/>
                <w:szCs w:val="20"/>
                <w:lang w:val="en-CA"/>
              </w:rPr>
            </w:pPr>
          </w:p>
        </w:tc>
        <w:tc>
          <w:tcPr>
            <w:tcW w:w="1134" w:type="dxa"/>
            <w:vMerge/>
          </w:tcPr>
          <w:p w14:paraId="274E6B41" w14:textId="77777777" w:rsidR="006F6DF5" w:rsidRPr="005C1713" w:rsidRDefault="006F6DF5" w:rsidP="006F6DF5">
            <w:pPr>
              <w:spacing w:before="120" w:after="120"/>
              <w:jc w:val="left"/>
              <w:rPr>
                <w:rFonts w:eastAsia="Arial"/>
                <w:sz w:val="20"/>
                <w:szCs w:val="20"/>
                <w:lang w:val="en-US"/>
              </w:rPr>
            </w:pPr>
          </w:p>
        </w:tc>
        <w:tc>
          <w:tcPr>
            <w:tcW w:w="1478" w:type="dxa"/>
            <w:vMerge/>
          </w:tcPr>
          <w:p w14:paraId="06756BAB" w14:textId="77777777" w:rsidR="006F6DF5" w:rsidRPr="005C1713" w:rsidRDefault="006F6DF5" w:rsidP="006F6DF5">
            <w:pPr>
              <w:spacing w:before="120" w:after="120"/>
              <w:jc w:val="left"/>
              <w:rPr>
                <w:rFonts w:eastAsia="Arial"/>
                <w:sz w:val="20"/>
                <w:szCs w:val="20"/>
                <w:lang w:val="en-US"/>
              </w:rPr>
            </w:pPr>
          </w:p>
        </w:tc>
        <w:tc>
          <w:tcPr>
            <w:tcW w:w="1215" w:type="dxa"/>
          </w:tcPr>
          <w:p w14:paraId="61B0246F"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Timeline follow-back, drinks/drinking day</w:t>
            </w:r>
          </w:p>
        </w:tc>
        <w:tc>
          <w:tcPr>
            <w:tcW w:w="1276" w:type="dxa"/>
          </w:tcPr>
          <w:p w14:paraId="3D72A1B2"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71B20EAA"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56E98A44" w14:textId="4FD7B3E7"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6F6DF5" w:rsidRPr="00443C43" w14:paraId="1EB3CE50" w14:textId="77777777" w:rsidTr="00CF2505">
        <w:tc>
          <w:tcPr>
            <w:tcW w:w="1413" w:type="dxa"/>
            <w:vMerge/>
          </w:tcPr>
          <w:p w14:paraId="7C24A333" w14:textId="77777777" w:rsidR="006F6DF5" w:rsidRPr="00443C43" w:rsidRDefault="006F6DF5" w:rsidP="006F6DF5">
            <w:pPr>
              <w:spacing w:before="120" w:after="120"/>
              <w:jc w:val="left"/>
              <w:rPr>
                <w:rFonts w:eastAsia="Arial"/>
                <w:b/>
                <w:bCs/>
                <w:sz w:val="20"/>
                <w:szCs w:val="20"/>
                <w:lang w:val="en-US"/>
              </w:rPr>
            </w:pPr>
          </w:p>
        </w:tc>
        <w:tc>
          <w:tcPr>
            <w:tcW w:w="1276" w:type="dxa"/>
            <w:vMerge/>
          </w:tcPr>
          <w:p w14:paraId="2495D5E3" w14:textId="77777777" w:rsidR="006F6DF5" w:rsidRPr="004C08AD" w:rsidRDefault="006F6DF5" w:rsidP="006F6DF5">
            <w:pPr>
              <w:spacing w:before="120" w:after="120"/>
              <w:jc w:val="left"/>
              <w:rPr>
                <w:rFonts w:eastAsia="Arial"/>
                <w:highlight w:val="yellow"/>
                <w:lang w:val="en-US"/>
                <w:rPrChange w:id="26" w:author="Dianna Wolfe" w:date="2021-11-22T13:19:00Z">
                  <w:rPr>
                    <w:rFonts w:eastAsia="Arial"/>
                    <w:lang w:val="en-US"/>
                  </w:rPr>
                </w:rPrChange>
              </w:rPr>
            </w:pPr>
          </w:p>
        </w:tc>
        <w:tc>
          <w:tcPr>
            <w:tcW w:w="1275" w:type="dxa"/>
            <w:vMerge/>
          </w:tcPr>
          <w:p w14:paraId="233B30C5" w14:textId="77777777" w:rsidR="006F6DF5" w:rsidRPr="004C08AD" w:rsidRDefault="006F6DF5" w:rsidP="006F6DF5">
            <w:pPr>
              <w:spacing w:before="120" w:after="120"/>
              <w:jc w:val="left"/>
              <w:rPr>
                <w:rFonts w:eastAsia="Arial"/>
                <w:sz w:val="20"/>
                <w:szCs w:val="20"/>
                <w:highlight w:val="yellow"/>
                <w:lang w:val="en-US"/>
                <w:rPrChange w:id="27" w:author="Dianna Wolfe" w:date="2021-11-22T13:19:00Z">
                  <w:rPr>
                    <w:rFonts w:eastAsia="Arial"/>
                    <w:sz w:val="20"/>
                    <w:szCs w:val="20"/>
                    <w:lang w:val="en-US"/>
                  </w:rPr>
                </w:rPrChange>
              </w:rPr>
            </w:pPr>
          </w:p>
        </w:tc>
        <w:tc>
          <w:tcPr>
            <w:tcW w:w="1418" w:type="dxa"/>
            <w:vMerge/>
            <w:shd w:val="clear" w:color="auto" w:fill="D9D9D9" w:themeFill="background1" w:themeFillShade="D9"/>
          </w:tcPr>
          <w:p w14:paraId="30CABE19" w14:textId="77777777" w:rsidR="006F6DF5" w:rsidRPr="005C1713" w:rsidRDefault="006F6DF5" w:rsidP="006F6DF5">
            <w:pPr>
              <w:spacing w:before="120" w:after="120"/>
              <w:jc w:val="left"/>
              <w:rPr>
                <w:rFonts w:eastAsia="Arial"/>
                <w:sz w:val="20"/>
                <w:szCs w:val="20"/>
                <w:lang w:val="en-CA"/>
              </w:rPr>
            </w:pPr>
          </w:p>
        </w:tc>
        <w:tc>
          <w:tcPr>
            <w:tcW w:w="1134" w:type="dxa"/>
            <w:vMerge/>
          </w:tcPr>
          <w:p w14:paraId="6CEB9853" w14:textId="77777777" w:rsidR="006F6DF5" w:rsidRPr="005C1713" w:rsidRDefault="006F6DF5" w:rsidP="006F6DF5">
            <w:pPr>
              <w:spacing w:before="120" w:after="120"/>
              <w:jc w:val="left"/>
              <w:rPr>
                <w:rFonts w:eastAsia="Arial"/>
                <w:sz w:val="20"/>
                <w:szCs w:val="20"/>
                <w:lang w:val="en-US"/>
              </w:rPr>
            </w:pPr>
          </w:p>
        </w:tc>
        <w:tc>
          <w:tcPr>
            <w:tcW w:w="1478" w:type="dxa"/>
            <w:vMerge/>
          </w:tcPr>
          <w:p w14:paraId="253FA0CA" w14:textId="77777777" w:rsidR="006F6DF5" w:rsidRPr="005C1713" w:rsidRDefault="006F6DF5" w:rsidP="006F6DF5">
            <w:pPr>
              <w:spacing w:before="120" w:after="120"/>
              <w:jc w:val="left"/>
              <w:rPr>
                <w:rFonts w:eastAsia="Arial"/>
                <w:sz w:val="20"/>
                <w:szCs w:val="20"/>
                <w:lang w:val="en-US"/>
              </w:rPr>
            </w:pPr>
          </w:p>
        </w:tc>
        <w:tc>
          <w:tcPr>
            <w:tcW w:w="1215" w:type="dxa"/>
          </w:tcPr>
          <w:p w14:paraId="150829F2"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Timeline follow-back, total drinks</w:t>
            </w:r>
          </w:p>
        </w:tc>
        <w:tc>
          <w:tcPr>
            <w:tcW w:w="1276" w:type="dxa"/>
          </w:tcPr>
          <w:p w14:paraId="753DE41B" w14:textId="77777777" w:rsidR="006F6DF5" w:rsidRPr="005C1713" w:rsidRDefault="006F6DF5" w:rsidP="006F6DF5">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6264CCAD" w14:textId="77777777" w:rsidR="006F6DF5" w:rsidRPr="005C1713" w:rsidRDefault="006F6DF5" w:rsidP="006F6DF5">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99FF99"/>
          </w:tcPr>
          <w:p w14:paraId="500D0634" w14:textId="06FBA2F7" w:rsidR="006F6DF5" w:rsidRPr="005C1713" w:rsidRDefault="006F6DF5" w:rsidP="006F6DF5">
            <w:pPr>
              <w:spacing w:before="120" w:after="120"/>
              <w:jc w:val="left"/>
              <w:rPr>
                <w:rFonts w:eastAsia="Arial"/>
                <w:sz w:val="20"/>
                <w:szCs w:val="20"/>
                <w:lang w:val="en-US"/>
              </w:rPr>
            </w:pPr>
            <w:r>
              <w:rPr>
                <w:rFonts w:eastAsia="Arial"/>
                <w:sz w:val="20"/>
                <w:szCs w:val="20"/>
                <w:lang w:val="en-US"/>
              </w:rPr>
              <w:t>Negative association</w:t>
            </w:r>
          </w:p>
        </w:tc>
      </w:tr>
      <w:tr w:rsidR="00F46CF1" w:rsidRPr="00443C43" w14:paraId="4E328159"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72FE893C" w14:textId="77777777" w:rsidR="00F46CF1" w:rsidRPr="00443C43" w:rsidRDefault="00F46CF1" w:rsidP="00F46CF1">
            <w:pPr>
              <w:spacing w:before="120" w:after="120"/>
              <w:jc w:val="left"/>
              <w:rPr>
                <w:rFonts w:eastAsia="Arial"/>
                <w:b/>
                <w:bCs/>
                <w:sz w:val="20"/>
                <w:szCs w:val="20"/>
                <w:lang w:val="en-US"/>
              </w:rPr>
            </w:pPr>
          </w:p>
        </w:tc>
        <w:tc>
          <w:tcPr>
            <w:tcW w:w="1276" w:type="dxa"/>
            <w:vMerge/>
          </w:tcPr>
          <w:p w14:paraId="29E3A927" w14:textId="77777777" w:rsidR="00F46CF1" w:rsidRPr="004C08AD" w:rsidRDefault="00F46CF1" w:rsidP="00F46CF1">
            <w:pPr>
              <w:spacing w:before="120" w:after="120"/>
              <w:jc w:val="left"/>
              <w:rPr>
                <w:rFonts w:eastAsia="Arial"/>
                <w:highlight w:val="yellow"/>
                <w:lang w:val="en-US"/>
                <w:rPrChange w:id="28" w:author="Dianna Wolfe" w:date="2021-11-22T13:19:00Z">
                  <w:rPr>
                    <w:rFonts w:eastAsia="Arial"/>
                    <w:lang w:val="en-US"/>
                  </w:rPr>
                </w:rPrChange>
              </w:rPr>
            </w:pPr>
          </w:p>
        </w:tc>
        <w:tc>
          <w:tcPr>
            <w:tcW w:w="1275" w:type="dxa"/>
            <w:vMerge/>
          </w:tcPr>
          <w:p w14:paraId="1DDCF571" w14:textId="77777777" w:rsidR="00F46CF1" w:rsidRPr="004C08AD" w:rsidRDefault="00F46CF1" w:rsidP="00F46CF1">
            <w:pPr>
              <w:spacing w:before="120" w:after="120"/>
              <w:jc w:val="left"/>
              <w:rPr>
                <w:rFonts w:eastAsia="Arial"/>
                <w:sz w:val="20"/>
                <w:szCs w:val="20"/>
                <w:highlight w:val="yellow"/>
                <w:lang w:val="en-US"/>
                <w:rPrChange w:id="29" w:author="Dianna Wolfe" w:date="2021-11-22T13:19:00Z">
                  <w:rPr>
                    <w:rFonts w:eastAsia="Arial"/>
                    <w:sz w:val="20"/>
                    <w:szCs w:val="20"/>
                    <w:lang w:val="en-US"/>
                  </w:rPr>
                </w:rPrChange>
              </w:rPr>
            </w:pPr>
          </w:p>
        </w:tc>
        <w:tc>
          <w:tcPr>
            <w:tcW w:w="1418" w:type="dxa"/>
            <w:vMerge/>
            <w:shd w:val="clear" w:color="auto" w:fill="D9D9D9" w:themeFill="background1" w:themeFillShade="D9"/>
          </w:tcPr>
          <w:p w14:paraId="40C0B356" w14:textId="77777777" w:rsidR="00F46CF1" w:rsidRPr="005C1713" w:rsidRDefault="00F46CF1" w:rsidP="00F46CF1">
            <w:pPr>
              <w:spacing w:before="120" w:after="120"/>
              <w:jc w:val="left"/>
              <w:rPr>
                <w:rFonts w:eastAsia="Arial"/>
                <w:sz w:val="20"/>
                <w:szCs w:val="20"/>
                <w:lang w:val="en-CA"/>
              </w:rPr>
            </w:pPr>
          </w:p>
        </w:tc>
        <w:tc>
          <w:tcPr>
            <w:tcW w:w="1134" w:type="dxa"/>
            <w:vMerge/>
          </w:tcPr>
          <w:p w14:paraId="3BACC86D" w14:textId="77777777" w:rsidR="00F46CF1" w:rsidRPr="005C1713" w:rsidRDefault="00F46CF1" w:rsidP="00F46CF1">
            <w:pPr>
              <w:spacing w:before="120" w:after="120"/>
              <w:jc w:val="left"/>
              <w:rPr>
                <w:rFonts w:eastAsia="Arial"/>
                <w:sz w:val="20"/>
                <w:szCs w:val="20"/>
                <w:lang w:val="en-US"/>
              </w:rPr>
            </w:pPr>
          </w:p>
        </w:tc>
        <w:tc>
          <w:tcPr>
            <w:tcW w:w="1478" w:type="dxa"/>
          </w:tcPr>
          <w:p w14:paraId="6E91E3CC" w14:textId="77777777" w:rsidR="00F46CF1" w:rsidRPr="005C1713" w:rsidRDefault="00F46CF1" w:rsidP="00F46CF1">
            <w:pPr>
              <w:spacing w:before="120" w:after="120"/>
              <w:jc w:val="left"/>
              <w:rPr>
                <w:rFonts w:eastAsia="Arial"/>
                <w:sz w:val="20"/>
                <w:szCs w:val="20"/>
                <w:lang w:val="en-US"/>
              </w:rPr>
            </w:pPr>
            <w:r w:rsidRPr="005C1713">
              <w:rPr>
                <w:rFonts w:eastAsia="Arial"/>
                <w:sz w:val="20"/>
                <w:szCs w:val="20"/>
                <w:lang w:val="en-US"/>
              </w:rPr>
              <w:t>CUD</w:t>
            </w:r>
          </w:p>
        </w:tc>
        <w:tc>
          <w:tcPr>
            <w:tcW w:w="1215" w:type="dxa"/>
          </w:tcPr>
          <w:p w14:paraId="6DDD0005" w14:textId="77777777" w:rsidR="00F46CF1" w:rsidRPr="005C1713" w:rsidRDefault="00F46CF1" w:rsidP="00F46CF1">
            <w:pPr>
              <w:spacing w:before="120" w:after="120"/>
              <w:jc w:val="left"/>
              <w:rPr>
                <w:rFonts w:eastAsia="Arial"/>
                <w:sz w:val="16"/>
                <w:szCs w:val="16"/>
                <w:lang w:val="en-US"/>
              </w:rPr>
            </w:pPr>
            <w:r w:rsidRPr="005C1713">
              <w:rPr>
                <w:rFonts w:eastAsia="Arial"/>
                <w:sz w:val="16"/>
                <w:szCs w:val="16"/>
                <w:lang w:val="en-US"/>
              </w:rPr>
              <w:t>Marijuana dependence scale</w:t>
            </w:r>
          </w:p>
        </w:tc>
        <w:tc>
          <w:tcPr>
            <w:tcW w:w="1276" w:type="dxa"/>
          </w:tcPr>
          <w:p w14:paraId="5256A3D8" w14:textId="77777777" w:rsidR="00F46CF1" w:rsidRPr="005C1713" w:rsidRDefault="00F46CF1" w:rsidP="00F46CF1">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60D88230" w14:textId="77777777" w:rsidR="00F46CF1" w:rsidRPr="005C1713" w:rsidRDefault="00F46CF1" w:rsidP="00F46CF1">
            <w:pPr>
              <w:spacing w:before="120" w:after="120"/>
              <w:jc w:val="left"/>
              <w:rPr>
                <w:rFonts w:eastAsia="Arial"/>
                <w:sz w:val="16"/>
                <w:szCs w:val="16"/>
                <w:lang w:val="en-US"/>
              </w:rPr>
            </w:pPr>
            <w:r w:rsidRPr="005C1713">
              <w:rPr>
                <w:rFonts w:eastAsia="Arial"/>
                <w:sz w:val="16"/>
                <w:szCs w:val="16"/>
                <w:lang w:val="en-US"/>
              </w:rPr>
              <w:t>Univariable</w:t>
            </w:r>
          </w:p>
        </w:tc>
        <w:tc>
          <w:tcPr>
            <w:tcW w:w="1316" w:type="dxa"/>
            <w:shd w:val="clear" w:color="auto" w:fill="FF7D6C"/>
          </w:tcPr>
          <w:p w14:paraId="6D075AC7" w14:textId="44029410" w:rsidR="00F46CF1" w:rsidRPr="005C1713" w:rsidRDefault="00F46CF1" w:rsidP="00F46CF1">
            <w:pPr>
              <w:spacing w:before="120" w:after="120"/>
              <w:jc w:val="left"/>
              <w:rPr>
                <w:rFonts w:eastAsia="Arial"/>
                <w:sz w:val="20"/>
                <w:szCs w:val="20"/>
                <w:lang w:val="en-US"/>
              </w:rPr>
            </w:pPr>
            <w:r>
              <w:rPr>
                <w:rFonts w:eastAsia="Arial"/>
                <w:sz w:val="20"/>
                <w:szCs w:val="20"/>
                <w:lang w:val="en-US"/>
              </w:rPr>
              <w:t>Positive association</w:t>
            </w:r>
          </w:p>
        </w:tc>
      </w:tr>
      <w:tr w:rsidR="00443C43" w:rsidRPr="00443C43" w14:paraId="0D4957C8" w14:textId="77777777" w:rsidTr="00CF2505">
        <w:tc>
          <w:tcPr>
            <w:tcW w:w="1413" w:type="dxa"/>
            <w:vMerge/>
          </w:tcPr>
          <w:p w14:paraId="02991352"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4586D80D" w14:textId="77777777" w:rsidR="00443C43" w:rsidRPr="004C08AD" w:rsidRDefault="00443C43" w:rsidP="00443C43">
            <w:pPr>
              <w:spacing w:before="120" w:after="120"/>
              <w:jc w:val="left"/>
              <w:rPr>
                <w:rFonts w:eastAsia="Arial"/>
                <w:highlight w:val="yellow"/>
                <w:lang w:val="en-US"/>
                <w:rPrChange w:id="30" w:author="Dianna Wolfe" w:date="2021-11-22T13:19:00Z">
                  <w:rPr>
                    <w:rFonts w:eastAsia="Arial"/>
                    <w:lang w:val="en-US"/>
                  </w:rPr>
                </w:rPrChange>
              </w:rPr>
            </w:pPr>
          </w:p>
        </w:tc>
        <w:tc>
          <w:tcPr>
            <w:tcW w:w="1275" w:type="dxa"/>
            <w:vMerge/>
          </w:tcPr>
          <w:p w14:paraId="611B4B75" w14:textId="77777777" w:rsidR="00443C43" w:rsidRPr="004C08AD" w:rsidRDefault="00443C43" w:rsidP="00443C43">
            <w:pPr>
              <w:spacing w:before="120" w:after="120"/>
              <w:jc w:val="left"/>
              <w:rPr>
                <w:rFonts w:eastAsia="Arial"/>
                <w:sz w:val="20"/>
                <w:szCs w:val="20"/>
                <w:highlight w:val="yellow"/>
                <w:lang w:val="en-US"/>
                <w:rPrChange w:id="31" w:author="Dianna Wolfe" w:date="2021-11-22T13:19:00Z">
                  <w:rPr>
                    <w:rFonts w:eastAsia="Arial"/>
                    <w:sz w:val="20"/>
                    <w:szCs w:val="20"/>
                    <w:lang w:val="en-US"/>
                  </w:rPr>
                </w:rPrChange>
              </w:rPr>
            </w:pPr>
          </w:p>
        </w:tc>
        <w:tc>
          <w:tcPr>
            <w:tcW w:w="1418" w:type="dxa"/>
            <w:vMerge/>
            <w:shd w:val="clear" w:color="auto" w:fill="D9D9D9" w:themeFill="background1" w:themeFillShade="D9"/>
          </w:tcPr>
          <w:p w14:paraId="6F2AA516" w14:textId="77777777" w:rsidR="00443C43" w:rsidRPr="005C1713" w:rsidRDefault="00443C43" w:rsidP="00443C43">
            <w:pPr>
              <w:spacing w:before="120" w:after="120"/>
              <w:jc w:val="left"/>
              <w:rPr>
                <w:rFonts w:eastAsia="Arial"/>
                <w:sz w:val="20"/>
                <w:szCs w:val="20"/>
                <w:lang w:val="en-CA"/>
              </w:rPr>
            </w:pPr>
          </w:p>
        </w:tc>
        <w:tc>
          <w:tcPr>
            <w:tcW w:w="1134" w:type="dxa"/>
            <w:vMerge/>
          </w:tcPr>
          <w:p w14:paraId="520C382C" w14:textId="77777777" w:rsidR="00443C43" w:rsidRPr="005C1713" w:rsidRDefault="00443C43" w:rsidP="00443C43">
            <w:pPr>
              <w:spacing w:before="120" w:after="120"/>
              <w:jc w:val="left"/>
              <w:rPr>
                <w:rFonts w:eastAsia="Arial"/>
                <w:sz w:val="20"/>
                <w:szCs w:val="20"/>
                <w:lang w:val="en-US"/>
              </w:rPr>
            </w:pPr>
          </w:p>
        </w:tc>
        <w:tc>
          <w:tcPr>
            <w:tcW w:w="1478" w:type="dxa"/>
            <w:vMerge w:val="restart"/>
          </w:tcPr>
          <w:p w14:paraId="39D3E180"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Regional brain volume</w:t>
            </w:r>
          </w:p>
        </w:tc>
        <w:tc>
          <w:tcPr>
            <w:tcW w:w="1215" w:type="dxa"/>
          </w:tcPr>
          <w:p w14:paraId="107ECC76" w14:textId="77777777" w:rsidR="00443C43" w:rsidRPr="005C1713" w:rsidRDefault="00443C43" w:rsidP="00443C43">
            <w:pPr>
              <w:spacing w:before="120" w:after="120"/>
              <w:jc w:val="left"/>
              <w:rPr>
                <w:rFonts w:eastAsia="Arial"/>
                <w:sz w:val="16"/>
                <w:szCs w:val="16"/>
                <w:lang w:val="en-US"/>
              </w:rPr>
            </w:pPr>
            <w:r w:rsidRPr="005C1713">
              <w:rPr>
                <w:rFonts w:eastAsia="Arial"/>
                <w:sz w:val="16"/>
                <w:szCs w:val="16"/>
                <w:lang w:val="en-US"/>
              </w:rPr>
              <w:t xml:space="preserve">All regional volumes (Surface-based morphometry, ≥ 100 voxels; uncorrected p&lt;0.001; whole brain </w:t>
            </w:r>
            <w:r w:rsidRPr="005C1713">
              <w:rPr>
                <w:rFonts w:eastAsia="Arial"/>
                <w:sz w:val="16"/>
                <w:szCs w:val="16"/>
                <w:lang w:val="en-US"/>
              </w:rPr>
              <w:lastRenderedPageBreak/>
              <w:t>general linear model)</w:t>
            </w:r>
          </w:p>
        </w:tc>
        <w:tc>
          <w:tcPr>
            <w:tcW w:w="1276" w:type="dxa"/>
          </w:tcPr>
          <w:p w14:paraId="6B767FFD"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lastRenderedPageBreak/>
              <w:t>NA</w:t>
            </w:r>
          </w:p>
        </w:tc>
        <w:tc>
          <w:tcPr>
            <w:tcW w:w="1149" w:type="dxa"/>
          </w:tcPr>
          <w:p w14:paraId="3C1904CC" w14:textId="77777777" w:rsidR="00443C43" w:rsidRPr="005C1713" w:rsidRDefault="00443C43" w:rsidP="00443C43">
            <w:pPr>
              <w:spacing w:before="120" w:after="120"/>
              <w:jc w:val="left"/>
              <w:rPr>
                <w:rFonts w:eastAsia="Arial"/>
                <w:sz w:val="16"/>
                <w:szCs w:val="16"/>
                <w:lang w:val="en-US"/>
              </w:rPr>
            </w:pPr>
            <w:r w:rsidRPr="005C1713">
              <w:rPr>
                <w:rFonts w:eastAsia="Arial"/>
                <w:sz w:val="16"/>
                <w:szCs w:val="16"/>
                <w:lang w:val="en-US"/>
              </w:rPr>
              <w:t>Multivariable</w:t>
            </w:r>
          </w:p>
        </w:tc>
        <w:tc>
          <w:tcPr>
            <w:tcW w:w="1316" w:type="dxa"/>
            <w:shd w:val="clear" w:color="auto" w:fill="BFBFBF"/>
          </w:tcPr>
          <w:p w14:paraId="26D9D190"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Non-significant (effect direction not reported)</w:t>
            </w:r>
          </w:p>
        </w:tc>
      </w:tr>
      <w:tr w:rsidR="00443C43" w:rsidRPr="00443C43" w14:paraId="27B82C9E" w14:textId="77777777" w:rsidTr="00204461">
        <w:trPr>
          <w:cnfStyle w:val="000000100000" w:firstRow="0" w:lastRow="0" w:firstColumn="0" w:lastColumn="0" w:oddVBand="0" w:evenVBand="0" w:oddHBand="1" w:evenHBand="0" w:firstRowFirstColumn="0" w:firstRowLastColumn="0" w:lastRowFirstColumn="0" w:lastRowLastColumn="0"/>
        </w:trPr>
        <w:tc>
          <w:tcPr>
            <w:tcW w:w="1413" w:type="dxa"/>
            <w:vMerge/>
          </w:tcPr>
          <w:p w14:paraId="51B95EA9"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4F714C6A" w14:textId="77777777" w:rsidR="00443C43" w:rsidRPr="004C08AD" w:rsidRDefault="00443C43" w:rsidP="00443C43">
            <w:pPr>
              <w:spacing w:before="120" w:after="120"/>
              <w:jc w:val="left"/>
              <w:rPr>
                <w:rFonts w:eastAsia="Arial"/>
                <w:highlight w:val="yellow"/>
                <w:lang w:val="en-US"/>
                <w:rPrChange w:id="32" w:author="Dianna Wolfe" w:date="2021-11-22T13:19:00Z">
                  <w:rPr>
                    <w:rFonts w:eastAsia="Arial"/>
                    <w:lang w:val="en-US"/>
                  </w:rPr>
                </w:rPrChange>
              </w:rPr>
            </w:pPr>
          </w:p>
        </w:tc>
        <w:tc>
          <w:tcPr>
            <w:tcW w:w="1275" w:type="dxa"/>
            <w:vMerge/>
          </w:tcPr>
          <w:p w14:paraId="488D623D" w14:textId="77777777" w:rsidR="00443C43" w:rsidRPr="004C08AD" w:rsidRDefault="00443C43" w:rsidP="00443C43">
            <w:pPr>
              <w:spacing w:before="120" w:after="120"/>
              <w:jc w:val="left"/>
              <w:rPr>
                <w:rFonts w:eastAsia="Arial"/>
                <w:sz w:val="20"/>
                <w:szCs w:val="20"/>
                <w:highlight w:val="yellow"/>
                <w:lang w:val="en-US"/>
                <w:rPrChange w:id="33" w:author="Dianna Wolfe" w:date="2021-11-22T13:19:00Z">
                  <w:rPr>
                    <w:rFonts w:eastAsia="Arial"/>
                    <w:sz w:val="20"/>
                    <w:szCs w:val="20"/>
                    <w:lang w:val="en-US"/>
                  </w:rPr>
                </w:rPrChange>
              </w:rPr>
            </w:pPr>
          </w:p>
        </w:tc>
        <w:tc>
          <w:tcPr>
            <w:tcW w:w="1418" w:type="dxa"/>
            <w:vMerge/>
            <w:shd w:val="clear" w:color="auto" w:fill="D9D9D9" w:themeFill="background1" w:themeFillShade="D9"/>
          </w:tcPr>
          <w:p w14:paraId="72FE8EEE" w14:textId="77777777" w:rsidR="00443C43" w:rsidRPr="005C1713" w:rsidRDefault="00443C43" w:rsidP="00443C43">
            <w:pPr>
              <w:spacing w:before="120" w:after="120"/>
              <w:jc w:val="left"/>
              <w:rPr>
                <w:rFonts w:eastAsia="Arial"/>
                <w:sz w:val="20"/>
                <w:szCs w:val="20"/>
                <w:lang w:val="en-CA"/>
              </w:rPr>
            </w:pPr>
          </w:p>
        </w:tc>
        <w:tc>
          <w:tcPr>
            <w:tcW w:w="1134" w:type="dxa"/>
            <w:vMerge/>
          </w:tcPr>
          <w:p w14:paraId="2ABE3952" w14:textId="77777777" w:rsidR="00443C43" w:rsidRPr="005C1713" w:rsidRDefault="00443C43" w:rsidP="00443C43">
            <w:pPr>
              <w:spacing w:before="120" w:after="120"/>
              <w:jc w:val="left"/>
              <w:rPr>
                <w:rFonts w:eastAsia="Arial"/>
                <w:sz w:val="20"/>
                <w:szCs w:val="20"/>
                <w:lang w:val="en-US"/>
              </w:rPr>
            </w:pPr>
          </w:p>
        </w:tc>
        <w:tc>
          <w:tcPr>
            <w:tcW w:w="1478" w:type="dxa"/>
            <w:vMerge/>
          </w:tcPr>
          <w:p w14:paraId="5EA9D82D" w14:textId="77777777" w:rsidR="00443C43" w:rsidRPr="005C1713" w:rsidRDefault="00443C43" w:rsidP="00443C43">
            <w:pPr>
              <w:spacing w:before="120" w:after="120"/>
              <w:jc w:val="left"/>
              <w:rPr>
                <w:rFonts w:eastAsia="Arial"/>
                <w:sz w:val="20"/>
                <w:szCs w:val="20"/>
                <w:lang w:val="en-US"/>
              </w:rPr>
            </w:pPr>
          </w:p>
        </w:tc>
        <w:tc>
          <w:tcPr>
            <w:tcW w:w="1215" w:type="dxa"/>
          </w:tcPr>
          <w:p w14:paraId="34D72AF0" w14:textId="77777777" w:rsidR="00443C43" w:rsidRPr="005C1713" w:rsidRDefault="00443C43" w:rsidP="00443C43">
            <w:pPr>
              <w:spacing w:before="120" w:after="120"/>
              <w:jc w:val="left"/>
              <w:rPr>
                <w:rFonts w:eastAsia="Arial"/>
                <w:sz w:val="16"/>
                <w:szCs w:val="16"/>
                <w:lang w:val="en-US"/>
              </w:rPr>
            </w:pPr>
            <w:r w:rsidRPr="005C1713">
              <w:rPr>
                <w:rFonts w:eastAsia="Arial"/>
                <w:sz w:val="16"/>
                <w:szCs w:val="16"/>
                <w:lang w:val="en-US"/>
              </w:rPr>
              <w:t>Left occipital pole (Voxel-based morphometry, ≥ 100 voxels; uncorrected p&lt;0.001; whole brain general linear model)</w:t>
            </w:r>
          </w:p>
        </w:tc>
        <w:tc>
          <w:tcPr>
            <w:tcW w:w="1276" w:type="dxa"/>
          </w:tcPr>
          <w:p w14:paraId="3D9704F1"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65A55D87" w14:textId="77777777" w:rsidR="00443C43" w:rsidRPr="005C1713" w:rsidRDefault="00443C43" w:rsidP="00443C43">
            <w:pPr>
              <w:spacing w:before="120" w:after="120"/>
              <w:jc w:val="left"/>
              <w:rPr>
                <w:rFonts w:eastAsia="Arial"/>
                <w:sz w:val="16"/>
                <w:szCs w:val="16"/>
                <w:lang w:val="en-US"/>
              </w:rPr>
            </w:pPr>
            <w:r w:rsidRPr="005C1713">
              <w:rPr>
                <w:rFonts w:eastAsia="Arial"/>
                <w:sz w:val="16"/>
                <w:szCs w:val="16"/>
                <w:lang w:val="en-US"/>
              </w:rPr>
              <w:t>Multivariable</w:t>
            </w:r>
          </w:p>
        </w:tc>
        <w:tc>
          <w:tcPr>
            <w:tcW w:w="1316" w:type="dxa"/>
            <w:shd w:val="clear" w:color="auto" w:fill="C00000"/>
          </w:tcPr>
          <w:p w14:paraId="1401E4EE" w14:textId="2B602DA5" w:rsidR="00204461" w:rsidRPr="005C1713" w:rsidRDefault="00204461" w:rsidP="00443C43">
            <w:pPr>
              <w:spacing w:before="120" w:after="120"/>
              <w:jc w:val="left"/>
              <w:rPr>
                <w:rFonts w:eastAsia="Arial"/>
                <w:sz w:val="20"/>
                <w:szCs w:val="20"/>
                <w:lang w:val="en-US"/>
              </w:rPr>
            </w:pPr>
            <w:r>
              <w:rPr>
                <w:rFonts w:eastAsia="Arial"/>
                <w:sz w:val="20"/>
                <w:szCs w:val="20"/>
                <w:lang w:val="en-US"/>
              </w:rPr>
              <w:t>Lifetime use was s</w:t>
            </w:r>
            <w:r w:rsidR="00443C43" w:rsidRPr="005C1713">
              <w:rPr>
                <w:rFonts w:eastAsia="Arial"/>
                <w:sz w:val="20"/>
                <w:szCs w:val="20"/>
                <w:lang w:val="en-US"/>
              </w:rPr>
              <w:t>ignificant</w:t>
            </w:r>
            <w:r w:rsidR="00F46CF1">
              <w:rPr>
                <w:rFonts w:eastAsia="Arial"/>
                <w:sz w:val="20"/>
                <w:szCs w:val="20"/>
                <w:lang w:val="en-US"/>
              </w:rPr>
              <w:t xml:space="preserve"> negative association</w:t>
            </w:r>
          </w:p>
        </w:tc>
      </w:tr>
      <w:tr w:rsidR="00204461" w:rsidRPr="00443C43" w14:paraId="492C4473" w14:textId="77777777" w:rsidTr="00204461">
        <w:tc>
          <w:tcPr>
            <w:tcW w:w="1413" w:type="dxa"/>
            <w:vMerge/>
          </w:tcPr>
          <w:p w14:paraId="5F947F0A" w14:textId="77777777" w:rsidR="00204461" w:rsidRPr="00443C43" w:rsidRDefault="00204461" w:rsidP="00204461">
            <w:pPr>
              <w:spacing w:before="120" w:after="120"/>
              <w:jc w:val="left"/>
              <w:rPr>
                <w:rFonts w:eastAsia="Arial"/>
                <w:b/>
                <w:bCs/>
                <w:sz w:val="20"/>
                <w:szCs w:val="20"/>
                <w:lang w:val="en-US"/>
              </w:rPr>
            </w:pPr>
          </w:p>
        </w:tc>
        <w:tc>
          <w:tcPr>
            <w:tcW w:w="1276" w:type="dxa"/>
            <w:vMerge/>
          </w:tcPr>
          <w:p w14:paraId="5EDA9413" w14:textId="77777777" w:rsidR="00204461" w:rsidRPr="004C08AD" w:rsidRDefault="00204461" w:rsidP="00204461">
            <w:pPr>
              <w:spacing w:before="120" w:after="120"/>
              <w:jc w:val="left"/>
              <w:rPr>
                <w:rFonts w:eastAsia="Arial"/>
                <w:highlight w:val="yellow"/>
                <w:lang w:val="en-US"/>
                <w:rPrChange w:id="34" w:author="Dianna Wolfe" w:date="2021-11-22T13:19:00Z">
                  <w:rPr>
                    <w:rFonts w:eastAsia="Arial"/>
                    <w:lang w:val="en-US"/>
                  </w:rPr>
                </w:rPrChange>
              </w:rPr>
            </w:pPr>
          </w:p>
        </w:tc>
        <w:tc>
          <w:tcPr>
            <w:tcW w:w="1275" w:type="dxa"/>
            <w:vMerge/>
          </w:tcPr>
          <w:p w14:paraId="026F76E5" w14:textId="77777777" w:rsidR="00204461" w:rsidRPr="004C08AD" w:rsidRDefault="00204461" w:rsidP="00204461">
            <w:pPr>
              <w:spacing w:before="120" w:after="120"/>
              <w:jc w:val="left"/>
              <w:rPr>
                <w:rFonts w:eastAsia="Arial"/>
                <w:sz w:val="20"/>
                <w:szCs w:val="20"/>
                <w:highlight w:val="yellow"/>
                <w:lang w:val="en-US"/>
                <w:rPrChange w:id="35" w:author="Dianna Wolfe" w:date="2021-11-22T13:19:00Z">
                  <w:rPr>
                    <w:rFonts w:eastAsia="Arial"/>
                    <w:sz w:val="20"/>
                    <w:szCs w:val="20"/>
                    <w:lang w:val="en-US"/>
                  </w:rPr>
                </w:rPrChange>
              </w:rPr>
            </w:pPr>
          </w:p>
        </w:tc>
        <w:tc>
          <w:tcPr>
            <w:tcW w:w="1418" w:type="dxa"/>
            <w:vMerge/>
            <w:shd w:val="clear" w:color="auto" w:fill="D9D9D9" w:themeFill="background1" w:themeFillShade="D9"/>
          </w:tcPr>
          <w:p w14:paraId="0930E871" w14:textId="77777777" w:rsidR="00204461" w:rsidRPr="005C1713" w:rsidRDefault="00204461" w:rsidP="00204461">
            <w:pPr>
              <w:spacing w:before="120" w:after="120"/>
              <w:jc w:val="left"/>
              <w:rPr>
                <w:rFonts w:eastAsia="Arial"/>
                <w:sz w:val="20"/>
                <w:szCs w:val="20"/>
                <w:lang w:val="en-CA"/>
              </w:rPr>
            </w:pPr>
          </w:p>
        </w:tc>
        <w:tc>
          <w:tcPr>
            <w:tcW w:w="1134" w:type="dxa"/>
            <w:vMerge/>
          </w:tcPr>
          <w:p w14:paraId="3451E1D7" w14:textId="77777777" w:rsidR="00204461" w:rsidRPr="005C1713" w:rsidRDefault="00204461" w:rsidP="00204461">
            <w:pPr>
              <w:spacing w:before="120" w:after="120"/>
              <w:jc w:val="left"/>
              <w:rPr>
                <w:rFonts w:eastAsia="Arial"/>
                <w:sz w:val="20"/>
                <w:szCs w:val="20"/>
                <w:lang w:val="en-US"/>
              </w:rPr>
            </w:pPr>
          </w:p>
        </w:tc>
        <w:tc>
          <w:tcPr>
            <w:tcW w:w="1478" w:type="dxa"/>
            <w:vMerge/>
          </w:tcPr>
          <w:p w14:paraId="4451B4B6" w14:textId="77777777" w:rsidR="00204461" w:rsidRPr="005C1713" w:rsidRDefault="00204461" w:rsidP="00204461">
            <w:pPr>
              <w:spacing w:before="120" w:after="120"/>
              <w:jc w:val="left"/>
              <w:rPr>
                <w:rFonts w:eastAsia="Arial"/>
                <w:sz w:val="20"/>
                <w:szCs w:val="20"/>
                <w:lang w:val="en-US"/>
              </w:rPr>
            </w:pPr>
          </w:p>
        </w:tc>
        <w:tc>
          <w:tcPr>
            <w:tcW w:w="1215" w:type="dxa"/>
          </w:tcPr>
          <w:p w14:paraId="0D8E7CE1"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Left postcentral gyrus (Voxel-based morphometry, ≥ 100 voxels; uncorrected p&lt;0.001; whole brain general linear model)</w:t>
            </w:r>
          </w:p>
        </w:tc>
        <w:tc>
          <w:tcPr>
            <w:tcW w:w="1276" w:type="dxa"/>
          </w:tcPr>
          <w:p w14:paraId="2E597BF0" w14:textId="77777777" w:rsidR="00204461" w:rsidRPr="005C1713" w:rsidRDefault="00204461" w:rsidP="00204461">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39F46281"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Multivariable</w:t>
            </w:r>
          </w:p>
        </w:tc>
        <w:tc>
          <w:tcPr>
            <w:tcW w:w="1316" w:type="dxa"/>
            <w:shd w:val="clear" w:color="auto" w:fill="C00000"/>
          </w:tcPr>
          <w:p w14:paraId="6F73D12B" w14:textId="7C7CBCCF" w:rsidR="00204461" w:rsidRPr="005C1713" w:rsidRDefault="00204461" w:rsidP="00204461">
            <w:pPr>
              <w:spacing w:before="120" w:after="120"/>
              <w:jc w:val="left"/>
              <w:rPr>
                <w:rFonts w:eastAsia="Arial"/>
                <w:sz w:val="20"/>
                <w:szCs w:val="20"/>
                <w:lang w:val="en-US"/>
              </w:rPr>
            </w:pPr>
            <w:r>
              <w:rPr>
                <w:rFonts w:eastAsia="Arial"/>
                <w:sz w:val="20"/>
                <w:szCs w:val="20"/>
                <w:lang w:val="en-US"/>
              </w:rPr>
              <w:t>Lifetime use was s</w:t>
            </w:r>
            <w:r w:rsidRPr="005C1713">
              <w:rPr>
                <w:rFonts w:eastAsia="Arial"/>
                <w:sz w:val="20"/>
                <w:szCs w:val="20"/>
                <w:lang w:val="en-US"/>
              </w:rPr>
              <w:t>ignificant</w:t>
            </w:r>
            <w:r w:rsidR="00F46CF1">
              <w:rPr>
                <w:rFonts w:eastAsia="Arial"/>
                <w:sz w:val="20"/>
                <w:szCs w:val="20"/>
                <w:lang w:val="en-US"/>
              </w:rPr>
              <w:t xml:space="preserve"> negative association</w:t>
            </w:r>
          </w:p>
        </w:tc>
      </w:tr>
      <w:tr w:rsidR="00204461" w:rsidRPr="00443C43" w14:paraId="0F428A2E" w14:textId="77777777" w:rsidTr="00204461">
        <w:trPr>
          <w:cnfStyle w:val="000000100000" w:firstRow="0" w:lastRow="0" w:firstColumn="0" w:lastColumn="0" w:oddVBand="0" w:evenVBand="0" w:oddHBand="1" w:evenHBand="0" w:firstRowFirstColumn="0" w:firstRowLastColumn="0" w:lastRowFirstColumn="0" w:lastRowLastColumn="0"/>
        </w:trPr>
        <w:tc>
          <w:tcPr>
            <w:tcW w:w="1413" w:type="dxa"/>
            <w:vMerge/>
          </w:tcPr>
          <w:p w14:paraId="424AC3EC" w14:textId="77777777" w:rsidR="00204461" w:rsidRPr="00443C43" w:rsidRDefault="00204461" w:rsidP="00204461">
            <w:pPr>
              <w:spacing w:before="120" w:after="120"/>
              <w:jc w:val="left"/>
              <w:rPr>
                <w:rFonts w:eastAsia="Arial"/>
                <w:b/>
                <w:bCs/>
                <w:sz w:val="20"/>
                <w:szCs w:val="20"/>
                <w:lang w:val="en-US"/>
              </w:rPr>
            </w:pPr>
          </w:p>
        </w:tc>
        <w:tc>
          <w:tcPr>
            <w:tcW w:w="1276" w:type="dxa"/>
            <w:vMerge/>
          </w:tcPr>
          <w:p w14:paraId="494B0DE6" w14:textId="77777777" w:rsidR="00204461" w:rsidRPr="004C08AD" w:rsidRDefault="00204461" w:rsidP="00204461">
            <w:pPr>
              <w:spacing w:before="120" w:after="120"/>
              <w:jc w:val="left"/>
              <w:rPr>
                <w:rFonts w:eastAsia="Arial"/>
                <w:highlight w:val="yellow"/>
                <w:lang w:val="en-US"/>
                <w:rPrChange w:id="36" w:author="Dianna Wolfe" w:date="2021-11-22T13:19:00Z">
                  <w:rPr>
                    <w:rFonts w:eastAsia="Arial"/>
                    <w:lang w:val="en-US"/>
                  </w:rPr>
                </w:rPrChange>
              </w:rPr>
            </w:pPr>
          </w:p>
        </w:tc>
        <w:tc>
          <w:tcPr>
            <w:tcW w:w="1275" w:type="dxa"/>
            <w:vMerge/>
          </w:tcPr>
          <w:p w14:paraId="5F61103D" w14:textId="77777777" w:rsidR="00204461" w:rsidRPr="004C08AD" w:rsidRDefault="00204461" w:rsidP="00204461">
            <w:pPr>
              <w:spacing w:before="120" w:after="120"/>
              <w:jc w:val="left"/>
              <w:rPr>
                <w:rFonts w:eastAsia="Arial"/>
                <w:sz w:val="20"/>
                <w:szCs w:val="20"/>
                <w:highlight w:val="yellow"/>
                <w:lang w:val="en-US"/>
                <w:rPrChange w:id="37" w:author="Dianna Wolfe" w:date="2021-11-22T13:19:00Z">
                  <w:rPr>
                    <w:rFonts w:eastAsia="Arial"/>
                    <w:sz w:val="20"/>
                    <w:szCs w:val="20"/>
                    <w:lang w:val="en-US"/>
                  </w:rPr>
                </w:rPrChange>
              </w:rPr>
            </w:pPr>
          </w:p>
        </w:tc>
        <w:tc>
          <w:tcPr>
            <w:tcW w:w="1418" w:type="dxa"/>
            <w:vMerge/>
            <w:shd w:val="clear" w:color="auto" w:fill="D9D9D9" w:themeFill="background1" w:themeFillShade="D9"/>
          </w:tcPr>
          <w:p w14:paraId="29B8CC47" w14:textId="77777777" w:rsidR="00204461" w:rsidRPr="005C1713" w:rsidRDefault="00204461" w:rsidP="00204461">
            <w:pPr>
              <w:spacing w:before="120" w:after="120"/>
              <w:jc w:val="left"/>
              <w:rPr>
                <w:rFonts w:eastAsia="Arial"/>
                <w:sz w:val="20"/>
                <w:szCs w:val="20"/>
                <w:lang w:val="en-CA"/>
              </w:rPr>
            </w:pPr>
          </w:p>
        </w:tc>
        <w:tc>
          <w:tcPr>
            <w:tcW w:w="1134" w:type="dxa"/>
            <w:vMerge/>
          </w:tcPr>
          <w:p w14:paraId="31818AA6" w14:textId="77777777" w:rsidR="00204461" w:rsidRPr="005C1713" w:rsidRDefault="00204461" w:rsidP="00204461">
            <w:pPr>
              <w:spacing w:before="120" w:after="120"/>
              <w:jc w:val="left"/>
              <w:rPr>
                <w:rFonts w:eastAsia="Arial"/>
                <w:sz w:val="20"/>
                <w:szCs w:val="20"/>
                <w:lang w:val="en-US"/>
              </w:rPr>
            </w:pPr>
          </w:p>
        </w:tc>
        <w:tc>
          <w:tcPr>
            <w:tcW w:w="1478" w:type="dxa"/>
            <w:vMerge/>
          </w:tcPr>
          <w:p w14:paraId="51B0C763" w14:textId="77777777" w:rsidR="00204461" w:rsidRPr="005C1713" w:rsidRDefault="00204461" w:rsidP="00204461">
            <w:pPr>
              <w:spacing w:before="120" w:after="120"/>
              <w:jc w:val="left"/>
              <w:rPr>
                <w:rFonts w:eastAsia="Arial"/>
                <w:sz w:val="20"/>
                <w:szCs w:val="20"/>
                <w:lang w:val="en-US"/>
              </w:rPr>
            </w:pPr>
          </w:p>
        </w:tc>
        <w:tc>
          <w:tcPr>
            <w:tcW w:w="1215" w:type="dxa"/>
          </w:tcPr>
          <w:p w14:paraId="05DE0CF1"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Right occipital pole (Voxel-based morphometry, ≥ 100 voxels; uncorrected p&lt;0.001; whole brain general linear model)</w:t>
            </w:r>
          </w:p>
        </w:tc>
        <w:tc>
          <w:tcPr>
            <w:tcW w:w="1276" w:type="dxa"/>
          </w:tcPr>
          <w:p w14:paraId="32A32336" w14:textId="77777777" w:rsidR="00204461" w:rsidRPr="005C1713" w:rsidRDefault="00204461" w:rsidP="00204461">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378AA828"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Multivariable</w:t>
            </w:r>
          </w:p>
        </w:tc>
        <w:tc>
          <w:tcPr>
            <w:tcW w:w="1316" w:type="dxa"/>
            <w:shd w:val="clear" w:color="auto" w:fill="C00000"/>
          </w:tcPr>
          <w:p w14:paraId="5D61E2B1" w14:textId="04E9AF42" w:rsidR="00204461" w:rsidRPr="005C1713" w:rsidRDefault="00204461" w:rsidP="00204461">
            <w:pPr>
              <w:spacing w:before="120" w:after="120"/>
              <w:jc w:val="left"/>
              <w:rPr>
                <w:rFonts w:eastAsia="Arial"/>
                <w:sz w:val="20"/>
                <w:szCs w:val="20"/>
                <w:lang w:val="en-US"/>
              </w:rPr>
            </w:pPr>
            <w:r>
              <w:rPr>
                <w:rFonts w:eastAsia="Arial"/>
                <w:sz w:val="20"/>
                <w:szCs w:val="20"/>
                <w:lang w:val="en-US"/>
              </w:rPr>
              <w:t>Lifetime use was s</w:t>
            </w:r>
            <w:r w:rsidRPr="005C1713">
              <w:rPr>
                <w:rFonts w:eastAsia="Arial"/>
                <w:sz w:val="20"/>
                <w:szCs w:val="20"/>
                <w:lang w:val="en-US"/>
              </w:rPr>
              <w:t>ignificant</w:t>
            </w:r>
            <w:r w:rsidR="00F46CF1">
              <w:rPr>
                <w:rFonts w:eastAsia="Arial"/>
                <w:sz w:val="20"/>
                <w:szCs w:val="20"/>
                <w:lang w:val="en-US"/>
              </w:rPr>
              <w:t xml:space="preserve"> negative association</w:t>
            </w:r>
          </w:p>
        </w:tc>
      </w:tr>
      <w:tr w:rsidR="00204461" w:rsidRPr="00443C43" w14:paraId="686537D1" w14:textId="77777777" w:rsidTr="00204461">
        <w:tc>
          <w:tcPr>
            <w:tcW w:w="1413" w:type="dxa"/>
            <w:vMerge/>
          </w:tcPr>
          <w:p w14:paraId="06BBAD14" w14:textId="77777777" w:rsidR="00204461" w:rsidRPr="00443C43" w:rsidRDefault="00204461" w:rsidP="00204461">
            <w:pPr>
              <w:spacing w:before="120" w:after="120"/>
              <w:jc w:val="left"/>
              <w:rPr>
                <w:rFonts w:eastAsia="Arial"/>
                <w:b/>
                <w:bCs/>
                <w:sz w:val="20"/>
                <w:szCs w:val="20"/>
                <w:lang w:val="en-US"/>
              </w:rPr>
            </w:pPr>
          </w:p>
        </w:tc>
        <w:tc>
          <w:tcPr>
            <w:tcW w:w="1276" w:type="dxa"/>
            <w:vMerge/>
          </w:tcPr>
          <w:p w14:paraId="68EB8BBD" w14:textId="77777777" w:rsidR="00204461" w:rsidRPr="004C08AD" w:rsidRDefault="00204461" w:rsidP="00204461">
            <w:pPr>
              <w:spacing w:before="120" w:after="120"/>
              <w:jc w:val="left"/>
              <w:rPr>
                <w:rFonts w:eastAsia="Arial"/>
                <w:highlight w:val="yellow"/>
                <w:lang w:val="en-US"/>
                <w:rPrChange w:id="38" w:author="Dianna Wolfe" w:date="2021-11-22T13:19:00Z">
                  <w:rPr>
                    <w:rFonts w:eastAsia="Arial"/>
                    <w:lang w:val="en-US"/>
                  </w:rPr>
                </w:rPrChange>
              </w:rPr>
            </w:pPr>
          </w:p>
        </w:tc>
        <w:tc>
          <w:tcPr>
            <w:tcW w:w="1275" w:type="dxa"/>
            <w:vMerge/>
          </w:tcPr>
          <w:p w14:paraId="2F5CC9B2" w14:textId="77777777" w:rsidR="00204461" w:rsidRPr="004C08AD" w:rsidRDefault="00204461" w:rsidP="00204461">
            <w:pPr>
              <w:spacing w:before="120" w:after="120"/>
              <w:jc w:val="left"/>
              <w:rPr>
                <w:rFonts w:eastAsia="Arial"/>
                <w:sz w:val="20"/>
                <w:szCs w:val="20"/>
                <w:highlight w:val="yellow"/>
                <w:lang w:val="en-US"/>
                <w:rPrChange w:id="39" w:author="Dianna Wolfe" w:date="2021-11-22T13:19:00Z">
                  <w:rPr>
                    <w:rFonts w:eastAsia="Arial"/>
                    <w:sz w:val="20"/>
                    <w:szCs w:val="20"/>
                    <w:lang w:val="en-US"/>
                  </w:rPr>
                </w:rPrChange>
              </w:rPr>
            </w:pPr>
          </w:p>
        </w:tc>
        <w:tc>
          <w:tcPr>
            <w:tcW w:w="1418" w:type="dxa"/>
            <w:vMerge/>
            <w:shd w:val="clear" w:color="auto" w:fill="D9D9D9" w:themeFill="background1" w:themeFillShade="D9"/>
          </w:tcPr>
          <w:p w14:paraId="15B28B0E" w14:textId="77777777" w:rsidR="00204461" w:rsidRPr="005C1713" w:rsidRDefault="00204461" w:rsidP="00204461">
            <w:pPr>
              <w:spacing w:before="120" w:after="120"/>
              <w:jc w:val="left"/>
              <w:rPr>
                <w:rFonts w:eastAsia="Arial"/>
                <w:sz w:val="20"/>
                <w:szCs w:val="20"/>
                <w:lang w:val="en-CA"/>
              </w:rPr>
            </w:pPr>
          </w:p>
        </w:tc>
        <w:tc>
          <w:tcPr>
            <w:tcW w:w="1134" w:type="dxa"/>
            <w:vMerge/>
          </w:tcPr>
          <w:p w14:paraId="7D8D664F" w14:textId="77777777" w:rsidR="00204461" w:rsidRPr="005C1713" w:rsidRDefault="00204461" w:rsidP="00204461">
            <w:pPr>
              <w:spacing w:before="120" w:after="120"/>
              <w:jc w:val="left"/>
              <w:rPr>
                <w:rFonts w:eastAsia="Arial"/>
                <w:sz w:val="20"/>
                <w:szCs w:val="20"/>
                <w:lang w:val="en-US"/>
              </w:rPr>
            </w:pPr>
          </w:p>
        </w:tc>
        <w:tc>
          <w:tcPr>
            <w:tcW w:w="1478" w:type="dxa"/>
            <w:vMerge/>
          </w:tcPr>
          <w:p w14:paraId="349AD6D1" w14:textId="77777777" w:rsidR="00204461" w:rsidRPr="005C1713" w:rsidRDefault="00204461" w:rsidP="00204461">
            <w:pPr>
              <w:spacing w:before="120" w:after="120"/>
              <w:jc w:val="left"/>
              <w:rPr>
                <w:rFonts w:eastAsia="Arial"/>
                <w:sz w:val="20"/>
                <w:szCs w:val="20"/>
                <w:lang w:val="en-US"/>
              </w:rPr>
            </w:pPr>
          </w:p>
        </w:tc>
        <w:tc>
          <w:tcPr>
            <w:tcW w:w="1215" w:type="dxa"/>
          </w:tcPr>
          <w:p w14:paraId="332FDBFB"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 xml:space="preserve">Right superior parietal lobule; postcentral gyrus (Voxel-based morphometry, ≥ 100 voxels; </w:t>
            </w:r>
            <w:r w:rsidRPr="005C1713">
              <w:rPr>
                <w:rFonts w:eastAsia="Arial"/>
                <w:sz w:val="16"/>
                <w:szCs w:val="16"/>
                <w:lang w:val="en-US"/>
              </w:rPr>
              <w:lastRenderedPageBreak/>
              <w:t>uncorrected p&lt;0.001; whole brain general linear model)</w:t>
            </w:r>
          </w:p>
        </w:tc>
        <w:tc>
          <w:tcPr>
            <w:tcW w:w="1276" w:type="dxa"/>
          </w:tcPr>
          <w:p w14:paraId="4E16EDAC" w14:textId="77777777" w:rsidR="00204461" w:rsidRPr="005C1713" w:rsidRDefault="00204461" w:rsidP="00204461">
            <w:pPr>
              <w:spacing w:before="120" w:after="120"/>
              <w:jc w:val="left"/>
              <w:rPr>
                <w:rFonts w:eastAsia="Arial"/>
                <w:sz w:val="20"/>
                <w:szCs w:val="20"/>
                <w:lang w:val="en-US"/>
              </w:rPr>
            </w:pPr>
            <w:r w:rsidRPr="005C1713">
              <w:rPr>
                <w:rFonts w:eastAsia="Arial"/>
                <w:sz w:val="20"/>
                <w:szCs w:val="20"/>
                <w:lang w:val="en-US"/>
              </w:rPr>
              <w:lastRenderedPageBreak/>
              <w:t>NA</w:t>
            </w:r>
          </w:p>
        </w:tc>
        <w:tc>
          <w:tcPr>
            <w:tcW w:w="1149" w:type="dxa"/>
          </w:tcPr>
          <w:p w14:paraId="60A8AFE1" w14:textId="77777777" w:rsidR="00204461" w:rsidRPr="005C1713" w:rsidRDefault="00204461" w:rsidP="00204461">
            <w:pPr>
              <w:spacing w:before="120" w:after="120"/>
              <w:jc w:val="left"/>
              <w:rPr>
                <w:rFonts w:eastAsia="Arial"/>
                <w:sz w:val="16"/>
                <w:szCs w:val="16"/>
                <w:lang w:val="en-US"/>
              </w:rPr>
            </w:pPr>
            <w:r w:rsidRPr="005C1713">
              <w:rPr>
                <w:rFonts w:eastAsia="Arial"/>
                <w:sz w:val="16"/>
                <w:szCs w:val="16"/>
                <w:lang w:val="en-US"/>
              </w:rPr>
              <w:t>Multivariable</w:t>
            </w:r>
          </w:p>
        </w:tc>
        <w:tc>
          <w:tcPr>
            <w:tcW w:w="1316" w:type="dxa"/>
            <w:shd w:val="clear" w:color="auto" w:fill="C00000"/>
          </w:tcPr>
          <w:p w14:paraId="4270471F" w14:textId="59A47A22" w:rsidR="00204461" w:rsidRPr="005C1713" w:rsidRDefault="00204461" w:rsidP="00204461">
            <w:pPr>
              <w:spacing w:before="120" w:after="120"/>
              <w:jc w:val="left"/>
              <w:rPr>
                <w:rFonts w:eastAsia="Arial"/>
                <w:sz w:val="20"/>
                <w:szCs w:val="20"/>
                <w:lang w:val="en-US"/>
              </w:rPr>
            </w:pPr>
            <w:r>
              <w:rPr>
                <w:rFonts w:eastAsia="Arial"/>
                <w:sz w:val="20"/>
                <w:szCs w:val="20"/>
                <w:lang w:val="en-US"/>
              </w:rPr>
              <w:t>Lifetime use was s</w:t>
            </w:r>
            <w:r w:rsidRPr="005C1713">
              <w:rPr>
                <w:rFonts w:eastAsia="Arial"/>
                <w:sz w:val="20"/>
                <w:szCs w:val="20"/>
                <w:lang w:val="en-US"/>
              </w:rPr>
              <w:t>ignificant</w:t>
            </w:r>
            <w:r w:rsidR="00F46CF1">
              <w:rPr>
                <w:rFonts w:eastAsia="Arial"/>
                <w:sz w:val="20"/>
                <w:szCs w:val="20"/>
                <w:lang w:val="en-US"/>
              </w:rPr>
              <w:t xml:space="preserve"> negative association</w:t>
            </w:r>
          </w:p>
        </w:tc>
      </w:tr>
      <w:tr w:rsidR="00443C43" w:rsidRPr="00443C43" w14:paraId="24E255B2"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0E1B38AD"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4559FFF7" w14:textId="77777777" w:rsidR="00443C43" w:rsidRPr="004C08AD" w:rsidRDefault="00443C43" w:rsidP="00443C43">
            <w:pPr>
              <w:spacing w:before="120" w:after="120"/>
              <w:jc w:val="left"/>
              <w:rPr>
                <w:rFonts w:eastAsia="Arial"/>
                <w:highlight w:val="yellow"/>
                <w:lang w:val="en-US"/>
                <w:rPrChange w:id="40" w:author="Dianna Wolfe" w:date="2021-11-22T13:19:00Z">
                  <w:rPr>
                    <w:rFonts w:eastAsia="Arial"/>
                    <w:lang w:val="en-US"/>
                  </w:rPr>
                </w:rPrChange>
              </w:rPr>
            </w:pPr>
          </w:p>
        </w:tc>
        <w:tc>
          <w:tcPr>
            <w:tcW w:w="1275" w:type="dxa"/>
            <w:vMerge/>
          </w:tcPr>
          <w:p w14:paraId="28BD8CA2" w14:textId="77777777" w:rsidR="00443C43" w:rsidRPr="004C08AD" w:rsidRDefault="00443C43" w:rsidP="00443C43">
            <w:pPr>
              <w:spacing w:before="120" w:after="120"/>
              <w:jc w:val="left"/>
              <w:rPr>
                <w:rFonts w:eastAsia="Arial"/>
                <w:sz w:val="20"/>
                <w:szCs w:val="20"/>
                <w:highlight w:val="yellow"/>
                <w:lang w:val="en-US"/>
                <w:rPrChange w:id="41" w:author="Dianna Wolfe" w:date="2021-11-22T13:19:00Z">
                  <w:rPr>
                    <w:rFonts w:eastAsia="Arial"/>
                    <w:sz w:val="20"/>
                    <w:szCs w:val="20"/>
                    <w:lang w:val="en-US"/>
                  </w:rPr>
                </w:rPrChange>
              </w:rPr>
            </w:pPr>
          </w:p>
        </w:tc>
        <w:tc>
          <w:tcPr>
            <w:tcW w:w="1418" w:type="dxa"/>
            <w:vMerge/>
            <w:shd w:val="clear" w:color="auto" w:fill="D9D9D9" w:themeFill="background1" w:themeFillShade="D9"/>
          </w:tcPr>
          <w:p w14:paraId="0AC8FDE5" w14:textId="77777777" w:rsidR="00443C43" w:rsidRPr="005C1713" w:rsidRDefault="00443C43" w:rsidP="00443C43">
            <w:pPr>
              <w:spacing w:before="120" w:after="120"/>
              <w:jc w:val="left"/>
              <w:rPr>
                <w:rFonts w:eastAsia="Arial"/>
                <w:sz w:val="20"/>
                <w:szCs w:val="20"/>
                <w:lang w:val="en-CA"/>
              </w:rPr>
            </w:pPr>
          </w:p>
        </w:tc>
        <w:tc>
          <w:tcPr>
            <w:tcW w:w="1134" w:type="dxa"/>
            <w:vMerge/>
          </w:tcPr>
          <w:p w14:paraId="5BC0E1E7" w14:textId="77777777" w:rsidR="00443C43" w:rsidRPr="005C1713" w:rsidRDefault="00443C43" w:rsidP="00443C43">
            <w:pPr>
              <w:spacing w:before="120" w:after="120"/>
              <w:jc w:val="left"/>
              <w:rPr>
                <w:rFonts w:eastAsia="Arial"/>
                <w:sz w:val="20"/>
                <w:szCs w:val="20"/>
                <w:lang w:val="en-US"/>
              </w:rPr>
            </w:pPr>
          </w:p>
        </w:tc>
        <w:tc>
          <w:tcPr>
            <w:tcW w:w="1478" w:type="dxa"/>
            <w:vMerge/>
          </w:tcPr>
          <w:p w14:paraId="11A73F1A" w14:textId="77777777" w:rsidR="00443C43" w:rsidRPr="005C1713" w:rsidRDefault="00443C43" w:rsidP="00443C43">
            <w:pPr>
              <w:spacing w:before="120" w:after="120"/>
              <w:jc w:val="left"/>
              <w:rPr>
                <w:rFonts w:eastAsia="Arial"/>
                <w:sz w:val="20"/>
                <w:szCs w:val="20"/>
                <w:lang w:val="en-US"/>
              </w:rPr>
            </w:pPr>
          </w:p>
        </w:tc>
        <w:tc>
          <w:tcPr>
            <w:tcW w:w="1215" w:type="dxa"/>
          </w:tcPr>
          <w:p w14:paraId="582C764D" w14:textId="1AB854DB" w:rsidR="00443C43" w:rsidRPr="005C1713" w:rsidRDefault="00204461" w:rsidP="00443C43">
            <w:pPr>
              <w:spacing w:before="120" w:after="120"/>
              <w:jc w:val="left"/>
              <w:rPr>
                <w:rFonts w:eastAsia="Arial"/>
                <w:sz w:val="16"/>
                <w:szCs w:val="16"/>
                <w:lang w:val="en-US"/>
              </w:rPr>
            </w:pPr>
            <w:r>
              <w:rPr>
                <w:rFonts w:eastAsia="Arial"/>
                <w:sz w:val="16"/>
                <w:szCs w:val="16"/>
                <w:lang w:val="en-US"/>
              </w:rPr>
              <w:t>All subcortical volumes; s</w:t>
            </w:r>
            <w:r w:rsidR="00443C43" w:rsidRPr="005C1713">
              <w:rPr>
                <w:rFonts w:eastAsia="Arial"/>
                <w:sz w:val="16"/>
                <w:szCs w:val="16"/>
                <w:lang w:val="en-US"/>
              </w:rPr>
              <w:t>urface-based morphometry automated segmentation</w:t>
            </w:r>
          </w:p>
        </w:tc>
        <w:tc>
          <w:tcPr>
            <w:tcW w:w="1276" w:type="dxa"/>
          </w:tcPr>
          <w:p w14:paraId="3CC3481B"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2AB20F5F" w14:textId="00625013" w:rsidR="00443C43" w:rsidRPr="00DF7588" w:rsidRDefault="005C1713" w:rsidP="00443C43">
            <w:pPr>
              <w:spacing w:before="120" w:after="120"/>
              <w:jc w:val="left"/>
              <w:rPr>
                <w:rFonts w:eastAsia="Arial"/>
                <w:sz w:val="16"/>
                <w:szCs w:val="16"/>
                <w:lang w:val="en-US"/>
              </w:rPr>
            </w:pPr>
            <w:r w:rsidRPr="005C1713">
              <w:rPr>
                <w:rFonts w:eastAsia="Arial"/>
                <w:sz w:val="16"/>
                <w:szCs w:val="16"/>
                <w:lang w:val="en-US"/>
              </w:rPr>
              <w:t>Un</w:t>
            </w:r>
            <w:r w:rsidR="00443C43" w:rsidRPr="005C1713">
              <w:rPr>
                <w:rFonts w:eastAsia="Arial"/>
                <w:sz w:val="16"/>
                <w:szCs w:val="16"/>
                <w:lang w:val="en-US"/>
              </w:rPr>
              <w:t>ivaria</w:t>
            </w:r>
            <w:r w:rsidR="00443C43" w:rsidRPr="0018385C">
              <w:rPr>
                <w:rFonts w:eastAsia="Arial"/>
                <w:sz w:val="16"/>
                <w:szCs w:val="16"/>
                <w:lang w:val="en-US"/>
              </w:rPr>
              <w:t>ble</w:t>
            </w:r>
          </w:p>
        </w:tc>
        <w:tc>
          <w:tcPr>
            <w:tcW w:w="1316" w:type="dxa"/>
            <w:shd w:val="clear" w:color="auto" w:fill="BFBFBF"/>
          </w:tcPr>
          <w:p w14:paraId="0C048801" w14:textId="77777777" w:rsidR="00443C43" w:rsidRPr="005C75E3" w:rsidRDefault="00443C43" w:rsidP="00443C43">
            <w:pPr>
              <w:spacing w:before="120" w:after="120"/>
              <w:jc w:val="left"/>
              <w:rPr>
                <w:rFonts w:eastAsia="Arial"/>
                <w:sz w:val="20"/>
                <w:szCs w:val="20"/>
                <w:lang w:val="en-US"/>
              </w:rPr>
            </w:pPr>
            <w:r w:rsidRPr="00DF7588">
              <w:rPr>
                <w:rFonts w:eastAsia="Arial"/>
                <w:sz w:val="20"/>
                <w:szCs w:val="20"/>
                <w:lang w:val="en-US"/>
              </w:rPr>
              <w:t>Non-significant (effect direction not reported)</w:t>
            </w:r>
          </w:p>
        </w:tc>
      </w:tr>
      <w:tr w:rsidR="00443C43" w:rsidRPr="00443C43" w14:paraId="5CD463C6" w14:textId="77777777" w:rsidTr="00CF2505">
        <w:tc>
          <w:tcPr>
            <w:tcW w:w="1413" w:type="dxa"/>
            <w:vMerge/>
          </w:tcPr>
          <w:p w14:paraId="19FE6482"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4F6296B5" w14:textId="77777777" w:rsidR="00443C43" w:rsidRPr="004C08AD" w:rsidRDefault="00443C43" w:rsidP="00443C43">
            <w:pPr>
              <w:spacing w:before="120" w:after="120"/>
              <w:jc w:val="left"/>
              <w:rPr>
                <w:rFonts w:eastAsia="Arial"/>
                <w:highlight w:val="yellow"/>
                <w:lang w:val="en-US"/>
                <w:rPrChange w:id="42" w:author="Dianna Wolfe" w:date="2021-11-22T13:19:00Z">
                  <w:rPr>
                    <w:rFonts w:eastAsia="Arial"/>
                    <w:lang w:val="en-US"/>
                  </w:rPr>
                </w:rPrChange>
              </w:rPr>
            </w:pPr>
          </w:p>
        </w:tc>
        <w:tc>
          <w:tcPr>
            <w:tcW w:w="1275" w:type="dxa"/>
            <w:vMerge/>
          </w:tcPr>
          <w:p w14:paraId="143C8289" w14:textId="77777777" w:rsidR="00443C43" w:rsidRPr="004C08AD" w:rsidRDefault="00443C43" w:rsidP="00443C43">
            <w:pPr>
              <w:spacing w:before="120" w:after="120"/>
              <w:jc w:val="left"/>
              <w:rPr>
                <w:rFonts w:eastAsia="Arial"/>
                <w:sz w:val="20"/>
                <w:szCs w:val="20"/>
                <w:highlight w:val="yellow"/>
                <w:lang w:val="en-US"/>
                <w:rPrChange w:id="43" w:author="Dianna Wolfe" w:date="2021-11-22T13:19:00Z">
                  <w:rPr>
                    <w:rFonts w:eastAsia="Arial"/>
                    <w:sz w:val="20"/>
                    <w:szCs w:val="20"/>
                    <w:lang w:val="en-US"/>
                  </w:rPr>
                </w:rPrChange>
              </w:rPr>
            </w:pPr>
          </w:p>
        </w:tc>
        <w:tc>
          <w:tcPr>
            <w:tcW w:w="1418" w:type="dxa"/>
            <w:vMerge/>
            <w:shd w:val="clear" w:color="auto" w:fill="D9D9D9" w:themeFill="background1" w:themeFillShade="D9"/>
          </w:tcPr>
          <w:p w14:paraId="70688102" w14:textId="77777777" w:rsidR="00443C43" w:rsidRPr="005C1713" w:rsidRDefault="00443C43" w:rsidP="00443C43">
            <w:pPr>
              <w:spacing w:before="120" w:after="120"/>
              <w:jc w:val="left"/>
              <w:rPr>
                <w:rFonts w:eastAsia="Arial"/>
                <w:sz w:val="20"/>
                <w:szCs w:val="20"/>
                <w:lang w:val="en-CA"/>
              </w:rPr>
            </w:pPr>
          </w:p>
        </w:tc>
        <w:tc>
          <w:tcPr>
            <w:tcW w:w="1134" w:type="dxa"/>
            <w:vMerge/>
          </w:tcPr>
          <w:p w14:paraId="742A0F40" w14:textId="77777777" w:rsidR="00443C43" w:rsidRPr="005C1713" w:rsidRDefault="00443C43" w:rsidP="00443C43">
            <w:pPr>
              <w:spacing w:before="120" w:after="120"/>
              <w:jc w:val="left"/>
              <w:rPr>
                <w:rFonts w:eastAsia="Arial"/>
                <w:sz w:val="20"/>
                <w:szCs w:val="20"/>
                <w:lang w:val="en-US"/>
              </w:rPr>
            </w:pPr>
          </w:p>
        </w:tc>
        <w:tc>
          <w:tcPr>
            <w:tcW w:w="1478" w:type="dxa"/>
            <w:vMerge/>
          </w:tcPr>
          <w:p w14:paraId="0C980F40" w14:textId="77777777" w:rsidR="00443C43" w:rsidRPr="005C1713" w:rsidRDefault="00443C43" w:rsidP="00443C43">
            <w:pPr>
              <w:spacing w:before="120" w:after="120"/>
              <w:jc w:val="left"/>
              <w:rPr>
                <w:rFonts w:eastAsia="Arial"/>
                <w:sz w:val="20"/>
                <w:szCs w:val="20"/>
                <w:lang w:val="en-US"/>
              </w:rPr>
            </w:pPr>
          </w:p>
        </w:tc>
        <w:tc>
          <w:tcPr>
            <w:tcW w:w="1215" w:type="dxa"/>
          </w:tcPr>
          <w:p w14:paraId="408DCD9C" w14:textId="0E4AB82A" w:rsidR="00443C43" w:rsidRPr="005C1713" w:rsidRDefault="00204461" w:rsidP="00443C43">
            <w:pPr>
              <w:spacing w:before="120" w:after="120"/>
              <w:jc w:val="left"/>
              <w:rPr>
                <w:rFonts w:eastAsia="Arial"/>
                <w:sz w:val="16"/>
                <w:szCs w:val="16"/>
                <w:lang w:val="en-US"/>
              </w:rPr>
            </w:pPr>
            <w:r>
              <w:rPr>
                <w:rFonts w:eastAsia="Arial"/>
                <w:sz w:val="16"/>
                <w:szCs w:val="16"/>
                <w:lang w:val="en-US"/>
              </w:rPr>
              <w:t xml:space="preserve">All subcortical volumes; </w:t>
            </w:r>
            <w:r w:rsidR="00443C43" w:rsidRPr="005C1713">
              <w:rPr>
                <w:rFonts w:eastAsia="Arial"/>
                <w:sz w:val="16"/>
                <w:szCs w:val="16"/>
                <w:lang w:val="en-US"/>
              </w:rPr>
              <w:t>Voxel-based morphometry automated segmentation</w:t>
            </w:r>
          </w:p>
        </w:tc>
        <w:tc>
          <w:tcPr>
            <w:tcW w:w="1276" w:type="dxa"/>
          </w:tcPr>
          <w:p w14:paraId="1B15BED4"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2C4686BC" w14:textId="1972581A" w:rsidR="00443C43" w:rsidRPr="0018385C" w:rsidRDefault="005C1713" w:rsidP="00443C43">
            <w:pPr>
              <w:spacing w:before="120" w:after="120"/>
              <w:jc w:val="left"/>
              <w:rPr>
                <w:rFonts w:eastAsia="Arial"/>
                <w:sz w:val="16"/>
                <w:szCs w:val="16"/>
                <w:lang w:val="en-US"/>
              </w:rPr>
            </w:pPr>
            <w:r w:rsidRPr="005C1713">
              <w:rPr>
                <w:rFonts w:eastAsia="Arial"/>
                <w:sz w:val="16"/>
                <w:szCs w:val="16"/>
                <w:lang w:val="en-US"/>
              </w:rPr>
              <w:t>Un</w:t>
            </w:r>
            <w:r w:rsidR="00443C43" w:rsidRPr="005C1713">
              <w:rPr>
                <w:rFonts w:eastAsia="Arial"/>
                <w:sz w:val="16"/>
                <w:szCs w:val="16"/>
                <w:lang w:val="en-US"/>
              </w:rPr>
              <w:t>ivariable</w:t>
            </w:r>
          </w:p>
        </w:tc>
        <w:tc>
          <w:tcPr>
            <w:tcW w:w="1316" w:type="dxa"/>
            <w:shd w:val="clear" w:color="auto" w:fill="BFBFBF"/>
          </w:tcPr>
          <w:p w14:paraId="28ABAB39" w14:textId="77777777" w:rsidR="00443C43" w:rsidRPr="00DF7588" w:rsidRDefault="00443C43" w:rsidP="00443C43">
            <w:pPr>
              <w:spacing w:before="120" w:after="120"/>
              <w:jc w:val="left"/>
              <w:rPr>
                <w:rFonts w:eastAsia="Arial"/>
                <w:sz w:val="20"/>
                <w:szCs w:val="20"/>
                <w:lang w:val="en-US"/>
              </w:rPr>
            </w:pPr>
            <w:r w:rsidRPr="00DF7588">
              <w:rPr>
                <w:rFonts w:eastAsia="Arial"/>
                <w:sz w:val="20"/>
                <w:szCs w:val="20"/>
                <w:lang w:val="en-US"/>
              </w:rPr>
              <w:t>Non-significant (effect direction not reported)</w:t>
            </w:r>
          </w:p>
        </w:tc>
      </w:tr>
      <w:tr w:rsidR="00443C43" w:rsidRPr="00443C43" w14:paraId="466515D3"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5B049A5D"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5AA2D027" w14:textId="77777777" w:rsidR="00443C43" w:rsidRPr="004C08AD" w:rsidRDefault="00443C43" w:rsidP="00443C43">
            <w:pPr>
              <w:spacing w:before="120" w:after="120"/>
              <w:jc w:val="left"/>
              <w:rPr>
                <w:rFonts w:eastAsia="Arial"/>
                <w:highlight w:val="yellow"/>
                <w:lang w:val="en-US"/>
                <w:rPrChange w:id="44" w:author="Dianna Wolfe" w:date="2021-11-22T13:19:00Z">
                  <w:rPr>
                    <w:rFonts w:eastAsia="Arial"/>
                    <w:lang w:val="en-US"/>
                  </w:rPr>
                </w:rPrChange>
              </w:rPr>
            </w:pPr>
          </w:p>
        </w:tc>
        <w:tc>
          <w:tcPr>
            <w:tcW w:w="1275" w:type="dxa"/>
            <w:vMerge/>
          </w:tcPr>
          <w:p w14:paraId="3318575D" w14:textId="77777777" w:rsidR="00443C43" w:rsidRPr="004C08AD" w:rsidRDefault="00443C43" w:rsidP="00443C43">
            <w:pPr>
              <w:spacing w:before="120" w:after="120"/>
              <w:jc w:val="left"/>
              <w:rPr>
                <w:rFonts w:eastAsia="Arial"/>
                <w:sz w:val="20"/>
                <w:szCs w:val="20"/>
                <w:highlight w:val="yellow"/>
                <w:lang w:val="en-US"/>
                <w:rPrChange w:id="45" w:author="Dianna Wolfe" w:date="2021-11-22T13:19:00Z">
                  <w:rPr>
                    <w:rFonts w:eastAsia="Arial"/>
                    <w:sz w:val="20"/>
                    <w:szCs w:val="20"/>
                    <w:lang w:val="en-US"/>
                  </w:rPr>
                </w:rPrChange>
              </w:rPr>
            </w:pPr>
          </w:p>
        </w:tc>
        <w:tc>
          <w:tcPr>
            <w:tcW w:w="1418" w:type="dxa"/>
            <w:vMerge/>
            <w:shd w:val="clear" w:color="auto" w:fill="D9D9D9" w:themeFill="background1" w:themeFillShade="D9"/>
          </w:tcPr>
          <w:p w14:paraId="47DC538A" w14:textId="77777777" w:rsidR="00443C43" w:rsidRPr="005C1713" w:rsidRDefault="00443C43" w:rsidP="00443C43">
            <w:pPr>
              <w:spacing w:before="120" w:after="120"/>
              <w:jc w:val="left"/>
              <w:rPr>
                <w:rFonts w:eastAsia="Arial"/>
                <w:sz w:val="20"/>
                <w:szCs w:val="20"/>
                <w:lang w:val="en-CA"/>
              </w:rPr>
            </w:pPr>
          </w:p>
        </w:tc>
        <w:tc>
          <w:tcPr>
            <w:tcW w:w="1134" w:type="dxa"/>
            <w:vMerge/>
          </w:tcPr>
          <w:p w14:paraId="6A7DBD48" w14:textId="77777777" w:rsidR="00443C43" w:rsidRPr="005C1713" w:rsidRDefault="00443C43" w:rsidP="00443C43">
            <w:pPr>
              <w:spacing w:before="120" w:after="120"/>
              <w:jc w:val="left"/>
              <w:rPr>
                <w:rFonts w:eastAsia="Arial"/>
                <w:sz w:val="20"/>
                <w:szCs w:val="20"/>
                <w:lang w:val="en-US"/>
              </w:rPr>
            </w:pPr>
          </w:p>
        </w:tc>
        <w:tc>
          <w:tcPr>
            <w:tcW w:w="1478" w:type="dxa"/>
            <w:vMerge w:val="restart"/>
          </w:tcPr>
          <w:p w14:paraId="74D35F6D"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Total brain volume</w:t>
            </w:r>
          </w:p>
        </w:tc>
        <w:tc>
          <w:tcPr>
            <w:tcW w:w="1215" w:type="dxa"/>
          </w:tcPr>
          <w:p w14:paraId="6C00C47E" w14:textId="1C345EEB" w:rsidR="00443C43" w:rsidRPr="005C1713" w:rsidRDefault="00204461" w:rsidP="00443C43">
            <w:pPr>
              <w:spacing w:before="120" w:after="120"/>
              <w:jc w:val="left"/>
              <w:rPr>
                <w:rFonts w:eastAsia="Arial"/>
                <w:sz w:val="16"/>
                <w:szCs w:val="16"/>
                <w:lang w:val="en-US"/>
              </w:rPr>
            </w:pPr>
            <w:r>
              <w:rPr>
                <w:rFonts w:eastAsia="Arial"/>
                <w:sz w:val="16"/>
                <w:szCs w:val="16"/>
                <w:lang w:val="en-US"/>
              </w:rPr>
              <w:t>G</w:t>
            </w:r>
            <w:r w:rsidRPr="005C1713">
              <w:rPr>
                <w:rFonts w:eastAsia="Arial"/>
                <w:sz w:val="16"/>
                <w:szCs w:val="16"/>
                <w:lang w:val="en-US"/>
              </w:rPr>
              <w:t>lobal structural volume</w:t>
            </w:r>
            <w:r>
              <w:rPr>
                <w:rFonts w:eastAsia="Arial"/>
                <w:sz w:val="16"/>
                <w:szCs w:val="16"/>
                <w:lang w:val="en-US"/>
              </w:rPr>
              <w:t>; s</w:t>
            </w:r>
            <w:r w:rsidR="00443C43" w:rsidRPr="005C1713">
              <w:rPr>
                <w:rFonts w:eastAsia="Arial"/>
                <w:sz w:val="16"/>
                <w:szCs w:val="16"/>
                <w:lang w:val="en-US"/>
              </w:rPr>
              <w:t>urface-based morphometry automated segmentation</w:t>
            </w:r>
          </w:p>
        </w:tc>
        <w:tc>
          <w:tcPr>
            <w:tcW w:w="1276" w:type="dxa"/>
          </w:tcPr>
          <w:p w14:paraId="747F0530"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47F70689" w14:textId="031E9BD7" w:rsidR="00443C43" w:rsidRPr="0018385C" w:rsidRDefault="005C1713" w:rsidP="00443C43">
            <w:pPr>
              <w:spacing w:before="120" w:after="120"/>
              <w:jc w:val="left"/>
              <w:rPr>
                <w:rFonts w:eastAsia="Arial"/>
                <w:sz w:val="16"/>
                <w:szCs w:val="16"/>
                <w:lang w:val="en-US"/>
              </w:rPr>
            </w:pPr>
            <w:r w:rsidRPr="005C1713">
              <w:rPr>
                <w:rFonts w:eastAsia="Arial"/>
                <w:sz w:val="16"/>
                <w:szCs w:val="16"/>
                <w:lang w:val="en-US"/>
              </w:rPr>
              <w:t>Un</w:t>
            </w:r>
            <w:r w:rsidR="00443C43" w:rsidRPr="005C1713">
              <w:rPr>
                <w:rFonts w:eastAsia="Arial"/>
                <w:sz w:val="16"/>
                <w:szCs w:val="16"/>
                <w:lang w:val="en-US"/>
              </w:rPr>
              <w:t>ivariable</w:t>
            </w:r>
          </w:p>
        </w:tc>
        <w:tc>
          <w:tcPr>
            <w:tcW w:w="1316" w:type="dxa"/>
            <w:shd w:val="clear" w:color="auto" w:fill="BFBFBF"/>
          </w:tcPr>
          <w:p w14:paraId="6AC29899" w14:textId="77777777" w:rsidR="00443C43" w:rsidRPr="00DF7588" w:rsidRDefault="00443C43" w:rsidP="00443C43">
            <w:pPr>
              <w:spacing w:before="120" w:after="120"/>
              <w:jc w:val="left"/>
              <w:rPr>
                <w:rFonts w:eastAsia="Arial"/>
                <w:sz w:val="20"/>
                <w:szCs w:val="20"/>
                <w:lang w:val="en-US"/>
              </w:rPr>
            </w:pPr>
            <w:r w:rsidRPr="00DF7588">
              <w:rPr>
                <w:rFonts w:eastAsia="Arial"/>
                <w:sz w:val="20"/>
                <w:szCs w:val="20"/>
                <w:lang w:val="en-US"/>
              </w:rPr>
              <w:t>Non-significant (effect direction not reported)</w:t>
            </w:r>
          </w:p>
        </w:tc>
      </w:tr>
      <w:tr w:rsidR="00443C43" w:rsidRPr="00443C43" w14:paraId="4F7F8FC1" w14:textId="77777777" w:rsidTr="00CF2505">
        <w:tc>
          <w:tcPr>
            <w:tcW w:w="1413" w:type="dxa"/>
            <w:vMerge/>
          </w:tcPr>
          <w:p w14:paraId="2F031D3D"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258581FB" w14:textId="77777777" w:rsidR="00443C43" w:rsidRPr="004C08AD" w:rsidRDefault="00443C43" w:rsidP="00443C43">
            <w:pPr>
              <w:spacing w:before="120" w:after="120"/>
              <w:jc w:val="left"/>
              <w:rPr>
                <w:rFonts w:eastAsia="Arial"/>
                <w:highlight w:val="yellow"/>
                <w:lang w:val="en-US"/>
                <w:rPrChange w:id="46" w:author="Dianna Wolfe" w:date="2021-11-22T13:19:00Z">
                  <w:rPr>
                    <w:rFonts w:eastAsia="Arial"/>
                    <w:lang w:val="en-US"/>
                  </w:rPr>
                </w:rPrChange>
              </w:rPr>
            </w:pPr>
          </w:p>
        </w:tc>
        <w:tc>
          <w:tcPr>
            <w:tcW w:w="1275" w:type="dxa"/>
            <w:vMerge/>
          </w:tcPr>
          <w:p w14:paraId="0DD84557" w14:textId="77777777" w:rsidR="00443C43" w:rsidRPr="004C08AD" w:rsidRDefault="00443C43" w:rsidP="00443C43">
            <w:pPr>
              <w:spacing w:before="120" w:after="120"/>
              <w:jc w:val="left"/>
              <w:rPr>
                <w:rFonts w:eastAsia="Arial"/>
                <w:sz w:val="20"/>
                <w:szCs w:val="20"/>
                <w:highlight w:val="yellow"/>
                <w:lang w:val="en-US"/>
                <w:rPrChange w:id="47" w:author="Dianna Wolfe" w:date="2021-11-22T13:19:00Z">
                  <w:rPr>
                    <w:rFonts w:eastAsia="Arial"/>
                    <w:sz w:val="20"/>
                    <w:szCs w:val="20"/>
                    <w:lang w:val="en-US"/>
                  </w:rPr>
                </w:rPrChange>
              </w:rPr>
            </w:pPr>
          </w:p>
        </w:tc>
        <w:tc>
          <w:tcPr>
            <w:tcW w:w="1418" w:type="dxa"/>
            <w:vMerge/>
            <w:shd w:val="clear" w:color="auto" w:fill="D9D9D9" w:themeFill="background1" w:themeFillShade="D9"/>
          </w:tcPr>
          <w:p w14:paraId="3CE8D533" w14:textId="77777777" w:rsidR="00443C43" w:rsidRPr="005C1713" w:rsidRDefault="00443C43" w:rsidP="00443C43">
            <w:pPr>
              <w:spacing w:before="120" w:after="120"/>
              <w:jc w:val="left"/>
              <w:rPr>
                <w:rFonts w:eastAsia="Arial"/>
                <w:sz w:val="20"/>
                <w:szCs w:val="20"/>
                <w:lang w:val="en-CA"/>
              </w:rPr>
            </w:pPr>
          </w:p>
        </w:tc>
        <w:tc>
          <w:tcPr>
            <w:tcW w:w="1134" w:type="dxa"/>
            <w:vMerge/>
          </w:tcPr>
          <w:p w14:paraId="4B47E104" w14:textId="77777777" w:rsidR="00443C43" w:rsidRPr="005C1713" w:rsidRDefault="00443C43" w:rsidP="00443C43">
            <w:pPr>
              <w:spacing w:before="120" w:after="120"/>
              <w:jc w:val="left"/>
              <w:rPr>
                <w:rFonts w:eastAsia="Arial"/>
                <w:sz w:val="20"/>
                <w:szCs w:val="20"/>
                <w:lang w:val="en-US"/>
              </w:rPr>
            </w:pPr>
          </w:p>
        </w:tc>
        <w:tc>
          <w:tcPr>
            <w:tcW w:w="1478" w:type="dxa"/>
            <w:vMerge/>
          </w:tcPr>
          <w:p w14:paraId="1F9027FA" w14:textId="77777777" w:rsidR="00443C43" w:rsidRPr="005C1713" w:rsidRDefault="00443C43" w:rsidP="00443C43">
            <w:pPr>
              <w:spacing w:before="120" w:after="120"/>
              <w:jc w:val="left"/>
              <w:rPr>
                <w:rFonts w:eastAsia="Arial"/>
                <w:sz w:val="20"/>
                <w:szCs w:val="20"/>
                <w:lang w:val="en-US"/>
              </w:rPr>
            </w:pPr>
          </w:p>
        </w:tc>
        <w:tc>
          <w:tcPr>
            <w:tcW w:w="1215" w:type="dxa"/>
          </w:tcPr>
          <w:p w14:paraId="785A6D45" w14:textId="6AE65AC4" w:rsidR="00443C43" w:rsidRPr="005C1713" w:rsidRDefault="00204461" w:rsidP="00443C43">
            <w:pPr>
              <w:spacing w:before="120" w:after="120"/>
              <w:jc w:val="left"/>
              <w:rPr>
                <w:rFonts w:eastAsia="Arial"/>
                <w:sz w:val="16"/>
                <w:szCs w:val="16"/>
                <w:lang w:val="en-US"/>
              </w:rPr>
            </w:pPr>
            <w:r>
              <w:rPr>
                <w:rFonts w:eastAsia="Arial"/>
                <w:sz w:val="16"/>
                <w:szCs w:val="16"/>
                <w:lang w:val="en-US"/>
              </w:rPr>
              <w:t>G</w:t>
            </w:r>
            <w:r w:rsidRPr="005C1713">
              <w:rPr>
                <w:rFonts w:eastAsia="Arial"/>
                <w:sz w:val="16"/>
                <w:szCs w:val="16"/>
                <w:lang w:val="en-US"/>
              </w:rPr>
              <w:t>lobal structural volume</w:t>
            </w:r>
            <w:r>
              <w:rPr>
                <w:rFonts w:eastAsia="Arial"/>
                <w:sz w:val="16"/>
                <w:szCs w:val="16"/>
                <w:lang w:val="en-US"/>
              </w:rPr>
              <w:t xml:space="preserve">; </w:t>
            </w:r>
            <w:r w:rsidR="00443C43" w:rsidRPr="005C1713">
              <w:rPr>
                <w:rFonts w:eastAsia="Arial"/>
                <w:sz w:val="16"/>
                <w:szCs w:val="16"/>
                <w:lang w:val="en-US"/>
              </w:rPr>
              <w:t>Voxel-based morphometry automated segmentation</w:t>
            </w:r>
          </w:p>
        </w:tc>
        <w:tc>
          <w:tcPr>
            <w:tcW w:w="1276" w:type="dxa"/>
          </w:tcPr>
          <w:p w14:paraId="401EECE6" w14:textId="77777777" w:rsidR="00443C43" w:rsidRPr="005C1713" w:rsidRDefault="00443C43" w:rsidP="00443C43">
            <w:pPr>
              <w:spacing w:before="120" w:after="120"/>
              <w:jc w:val="left"/>
              <w:rPr>
                <w:rFonts w:eastAsia="Arial"/>
                <w:sz w:val="20"/>
                <w:szCs w:val="20"/>
                <w:lang w:val="en-US"/>
              </w:rPr>
            </w:pPr>
            <w:r w:rsidRPr="005C1713">
              <w:rPr>
                <w:rFonts w:eastAsia="Arial"/>
                <w:sz w:val="20"/>
                <w:szCs w:val="20"/>
                <w:lang w:val="en-US"/>
              </w:rPr>
              <w:t>NA</w:t>
            </w:r>
          </w:p>
        </w:tc>
        <w:tc>
          <w:tcPr>
            <w:tcW w:w="1149" w:type="dxa"/>
          </w:tcPr>
          <w:p w14:paraId="7D72FEB4" w14:textId="57748B23" w:rsidR="00443C43" w:rsidRPr="0018385C" w:rsidRDefault="005C1713" w:rsidP="00443C43">
            <w:pPr>
              <w:spacing w:before="120" w:after="120"/>
              <w:jc w:val="left"/>
              <w:rPr>
                <w:rFonts w:eastAsia="Arial"/>
                <w:sz w:val="16"/>
                <w:szCs w:val="16"/>
                <w:lang w:val="en-US"/>
              </w:rPr>
            </w:pPr>
            <w:r w:rsidRPr="005C1713">
              <w:rPr>
                <w:rFonts w:eastAsia="Arial"/>
                <w:sz w:val="16"/>
                <w:szCs w:val="16"/>
                <w:lang w:val="en-US"/>
              </w:rPr>
              <w:t>Un</w:t>
            </w:r>
            <w:r w:rsidR="00443C43" w:rsidRPr="005C1713">
              <w:rPr>
                <w:rFonts w:eastAsia="Arial"/>
                <w:sz w:val="16"/>
                <w:szCs w:val="16"/>
                <w:lang w:val="en-US"/>
              </w:rPr>
              <w:t>ivariable</w:t>
            </w:r>
          </w:p>
        </w:tc>
        <w:tc>
          <w:tcPr>
            <w:tcW w:w="1316" w:type="dxa"/>
            <w:shd w:val="clear" w:color="auto" w:fill="BFBFBF"/>
          </w:tcPr>
          <w:p w14:paraId="3FA246B6" w14:textId="77777777" w:rsidR="00443C43" w:rsidRPr="005C75E3" w:rsidRDefault="00443C43" w:rsidP="00443C43">
            <w:pPr>
              <w:spacing w:before="120" w:after="120"/>
              <w:jc w:val="left"/>
              <w:rPr>
                <w:rFonts w:eastAsia="Arial"/>
                <w:sz w:val="20"/>
                <w:szCs w:val="20"/>
                <w:lang w:val="en-US"/>
              </w:rPr>
            </w:pPr>
            <w:r w:rsidRPr="00DF7588">
              <w:rPr>
                <w:rFonts w:eastAsia="Arial"/>
                <w:sz w:val="20"/>
                <w:szCs w:val="20"/>
                <w:lang w:val="en-US"/>
              </w:rPr>
              <w:t>Non-significant (effect direction not reported)</w:t>
            </w:r>
          </w:p>
        </w:tc>
      </w:tr>
      <w:tr w:rsidR="00443C43" w:rsidRPr="00443C43" w14:paraId="046F8FA2"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tcPr>
          <w:p w14:paraId="6BBABE92" w14:textId="77777777" w:rsidR="00443C43" w:rsidRPr="00443C43" w:rsidRDefault="00443C43" w:rsidP="00443C43">
            <w:pPr>
              <w:spacing w:before="120" w:after="120"/>
              <w:jc w:val="left"/>
              <w:rPr>
                <w:rFonts w:eastAsia="Arial"/>
                <w:b/>
                <w:bCs/>
                <w:sz w:val="20"/>
                <w:szCs w:val="20"/>
                <w:lang w:val="en-US"/>
              </w:rPr>
            </w:pPr>
            <w:r w:rsidRPr="00AC7042">
              <w:rPr>
                <w:rFonts w:eastAsia="Arial"/>
                <w:b/>
                <w:bCs/>
                <w:sz w:val="20"/>
                <w:szCs w:val="20"/>
                <w:lang w:val="en-US"/>
              </w:rPr>
              <w:t>Modes of consumption</w:t>
            </w:r>
          </w:p>
        </w:tc>
        <w:tc>
          <w:tcPr>
            <w:tcW w:w="1276" w:type="dxa"/>
          </w:tcPr>
          <w:p w14:paraId="762DD09C" w14:textId="77777777" w:rsidR="00443C43" w:rsidRPr="00443C43" w:rsidRDefault="00443C43" w:rsidP="00443C43">
            <w:pPr>
              <w:spacing w:before="120" w:after="120"/>
              <w:jc w:val="left"/>
              <w:rPr>
                <w:rFonts w:eastAsia="Arial"/>
                <w:lang w:val="en-US"/>
              </w:rPr>
            </w:pPr>
            <w:r w:rsidRPr="00443C43">
              <w:rPr>
                <w:rFonts w:eastAsia="Arial"/>
                <w:lang w:val="en-US"/>
              </w:rPr>
              <w:t>End-stage cancer</w:t>
            </w:r>
          </w:p>
        </w:tc>
        <w:tc>
          <w:tcPr>
            <w:tcW w:w="1275" w:type="dxa"/>
          </w:tcPr>
          <w:p w14:paraId="56A8EE53" w14:textId="7F645FCD"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Taha et al., 2019</w:t>
            </w:r>
            <w:r w:rsidR="0065786C" w:rsidRPr="0065786C">
              <w:rPr>
                <w:sz w:val="20"/>
                <w:szCs w:val="24"/>
                <w:vertAlign w:val="superscript"/>
              </w:rPr>
              <w:t>151</w:t>
            </w:r>
          </w:p>
          <w:p w14:paraId="29CBD785" w14:textId="77777777" w:rsidR="00443C43" w:rsidRPr="00443C43" w:rsidRDefault="00443C43" w:rsidP="00443C43">
            <w:pPr>
              <w:spacing w:before="120" w:after="120"/>
              <w:jc w:val="left"/>
              <w:rPr>
                <w:rFonts w:eastAsia="Arial"/>
                <w:sz w:val="20"/>
                <w:szCs w:val="20"/>
                <w:lang w:val="en-US"/>
              </w:rPr>
            </w:pPr>
            <w:r w:rsidRPr="00443C43">
              <w:rPr>
                <w:rFonts w:eastAsia="Arial"/>
                <w:sz w:val="16"/>
                <w:szCs w:val="16"/>
                <w:lang w:val="en-US"/>
              </w:rPr>
              <w:t>Retrospective cohort</w:t>
            </w:r>
          </w:p>
        </w:tc>
        <w:tc>
          <w:tcPr>
            <w:tcW w:w="1418" w:type="dxa"/>
            <w:shd w:val="clear" w:color="auto" w:fill="D9D9D9" w:themeFill="background1" w:themeFillShade="D9"/>
          </w:tcPr>
          <w:p w14:paraId="0C17DC57" w14:textId="77777777" w:rsidR="00443C43" w:rsidRPr="00443C43" w:rsidRDefault="00443C43" w:rsidP="00443C43">
            <w:pPr>
              <w:spacing w:before="120" w:after="120"/>
              <w:jc w:val="left"/>
              <w:rPr>
                <w:rFonts w:eastAsia="Arial"/>
                <w:sz w:val="20"/>
                <w:szCs w:val="20"/>
                <w:lang w:val="en-CA"/>
              </w:rPr>
            </w:pPr>
            <w:r w:rsidRPr="00443C43">
              <w:rPr>
                <w:rFonts w:eastAsia="Arial"/>
                <w:sz w:val="20"/>
                <w:szCs w:val="20"/>
                <w:lang w:val="en-CA"/>
              </w:rPr>
              <w:t xml:space="preserve">Overall effect comparing smoked/ inhaled vs oil </w:t>
            </w:r>
            <w:r w:rsidRPr="00443C43">
              <w:rPr>
                <w:rFonts w:eastAsia="Arial"/>
                <w:sz w:val="20"/>
                <w:szCs w:val="20"/>
                <w:lang w:val="en-CA"/>
              </w:rPr>
              <w:lastRenderedPageBreak/>
              <w:t>vs combined smoked + oil</w:t>
            </w:r>
          </w:p>
        </w:tc>
        <w:tc>
          <w:tcPr>
            <w:tcW w:w="1134" w:type="dxa"/>
          </w:tcPr>
          <w:p w14:paraId="0A6CB2FA"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 xml:space="preserve">Medical cannabis of varying THC:CBD ratios, </w:t>
            </w:r>
            <w:r w:rsidRPr="00443C43">
              <w:rPr>
                <w:rFonts w:eastAsia="Arial"/>
                <w:sz w:val="20"/>
                <w:szCs w:val="20"/>
                <w:lang w:val="en-US"/>
              </w:rPr>
              <w:lastRenderedPageBreak/>
              <w:t>supplied from six different companies in Israel</w:t>
            </w:r>
          </w:p>
        </w:tc>
        <w:tc>
          <w:tcPr>
            <w:tcW w:w="1478" w:type="dxa"/>
          </w:tcPr>
          <w:p w14:paraId="071ACB3C"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Response to treatment of another therapy</w:t>
            </w:r>
          </w:p>
        </w:tc>
        <w:tc>
          <w:tcPr>
            <w:tcW w:w="1215" w:type="dxa"/>
          </w:tcPr>
          <w:p w14:paraId="29F368EE"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 xml:space="preserve">Percent of patients with complete or partial response to nivolumab for advanced lung </w:t>
            </w:r>
            <w:r w:rsidRPr="00443C43">
              <w:rPr>
                <w:rFonts w:eastAsia="Arial"/>
                <w:sz w:val="16"/>
                <w:szCs w:val="16"/>
                <w:lang w:val="en-US"/>
              </w:rPr>
              <w:lastRenderedPageBreak/>
              <w:t>cancer, renal carcinoma, or malignant melanoma</w:t>
            </w:r>
          </w:p>
        </w:tc>
        <w:tc>
          <w:tcPr>
            <w:tcW w:w="1276" w:type="dxa"/>
          </w:tcPr>
          <w:p w14:paraId="7A0D4BC6"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lastRenderedPageBreak/>
              <w:t>NA</w:t>
            </w:r>
          </w:p>
        </w:tc>
        <w:tc>
          <w:tcPr>
            <w:tcW w:w="1149" w:type="dxa"/>
          </w:tcPr>
          <w:p w14:paraId="6B20D88C"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BFBFBF"/>
          </w:tcPr>
          <w:p w14:paraId="6620692B"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 direction not reported)</w:t>
            </w:r>
          </w:p>
        </w:tc>
      </w:tr>
      <w:tr w:rsidR="00443C43" w:rsidRPr="00443C43" w14:paraId="5BD2B848" w14:textId="77777777" w:rsidTr="00CF2505">
        <w:tc>
          <w:tcPr>
            <w:tcW w:w="1413" w:type="dxa"/>
            <w:vMerge w:val="restart"/>
          </w:tcPr>
          <w:p w14:paraId="46E5FABD" w14:textId="77777777" w:rsidR="00443C43" w:rsidRPr="00443C43" w:rsidRDefault="00443C43" w:rsidP="00443C43">
            <w:pPr>
              <w:spacing w:before="120" w:after="120"/>
              <w:jc w:val="left"/>
              <w:rPr>
                <w:rFonts w:eastAsia="Arial"/>
                <w:b/>
                <w:bCs/>
                <w:sz w:val="20"/>
                <w:szCs w:val="20"/>
                <w:lang w:val="en-US"/>
              </w:rPr>
            </w:pPr>
            <w:r w:rsidRPr="00AC7042">
              <w:rPr>
                <w:rFonts w:eastAsia="Arial"/>
                <w:b/>
                <w:bCs/>
                <w:sz w:val="18"/>
                <w:szCs w:val="18"/>
                <w:lang w:val="en-US"/>
              </w:rPr>
              <w:t>Plant characteristics</w:t>
            </w:r>
          </w:p>
        </w:tc>
        <w:tc>
          <w:tcPr>
            <w:tcW w:w="1276" w:type="dxa"/>
            <w:vMerge w:val="restart"/>
          </w:tcPr>
          <w:p w14:paraId="7FD10A09" w14:textId="77777777" w:rsidR="00443C43" w:rsidRPr="00443C43" w:rsidRDefault="00443C43" w:rsidP="00443C43">
            <w:pPr>
              <w:spacing w:before="120" w:after="120"/>
              <w:jc w:val="left"/>
              <w:rPr>
                <w:rFonts w:eastAsia="Arial"/>
                <w:sz w:val="16"/>
                <w:szCs w:val="16"/>
                <w:lang w:val="en-US"/>
              </w:rPr>
            </w:pPr>
            <w:r w:rsidRPr="001575D7">
              <w:rPr>
                <w:rFonts w:eastAsia="Arial"/>
                <w:lang w:val="en-US"/>
              </w:rPr>
              <w:t>Parkinson’s disease</w:t>
            </w:r>
          </w:p>
        </w:tc>
        <w:tc>
          <w:tcPr>
            <w:tcW w:w="1275" w:type="dxa"/>
            <w:vMerge w:val="restart"/>
          </w:tcPr>
          <w:p w14:paraId="117AF242" w14:textId="358BF92D" w:rsidR="00443C43" w:rsidRPr="00443C43" w:rsidRDefault="00443C43" w:rsidP="00443C43">
            <w:pPr>
              <w:spacing w:before="120" w:after="120"/>
              <w:jc w:val="left"/>
              <w:rPr>
                <w:rFonts w:eastAsia="Arial"/>
                <w:sz w:val="20"/>
                <w:szCs w:val="20"/>
                <w:lang w:val="en-US"/>
              </w:rPr>
            </w:pPr>
            <w:proofErr w:type="spellStart"/>
            <w:r w:rsidRPr="00443C43">
              <w:rPr>
                <w:rFonts w:eastAsia="Arial"/>
                <w:sz w:val="20"/>
                <w:szCs w:val="20"/>
                <w:lang w:val="en-US"/>
              </w:rPr>
              <w:t>Venderova</w:t>
            </w:r>
            <w:proofErr w:type="spellEnd"/>
            <w:r w:rsidRPr="00443C43">
              <w:rPr>
                <w:rFonts w:eastAsia="Arial"/>
                <w:sz w:val="20"/>
                <w:szCs w:val="20"/>
                <w:lang w:val="en-US"/>
              </w:rPr>
              <w:t xml:space="preserve"> et al., 2004</w:t>
            </w:r>
            <w:r w:rsidR="0065786C" w:rsidRPr="0065786C">
              <w:rPr>
                <w:sz w:val="20"/>
                <w:szCs w:val="24"/>
                <w:vertAlign w:val="superscript"/>
              </w:rPr>
              <w:t>153</w:t>
            </w:r>
          </w:p>
          <w:p w14:paraId="34AC9289"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Cross-sectional (study specific data)</w:t>
            </w:r>
          </w:p>
        </w:tc>
        <w:tc>
          <w:tcPr>
            <w:tcW w:w="1418" w:type="dxa"/>
            <w:shd w:val="clear" w:color="auto" w:fill="D9D9D9" w:themeFill="background1" w:themeFillShade="D9"/>
          </w:tcPr>
          <w:p w14:paraId="5B7E7353" w14:textId="77777777" w:rsidR="00443C43" w:rsidRPr="00443C43" w:rsidRDefault="00443C43" w:rsidP="00443C43">
            <w:pPr>
              <w:spacing w:before="120" w:after="120"/>
              <w:jc w:val="left"/>
              <w:rPr>
                <w:rFonts w:eastAsia="Arial"/>
                <w:sz w:val="20"/>
                <w:szCs w:val="20"/>
                <w:lang w:val="en-CA"/>
              </w:rPr>
            </w:pPr>
            <w:r w:rsidRPr="00443C43">
              <w:rPr>
                <w:rFonts w:eastAsia="Arial"/>
                <w:sz w:val="20"/>
                <w:szCs w:val="20"/>
                <w:lang w:val="en-US"/>
              </w:rPr>
              <w:t>Flowers vs leaves</w:t>
            </w:r>
          </w:p>
        </w:tc>
        <w:tc>
          <w:tcPr>
            <w:tcW w:w="1134" w:type="dxa"/>
          </w:tcPr>
          <w:p w14:paraId="1D1B2407"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Self-medicated with whole Sativa plant or extracts</w:t>
            </w:r>
          </w:p>
        </w:tc>
        <w:tc>
          <w:tcPr>
            <w:tcW w:w="1478" w:type="dxa"/>
          </w:tcPr>
          <w:p w14:paraId="3541D119"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Dyskinesia</w:t>
            </w:r>
          </w:p>
        </w:tc>
        <w:tc>
          <w:tcPr>
            <w:tcW w:w="1215" w:type="dxa"/>
          </w:tcPr>
          <w:p w14:paraId="38FF7A88"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Dyskinesia improvement</w:t>
            </w:r>
          </w:p>
        </w:tc>
        <w:tc>
          <w:tcPr>
            <w:tcW w:w="1276" w:type="dxa"/>
          </w:tcPr>
          <w:p w14:paraId="3C0C9410"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49990FCA"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BFBFBF"/>
          </w:tcPr>
          <w:p w14:paraId="0FFF9A64"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 direction not reported)</w:t>
            </w:r>
          </w:p>
        </w:tc>
      </w:tr>
      <w:tr w:rsidR="00443C43" w:rsidRPr="00443C43" w14:paraId="25B3EB4E" w14:textId="77777777" w:rsidTr="00CF2505">
        <w:trPr>
          <w:cnfStyle w:val="000000100000" w:firstRow="0" w:lastRow="0" w:firstColumn="0" w:lastColumn="0" w:oddVBand="0" w:evenVBand="0" w:oddHBand="1" w:evenHBand="0" w:firstRowFirstColumn="0" w:firstRowLastColumn="0" w:lastRowFirstColumn="0" w:lastRowLastColumn="0"/>
        </w:trPr>
        <w:tc>
          <w:tcPr>
            <w:tcW w:w="1413" w:type="dxa"/>
            <w:vMerge/>
          </w:tcPr>
          <w:p w14:paraId="3DF486B6" w14:textId="77777777" w:rsidR="00443C43" w:rsidRPr="00443C43" w:rsidRDefault="00443C43" w:rsidP="00443C43">
            <w:pPr>
              <w:spacing w:before="120" w:after="120"/>
              <w:jc w:val="left"/>
              <w:rPr>
                <w:rFonts w:eastAsia="Arial"/>
                <w:b/>
                <w:bCs/>
                <w:sz w:val="20"/>
                <w:szCs w:val="20"/>
                <w:lang w:val="en-US"/>
              </w:rPr>
            </w:pPr>
          </w:p>
        </w:tc>
        <w:tc>
          <w:tcPr>
            <w:tcW w:w="1276" w:type="dxa"/>
            <w:vMerge/>
          </w:tcPr>
          <w:p w14:paraId="68E0C4D0" w14:textId="77777777" w:rsidR="00443C43" w:rsidRPr="00443C43" w:rsidRDefault="00443C43" w:rsidP="00443C43">
            <w:pPr>
              <w:spacing w:before="120" w:after="120"/>
              <w:jc w:val="left"/>
              <w:rPr>
                <w:rFonts w:eastAsia="Arial"/>
                <w:lang w:val="en-US"/>
              </w:rPr>
            </w:pPr>
          </w:p>
        </w:tc>
        <w:tc>
          <w:tcPr>
            <w:tcW w:w="1275" w:type="dxa"/>
            <w:vMerge/>
          </w:tcPr>
          <w:p w14:paraId="11EB5175" w14:textId="77777777" w:rsidR="00443C43" w:rsidRPr="00443C43" w:rsidRDefault="00443C43" w:rsidP="00443C43">
            <w:pPr>
              <w:spacing w:before="120" w:after="120"/>
              <w:jc w:val="left"/>
              <w:rPr>
                <w:rFonts w:eastAsia="Arial"/>
                <w:sz w:val="20"/>
                <w:szCs w:val="20"/>
                <w:lang w:val="en-US"/>
              </w:rPr>
            </w:pPr>
          </w:p>
        </w:tc>
        <w:tc>
          <w:tcPr>
            <w:tcW w:w="1418" w:type="dxa"/>
            <w:shd w:val="clear" w:color="auto" w:fill="D9D9D9" w:themeFill="background1" w:themeFillShade="D9"/>
          </w:tcPr>
          <w:p w14:paraId="0BA0AC94" w14:textId="77777777" w:rsidR="00443C43" w:rsidRPr="00443C43" w:rsidRDefault="00443C43" w:rsidP="00443C43">
            <w:pPr>
              <w:spacing w:before="120" w:after="120"/>
              <w:jc w:val="left"/>
              <w:rPr>
                <w:rFonts w:eastAsia="Arial"/>
                <w:sz w:val="20"/>
                <w:szCs w:val="20"/>
                <w:lang w:val="en-CA"/>
              </w:rPr>
            </w:pPr>
            <w:r w:rsidRPr="00443C43">
              <w:rPr>
                <w:rFonts w:eastAsia="Arial"/>
                <w:sz w:val="20"/>
                <w:szCs w:val="20"/>
                <w:lang w:val="en-CA"/>
              </w:rPr>
              <w:t>Fresh vs dried</w:t>
            </w:r>
          </w:p>
        </w:tc>
        <w:tc>
          <w:tcPr>
            <w:tcW w:w="1134" w:type="dxa"/>
          </w:tcPr>
          <w:p w14:paraId="2E0970A6"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Self-medicated with whole Sativa plant or extracts</w:t>
            </w:r>
          </w:p>
        </w:tc>
        <w:tc>
          <w:tcPr>
            <w:tcW w:w="1478" w:type="dxa"/>
          </w:tcPr>
          <w:p w14:paraId="3B3363B3"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Dyskinesia</w:t>
            </w:r>
          </w:p>
        </w:tc>
        <w:tc>
          <w:tcPr>
            <w:tcW w:w="1215" w:type="dxa"/>
          </w:tcPr>
          <w:p w14:paraId="3D84AA3C"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Dyskinesia improvement</w:t>
            </w:r>
          </w:p>
        </w:tc>
        <w:tc>
          <w:tcPr>
            <w:tcW w:w="1276" w:type="dxa"/>
          </w:tcPr>
          <w:p w14:paraId="2583A254"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NA</w:t>
            </w:r>
          </w:p>
        </w:tc>
        <w:tc>
          <w:tcPr>
            <w:tcW w:w="1149" w:type="dxa"/>
          </w:tcPr>
          <w:p w14:paraId="45F744E3" w14:textId="77777777" w:rsidR="00443C43" w:rsidRPr="00443C43" w:rsidRDefault="00443C43" w:rsidP="00443C43">
            <w:pPr>
              <w:spacing w:before="120" w:after="120"/>
              <w:jc w:val="left"/>
              <w:rPr>
                <w:rFonts w:eastAsia="Arial"/>
                <w:sz w:val="16"/>
                <w:szCs w:val="16"/>
                <w:lang w:val="en-US"/>
              </w:rPr>
            </w:pPr>
            <w:r w:rsidRPr="00443C43">
              <w:rPr>
                <w:rFonts w:eastAsia="Arial"/>
                <w:sz w:val="16"/>
                <w:szCs w:val="16"/>
                <w:lang w:val="en-US"/>
              </w:rPr>
              <w:t>Univariable</w:t>
            </w:r>
          </w:p>
        </w:tc>
        <w:tc>
          <w:tcPr>
            <w:tcW w:w="1316" w:type="dxa"/>
            <w:shd w:val="clear" w:color="auto" w:fill="BFBFBF"/>
          </w:tcPr>
          <w:p w14:paraId="3A1A802C" w14:textId="77777777" w:rsidR="00443C43" w:rsidRPr="00443C43" w:rsidRDefault="00443C43" w:rsidP="00443C43">
            <w:pPr>
              <w:spacing w:before="120" w:after="120"/>
              <w:jc w:val="left"/>
              <w:rPr>
                <w:rFonts w:eastAsia="Arial"/>
                <w:sz w:val="20"/>
                <w:szCs w:val="20"/>
                <w:lang w:val="en-US"/>
              </w:rPr>
            </w:pPr>
            <w:r w:rsidRPr="00443C43">
              <w:rPr>
                <w:rFonts w:eastAsia="Arial"/>
                <w:sz w:val="20"/>
                <w:szCs w:val="20"/>
                <w:lang w:val="en-US"/>
              </w:rPr>
              <w:t>Non-significant (effect direction not reported)</w:t>
            </w:r>
          </w:p>
        </w:tc>
      </w:tr>
      <w:tr w:rsidR="00390E67" w:rsidRPr="00443C43" w14:paraId="479B6DFE" w14:textId="77777777" w:rsidTr="00390E67">
        <w:tc>
          <w:tcPr>
            <w:tcW w:w="1413" w:type="dxa"/>
          </w:tcPr>
          <w:p w14:paraId="0DC4E652" w14:textId="4CA5C50B" w:rsidR="00390E67" w:rsidRPr="00443C43" w:rsidRDefault="00390E67" w:rsidP="00443C43">
            <w:pPr>
              <w:spacing w:before="120" w:after="120"/>
              <w:jc w:val="left"/>
              <w:rPr>
                <w:rFonts w:eastAsia="Arial"/>
                <w:b/>
                <w:bCs/>
                <w:sz w:val="20"/>
                <w:szCs w:val="20"/>
                <w:lang w:val="en-US"/>
              </w:rPr>
            </w:pPr>
            <w:r>
              <w:rPr>
                <w:rFonts w:eastAsia="Arial"/>
                <w:b/>
                <w:bCs/>
                <w:sz w:val="20"/>
                <w:szCs w:val="20"/>
                <w:lang w:val="en-US"/>
              </w:rPr>
              <w:t>Use of other substances</w:t>
            </w:r>
          </w:p>
        </w:tc>
        <w:tc>
          <w:tcPr>
            <w:tcW w:w="1276" w:type="dxa"/>
          </w:tcPr>
          <w:p w14:paraId="55C47E27" w14:textId="5F58BA3E" w:rsidR="00390E67" w:rsidRPr="00390E67" w:rsidRDefault="00390E67" w:rsidP="00443C43">
            <w:pPr>
              <w:spacing w:before="120" w:after="120"/>
              <w:jc w:val="left"/>
              <w:rPr>
                <w:rFonts w:eastAsia="Arial"/>
                <w:lang w:val="en-US"/>
              </w:rPr>
            </w:pPr>
            <w:r w:rsidRPr="00390E67">
              <w:t>Older general public</w:t>
            </w:r>
          </w:p>
        </w:tc>
        <w:tc>
          <w:tcPr>
            <w:tcW w:w="1275" w:type="dxa"/>
          </w:tcPr>
          <w:p w14:paraId="5B8A5FEF" w14:textId="6DBFD11C" w:rsidR="00390E67" w:rsidRDefault="00390E67" w:rsidP="00390E67">
            <w:pPr>
              <w:spacing w:before="120" w:after="120"/>
              <w:jc w:val="left"/>
              <w:rPr>
                <w:sz w:val="20"/>
                <w:szCs w:val="20"/>
              </w:rPr>
            </w:pPr>
            <w:r>
              <w:rPr>
                <w:sz w:val="20"/>
                <w:szCs w:val="20"/>
              </w:rPr>
              <w:t>Choi et al., 2016a</w:t>
            </w:r>
            <w:r w:rsidR="0065786C" w:rsidRPr="0065786C">
              <w:rPr>
                <w:sz w:val="20"/>
                <w:szCs w:val="24"/>
                <w:vertAlign w:val="superscript"/>
              </w:rPr>
              <w:t>104</w:t>
            </w:r>
          </w:p>
          <w:p w14:paraId="6E287801" w14:textId="668F4111" w:rsidR="00390E67" w:rsidRPr="00443C43" w:rsidRDefault="00390E67" w:rsidP="00390E67">
            <w:pPr>
              <w:spacing w:before="120" w:after="120"/>
              <w:jc w:val="left"/>
              <w:rPr>
                <w:rFonts w:eastAsia="Arial"/>
                <w:sz w:val="20"/>
                <w:szCs w:val="20"/>
                <w:lang w:val="en-US"/>
              </w:rPr>
            </w:pPr>
            <w:r w:rsidRPr="00802C65">
              <w:rPr>
                <w:sz w:val="20"/>
                <w:szCs w:val="20"/>
              </w:rPr>
              <w:t>Sequential</w:t>
            </w:r>
            <w:r>
              <w:rPr>
                <w:sz w:val="20"/>
                <w:szCs w:val="20"/>
              </w:rPr>
              <w:t xml:space="preserve"> NSDUH data 2015–17</w:t>
            </w:r>
          </w:p>
        </w:tc>
        <w:tc>
          <w:tcPr>
            <w:tcW w:w="1418" w:type="dxa"/>
            <w:shd w:val="clear" w:color="auto" w:fill="D9D9D9" w:themeFill="background1" w:themeFillShade="D9"/>
          </w:tcPr>
          <w:p w14:paraId="2190B667" w14:textId="6D0BCEEE" w:rsidR="00390E67" w:rsidRPr="00443C43" w:rsidRDefault="00390E67" w:rsidP="00443C43">
            <w:pPr>
              <w:spacing w:before="120" w:after="120"/>
              <w:jc w:val="left"/>
              <w:rPr>
                <w:rFonts w:eastAsia="Arial"/>
                <w:sz w:val="20"/>
                <w:szCs w:val="20"/>
                <w:lang w:val="en-CA"/>
              </w:rPr>
            </w:pPr>
            <w:r>
              <w:rPr>
                <w:rFonts w:eastAsia="Arial"/>
                <w:sz w:val="20"/>
                <w:szCs w:val="20"/>
                <w:lang w:val="en-CA"/>
              </w:rPr>
              <w:t>Use vs use + other illicit drug use</w:t>
            </w:r>
          </w:p>
        </w:tc>
        <w:tc>
          <w:tcPr>
            <w:tcW w:w="1134" w:type="dxa"/>
          </w:tcPr>
          <w:p w14:paraId="47B24098" w14:textId="013ABB3F" w:rsidR="00390E67" w:rsidRPr="00443C43" w:rsidRDefault="00390E67" w:rsidP="00443C43">
            <w:pPr>
              <w:spacing w:before="120" w:after="120"/>
              <w:jc w:val="left"/>
              <w:rPr>
                <w:rFonts w:eastAsia="Arial"/>
                <w:sz w:val="20"/>
                <w:szCs w:val="20"/>
                <w:lang w:val="en-US"/>
              </w:rPr>
            </w:pPr>
            <w:r>
              <w:rPr>
                <w:rFonts w:eastAsia="Arial"/>
                <w:sz w:val="20"/>
                <w:szCs w:val="20"/>
                <w:lang w:val="en-US"/>
              </w:rPr>
              <w:t>Medical cannabis</w:t>
            </w:r>
          </w:p>
        </w:tc>
        <w:tc>
          <w:tcPr>
            <w:tcW w:w="1478" w:type="dxa"/>
          </w:tcPr>
          <w:p w14:paraId="1C64E362" w14:textId="3E5CB0F9" w:rsidR="00390E67" w:rsidRPr="00443C43" w:rsidRDefault="00390E67" w:rsidP="00443C43">
            <w:pPr>
              <w:spacing w:before="120" w:after="120"/>
              <w:jc w:val="left"/>
              <w:rPr>
                <w:rFonts w:eastAsia="Arial"/>
                <w:sz w:val="20"/>
                <w:szCs w:val="20"/>
                <w:lang w:val="en-US"/>
              </w:rPr>
            </w:pPr>
            <w:r>
              <w:rPr>
                <w:rFonts w:eastAsia="Arial"/>
                <w:sz w:val="20"/>
                <w:szCs w:val="20"/>
                <w:lang w:val="en-US"/>
              </w:rPr>
              <w:t>Suicidal ideation or behaviour</w:t>
            </w:r>
          </w:p>
        </w:tc>
        <w:tc>
          <w:tcPr>
            <w:tcW w:w="1215" w:type="dxa"/>
          </w:tcPr>
          <w:p w14:paraId="6573EA1C" w14:textId="5B67C82A" w:rsidR="00390E67" w:rsidRPr="00443C43" w:rsidRDefault="00390E67" w:rsidP="00443C43">
            <w:pPr>
              <w:spacing w:before="120" w:after="120"/>
              <w:jc w:val="left"/>
              <w:rPr>
                <w:rFonts w:eastAsia="Arial"/>
                <w:sz w:val="16"/>
                <w:szCs w:val="16"/>
                <w:lang w:val="en-US"/>
              </w:rPr>
            </w:pPr>
            <w:r>
              <w:rPr>
                <w:rFonts w:eastAsia="Arial"/>
                <w:sz w:val="16"/>
                <w:szCs w:val="16"/>
                <w:lang w:val="en-US"/>
              </w:rPr>
              <w:t>Past-year serious suicidal thoughts</w:t>
            </w:r>
          </w:p>
        </w:tc>
        <w:tc>
          <w:tcPr>
            <w:tcW w:w="1276" w:type="dxa"/>
          </w:tcPr>
          <w:p w14:paraId="2AE92743" w14:textId="673360E3" w:rsidR="00390E67" w:rsidRPr="00443C43" w:rsidRDefault="00390E67" w:rsidP="00443C43">
            <w:pPr>
              <w:spacing w:before="120" w:after="120"/>
              <w:jc w:val="left"/>
              <w:rPr>
                <w:rFonts w:eastAsia="Arial"/>
                <w:sz w:val="20"/>
                <w:szCs w:val="20"/>
                <w:lang w:val="en-US"/>
              </w:rPr>
            </w:pPr>
            <w:r>
              <w:rPr>
                <w:rFonts w:eastAsia="Arial"/>
                <w:sz w:val="20"/>
                <w:szCs w:val="20"/>
                <w:lang w:val="en-US"/>
              </w:rPr>
              <w:t>NA</w:t>
            </w:r>
          </w:p>
        </w:tc>
        <w:tc>
          <w:tcPr>
            <w:tcW w:w="1149" w:type="dxa"/>
          </w:tcPr>
          <w:p w14:paraId="4D940F2E" w14:textId="1163944B" w:rsidR="00390E67" w:rsidRPr="00443C43" w:rsidRDefault="00390E67" w:rsidP="00443C43">
            <w:pPr>
              <w:spacing w:before="120" w:after="120"/>
              <w:jc w:val="left"/>
              <w:rPr>
                <w:rFonts w:eastAsia="Arial"/>
                <w:sz w:val="16"/>
                <w:szCs w:val="16"/>
                <w:lang w:val="en-US"/>
              </w:rPr>
            </w:pPr>
            <w:r>
              <w:rPr>
                <w:rFonts w:eastAsia="Arial"/>
                <w:sz w:val="16"/>
                <w:szCs w:val="16"/>
                <w:lang w:val="en-US"/>
              </w:rPr>
              <w:t>Multivariable</w:t>
            </w:r>
          </w:p>
        </w:tc>
        <w:tc>
          <w:tcPr>
            <w:tcW w:w="1316" w:type="dxa"/>
            <w:shd w:val="clear" w:color="auto" w:fill="00B050"/>
          </w:tcPr>
          <w:p w14:paraId="44172962" w14:textId="33291A4F" w:rsidR="00390E67" w:rsidRPr="00443C43" w:rsidRDefault="006F6DF5" w:rsidP="00443C43">
            <w:pPr>
              <w:spacing w:before="120" w:after="120"/>
              <w:jc w:val="left"/>
              <w:rPr>
                <w:rFonts w:eastAsia="Arial"/>
                <w:sz w:val="20"/>
                <w:szCs w:val="20"/>
                <w:lang w:val="en-US"/>
              </w:rPr>
            </w:pPr>
            <w:r>
              <w:rPr>
                <w:rFonts w:eastAsia="Arial"/>
                <w:color w:val="FFFFFF"/>
                <w:sz w:val="20"/>
                <w:szCs w:val="20"/>
                <w:lang w:val="en-US"/>
              </w:rPr>
              <w:t>Significant negative association</w:t>
            </w:r>
          </w:p>
        </w:tc>
      </w:tr>
    </w:tbl>
    <w:p w14:paraId="4C29CC0A" w14:textId="3B5DD147" w:rsidR="003507CB" w:rsidRPr="00551BA8" w:rsidRDefault="003507CB" w:rsidP="00DF0333">
      <w:pPr>
        <w:pStyle w:val="DSENBodytext"/>
      </w:pPr>
    </w:p>
    <w:sectPr w:rsidR="003507CB" w:rsidRPr="00551BA8" w:rsidSect="007247ED">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352A" w14:textId="77777777" w:rsidR="00390166" w:rsidRDefault="00390166" w:rsidP="0029003E">
      <w:r>
        <w:separator/>
      </w:r>
    </w:p>
  </w:endnote>
  <w:endnote w:type="continuationSeparator" w:id="0">
    <w:p w14:paraId="5D33256C" w14:textId="77777777" w:rsidR="00390166" w:rsidRDefault="00390166" w:rsidP="0029003E">
      <w:r>
        <w:continuationSeparator/>
      </w:r>
    </w:p>
  </w:endnote>
  <w:endnote w:type="continuationNotice" w:id="1">
    <w:p w14:paraId="4F091576" w14:textId="77777777" w:rsidR="00390166" w:rsidRDefault="0039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92492"/>
      <w:docPartObj>
        <w:docPartGallery w:val="Page Numbers (Bottom of Page)"/>
        <w:docPartUnique/>
      </w:docPartObj>
    </w:sdtPr>
    <w:sdtEndPr>
      <w:rPr>
        <w:noProof/>
      </w:rPr>
    </w:sdtEndPr>
    <w:sdtContent>
      <w:p w14:paraId="30DAFB30" w14:textId="32883DC8" w:rsidR="00DD60E3" w:rsidRDefault="00DD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3225" w14:textId="77777777" w:rsidR="00DD60E3" w:rsidRDefault="00D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F065" w14:textId="77777777" w:rsidR="00390166" w:rsidRDefault="00390166" w:rsidP="0029003E">
      <w:r>
        <w:separator/>
      </w:r>
    </w:p>
  </w:footnote>
  <w:footnote w:type="continuationSeparator" w:id="0">
    <w:p w14:paraId="64E706B2" w14:textId="77777777" w:rsidR="00390166" w:rsidRDefault="00390166" w:rsidP="0029003E">
      <w:r>
        <w:continuationSeparator/>
      </w:r>
    </w:p>
  </w:footnote>
  <w:footnote w:type="continuationNotice" w:id="1">
    <w:p w14:paraId="1E3C3078" w14:textId="77777777" w:rsidR="00390166" w:rsidRDefault="00390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3737424">
    <w:abstractNumId w:val="3"/>
  </w:num>
  <w:num w:numId="2" w16cid:durableId="481239935">
    <w:abstractNumId w:val="16"/>
  </w:num>
  <w:num w:numId="3" w16cid:durableId="826168059">
    <w:abstractNumId w:val="7"/>
  </w:num>
  <w:num w:numId="4" w16cid:durableId="2140025180">
    <w:abstractNumId w:val="15"/>
  </w:num>
  <w:num w:numId="5" w16cid:durableId="2076464324">
    <w:abstractNumId w:val="11"/>
  </w:num>
  <w:num w:numId="6" w16cid:durableId="1742865873">
    <w:abstractNumId w:val="14"/>
    <w:lvlOverride w:ilvl="0">
      <w:startOverride w:val="1"/>
    </w:lvlOverride>
  </w:num>
  <w:num w:numId="7" w16cid:durableId="881015664">
    <w:abstractNumId w:val="0"/>
  </w:num>
  <w:num w:numId="8" w16cid:durableId="277490577">
    <w:abstractNumId w:val="2"/>
  </w:num>
  <w:num w:numId="9" w16cid:durableId="1249340208">
    <w:abstractNumId w:val="4"/>
  </w:num>
  <w:num w:numId="10" w16cid:durableId="783767398">
    <w:abstractNumId w:val="9"/>
  </w:num>
  <w:num w:numId="11" w16cid:durableId="1739859011">
    <w:abstractNumId w:val="13"/>
  </w:num>
  <w:num w:numId="12" w16cid:durableId="191725552">
    <w:abstractNumId w:val="12"/>
  </w:num>
  <w:num w:numId="13" w16cid:durableId="1057899700">
    <w:abstractNumId w:val="10"/>
  </w:num>
  <w:num w:numId="14" w16cid:durableId="740717459">
    <w:abstractNumId w:val="18"/>
  </w:num>
  <w:num w:numId="15" w16cid:durableId="1320497699">
    <w:abstractNumId w:val="6"/>
  </w:num>
  <w:num w:numId="16" w16cid:durableId="253905066">
    <w:abstractNumId w:val="17"/>
  </w:num>
  <w:num w:numId="17" w16cid:durableId="2079010873">
    <w:abstractNumId w:val="5"/>
  </w:num>
  <w:num w:numId="18" w16cid:durableId="1170678550">
    <w:abstractNumId w:val="1"/>
  </w:num>
  <w:num w:numId="19" w16cid:durableId="502470949">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na Wolfe">
    <w15:presenceInfo w15:providerId="None" w15:userId="Dianna Wol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5830"/>
    <w:rsid w:val="00075EFB"/>
    <w:rsid w:val="000767EA"/>
    <w:rsid w:val="000773FC"/>
    <w:rsid w:val="00077C82"/>
    <w:rsid w:val="0008081F"/>
    <w:rsid w:val="000811F4"/>
    <w:rsid w:val="0008167D"/>
    <w:rsid w:val="00082849"/>
    <w:rsid w:val="0008343A"/>
    <w:rsid w:val="000840F6"/>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A0E8C"/>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11811"/>
    <w:rsid w:val="006119A1"/>
    <w:rsid w:val="00611B6E"/>
    <w:rsid w:val="006126C6"/>
    <w:rsid w:val="00612AB5"/>
    <w:rsid w:val="00613252"/>
    <w:rsid w:val="00614C03"/>
    <w:rsid w:val="006152CA"/>
    <w:rsid w:val="00617A4F"/>
    <w:rsid w:val="006210F1"/>
    <w:rsid w:val="00621BBB"/>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2074"/>
    <w:rsid w:val="00682A7D"/>
    <w:rsid w:val="0068420A"/>
    <w:rsid w:val="006868AB"/>
    <w:rsid w:val="0068779F"/>
    <w:rsid w:val="00691765"/>
    <w:rsid w:val="006942DD"/>
    <w:rsid w:val="006949A5"/>
    <w:rsid w:val="00694AAB"/>
    <w:rsid w:val="0069693F"/>
    <w:rsid w:val="00696BDD"/>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6DF5"/>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4D80"/>
    <w:rsid w:val="008E5061"/>
    <w:rsid w:val="008E50C7"/>
    <w:rsid w:val="008E598C"/>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2A0C"/>
    <w:rsid w:val="00BA42C8"/>
    <w:rsid w:val="00BA4DEB"/>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59E2"/>
    <w:rsid w:val="00C3619F"/>
    <w:rsid w:val="00C36732"/>
    <w:rsid w:val="00C3771C"/>
    <w:rsid w:val="00C37ED7"/>
    <w:rsid w:val="00C42B5C"/>
    <w:rsid w:val="00C42F73"/>
    <w:rsid w:val="00C4390B"/>
    <w:rsid w:val="00C441E4"/>
    <w:rsid w:val="00C44335"/>
    <w:rsid w:val="00C45921"/>
    <w:rsid w:val="00C4621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D54"/>
    <w:rsid w:val="00DD60E3"/>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52D3"/>
    <w:rsid w:val="00E057B4"/>
    <w:rsid w:val="00E1129B"/>
    <w:rsid w:val="00E11540"/>
    <w:rsid w:val="00E1224A"/>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E"/>
    <w:rsid w:val="00E27C1D"/>
    <w:rsid w:val="00E3036B"/>
    <w:rsid w:val="00E30777"/>
    <w:rsid w:val="00E3096B"/>
    <w:rsid w:val="00E311F5"/>
    <w:rsid w:val="00E3243F"/>
    <w:rsid w:val="00E32F2B"/>
    <w:rsid w:val="00E34943"/>
    <w:rsid w:val="00E361B0"/>
    <w:rsid w:val="00E36BF6"/>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12CA"/>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6CF1"/>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2.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8F2D32F-E8F1-4351-AD3C-1D44318E7AE7}">
  <ds:schemaRefs>
    <ds:schemaRef ds:uri="http://schemas.openxmlformats.org/officeDocument/2006/bibliography"/>
  </ds:schemaRefs>
</ds:datastoreItem>
</file>

<file path=customXml/itemProps4.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20259</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Dianna Wolfe</cp:lastModifiedBy>
  <cp:revision>4</cp:revision>
  <dcterms:created xsi:type="dcterms:W3CDTF">2022-10-10T13:20:00Z</dcterms:created>
  <dcterms:modified xsi:type="dcterms:W3CDTF">2023-01-23T15:55:00Z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