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1B65" w14:textId="7182F115" w:rsidR="00F33526" w:rsidRPr="00C71A72" w:rsidRDefault="5201FD2A" w:rsidP="3EF7FB48">
      <w:pPr>
        <w:pStyle w:val="Heading1"/>
        <w:jc w:val="center"/>
        <w:rPr>
          <w:rFonts w:ascii="Calibri" w:eastAsia="Calibri" w:hAnsi="Calibri" w:cs="Calibri"/>
          <w:b/>
          <w:bCs/>
          <w:color w:val="auto"/>
        </w:rPr>
      </w:pPr>
      <w:r w:rsidRPr="3EF7FB48">
        <w:rPr>
          <w:rFonts w:ascii="Calibri" w:eastAsia="Calibri" w:hAnsi="Calibri" w:cs="Calibri"/>
          <w:b/>
          <w:bCs/>
          <w:color w:val="auto"/>
        </w:rPr>
        <w:t>Response to Academic Editor and Reviewer #1</w:t>
      </w:r>
    </w:p>
    <w:p w14:paraId="6D0D2065" w14:textId="60DDF0CF" w:rsidR="00F33526" w:rsidRPr="00C71A72" w:rsidRDefault="6E1D4385" w:rsidP="3EF7FB48">
      <w:pPr>
        <w:jc w:val="center"/>
        <w:rPr>
          <w:rFonts w:eastAsia="Calibri"/>
          <w:b/>
          <w:bCs/>
          <w:sz w:val="32"/>
          <w:szCs w:val="32"/>
        </w:rPr>
      </w:pPr>
      <w:r w:rsidRPr="3EF7FB48">
        <w:rPr>
          <w:rFonts w:eastAsia="Calibri"/>
          <w:b/>
          <w:bCs/>
          <w:sz w:val="32"/>
          <w:szCs w:val="32"/>
        </w:rPr>
        <w:t>A large Australian longitudinal cohort registry demonstrates sustained safety and efficacy of oral medicinal cannabis for at least two years</w:t>
      </w:r>
    </w:p>
    <w:p w14:paraId="1AA78AA1" w14:textId="66FCB952" w:rsidR="00F33526" w:rsidRPr="00C71A72" w:rsidRDefault="00F33526" w:rsidP="3EF7FB48">
      <w:pPr>
        <w:spacing w:line="360" w:lineRule="auto"/>
        <w:rPr>
          <w:rFonts w:eastAsia="Calibri"/>
          <w:color w:val="4472C4" w:themeColor="accent1"/>
          <w:sz w:val="22"/>
          <w:szCs w:val="22"/>
        </w:rPr>
      </w:pPr>
    </w:p>
    <w:p w14:paraId="7C33EF00" w14:textId="3510ACDF" w:rsidR="00F33526" w:rsidRPr="00C71A72" w:rsidRDefault="4D6DF226" w:rsidP="002A3A1E">
      <w:pPr>
        <w:spacing w:line="360" w:lineRule="auto"/>
        <w:rPr>
          <w:rFonts w:eastAsia="Calibri"/>
          <w:color w:val="4472C4" w:themeColor="accent1"/>
          <w:sz w:val="22"/>
          <w:szCs w:val="22"/>
        </w:rPr>
      </w:pPr>
      <w:r w:rsidRPr="3EF7FB48">
        <w:rPr>
          <w:rFonts w:eastAsia="Calibri"/>
          <w:color w:val="4472C4" w:themeColor="accent1"/>
          <w:sz w:val="22"/>
          <w:szCs w:val="22"/>
        </w:rPr>
        <w:t xml:space="preserve">Thank you for your </w:t>
      </w:r>
      <w:r w:rsidR="2B050E23" w:rsidRPr="3EF7FB48">
        <w:rPr>
          <w:rFonts w:eastAsia="Calibri"/>
          <w:color w:val="4472C4" w:themeColor="accent1"/>
          <w:sz w:val="22"/>
          <w:szCs w:val="22"/>
        </w:rPr>
        <w:t xml:space="preserve">clear </w:t>
      </w:r>
      <w:r w:rsidRPr="3EF7FB48">
        <w:rPr>
          <w:rFonts w:eastAsia="Calibri"/>
          <w:color w:val="4472C4" w:themeColor="accent1"/>
          <w:sz w:val="22"/>
          <w:szCs w:val="22"/>
        </w:rPr>
        <w:t>comments that have helped us to improve the paper. Please see below our responses, printed in blue under each respective comment.</w:t>
      </w:r>
    </w:p>
    <w:p w14:paraId="2D54BCD4" w14:textId="77FF39EB" w:rsidR="00F33526" w:rsidRPr="00C71A72" w:rsidRDefault="00F33526" w:rsidP="002A3A1E">
      <w:pPr>
        <w:spacing w:line="360" w:lineRule="auto"/>
        <w:rPr>
          <w:rFonts w:eastAsia="Calibri"/>
          <w:color w:val="4472C4" w:themeColor="accent1"/>
          <w:sz w:val="22"/>
          <w:szCs w:val="22"/>
        </w:rPr>
      </w:pPr>
    </w:p>
    <w:p w14:paraId="3EE7BF85" w14:textId="774EE125" w:rsidR="00F33526" w:rsidRPr="00C71A72" w:rsidRDefault="70A3BDAF" w:rsidP="002A3A1E">
      <w:pPr>
        <w:spacing w:line="360" w:lineRule="auto"/>
        <w:rPr>
          <w:rFonts w:eastAsia="Calibri"/>
          <w:b/>
          <w:bCs/>
          <w:sz w:val="22"/>
          <w:szCs w:val="22"/>
        </w:rPr>
      </w:pPr>
      <w:r w:rsidRPr="3EF7FB48">
        <w:rPr>
          <w:rFonts w:eastAsia="Calibri"/>
          <w:b/>
          <w:bCs/>
          <w:sz w:val="22"/>
          <w:szCs w:val="22"/>
        </w:rPr>
        <w:t xml:space="preserve">Journal </w:t>
      </w:r>
      <w:r w:rsidR="5E576216" w:rsidRPr="3EF7FB48">
        <w:rPr>
          <w:rFonts w:eastAsia="Calibri"/>
          <w:b/>
          <w:bCs/>
          <w:sz w:val="22"/>
          <w:szCs w:val="22"/>
        </w:rPr>
        <w:t xml:space="preserve">Additional </w:t>
      </w:r>
      <w:r w:rsidRPr="3EF7FB48">
        <w:rPr>
          <w:rFonts w:eastAsia="Calibri"/>
          <w:b/>
          <w:bCs/>
          <w:sz w:val="22"/>
          <w:szCs w:val="22"/>
        </w:rPr>
        <w:t>Requirements:</w:t>
      </w:r>
    </w:p>
    <w:p w14:paraId="3F0B4366" w14:textId="37410211" w:rsidR="3EF7FB48" w:rsidRDefault="3EF7FB48" w:rsidP="002A3A1E">
      <w:pPr>
        <w:spacing w:line="360" w:lineRule="auto"/>
        <w:rPr>
          <w:rFonts w:eastAsia="Calibri"/>
          <w:b/>
          <w:bCs/>
          <w:sz w:val="22"/>
          <w:szCs w:val="22"/>
        </w:rPr>
      </w:pPr>
    </w:p>
    <w:p w14:paraId="427801B2" w14:textId="18A7B9DC" w:rsidR="20B18EC4" w:rsidRDefault="20B18EC4" w:rsidP="002A3A1E">
      <w:pPr>
        <w:spacing w:line="360" w:lineRule="auto"/>
        <w:rPr>
          <w:rFonts w:eastAsia="Calibri"/>
          <w:color w:val="000000" w:themeColor="text1"/>
          <w:sz w:val="22"/>
          <w:szCs w:val="22"/>
        </w:rPr>
      </w:pPr>
      <w:r w:rsidRPr="3EF7FB48">
        <w:rPr>
          <w:rFonts w:eastAsia="Calibri"/>
          <w:color w:val="000000" w:themeColor="text1"/>
          <w:sz w:val="22"/>
          <w:szCs w:val="22"/>
        </w:rPr>
        <w:t>When submitting your revision, we need you to address these additional requirements.</w:t>
      </w:r>
    </w:p>
    <w:p w14:paraId="6FE06D07" w14:textId="0AA16896" w:rsidR="3EF7FB48" w:rsidRDefault="3EF7FB48" w:rsidP="002A3A1E">
      <w:pPr>
        <w:spacing w:line="360" w:lineRule="auto"/>
        <w:rPr>
          <w:rFonts w:eastAsia="Calibri"/>
          <w:color w:val="000000" w:themeColor="text1"/>
          <w:sz w:val="22"/>
          <w:szCs w:val="22"/>
        </w:rPr>
      </w:pPr>
    </w:p>
    <w:p w14:paraId="4EDA63C4" w14:textId="77777777" w:rsidR="00F33526" w:rsidRDefault="70A3BDAF" w:rsidP="002A3A1E">
      <w:pPr>
        <w:pStyle w:val="NormalWeb"/>
        <w:spacing w:line="360" w:lineRule="auto"/>
        <w:rPr>
          <w:rFonts w:eastAsia="Calibri"/>
        </w:rPr>
      </w:pPr>
      <w:r w:rsidRPr="3EF7FB48">
        <w:rPr>
          <w:rFonts w:eastAsia="Calibri"/>
        </w:rPr>
        <w:t>1. Please ensure that your manuscript meets PLOS ONE's style requirements, including those for file naming. The PLOS ONE style templates can be found at</w:t>
      </w:r>
    </w:p>
    <w:p w14:paraId="6C637FCE" w14:textId="7229F896" w:rsidR="00F33526" w:rsidRPr="0028346A" w:rsidRDefault="00F33526" w:rsidP="002A3A1E">
      <w:pPr>
        <w:pStyle w:val="NormalWeb"/>
        <w:spacing w:line="360" w:lineRule="auto"/>
        <w:rPr>
          <w:rFonts w:eastAsia="Calibri"/>
        </w:rPr>
      </w:pPr>
    </w:p>
    <w:p w14:paraId="5B3FD04F" w14:textId="40A31F85" w:rsidR="00F33526" w:rsidRPr="0028346A" w:rsidRDefault="4E37088A" w:rsidP="002A3A1E">
      <w:pPr>
        <w:pStyle w:val="NormalWeb"/>
        <w:spacing w:line="360" w:lineRule="auto"/>
        <w:rPr>
          <w:rFonts w:eastAsia="Calibri"/>
          <w:color w:val="4472C4" w:themeColor="accent1"/>
        </w:rPr>
      </w:pPr>
      <w:r w:rsidRPr="3EF7FB48">
        <w:rPr>
          <w:rFonts w:eastAsia="Calibri"/>
          <w:color w:val="4472C4" w:themeColor="accent1"/>
        </w:rPr>
        <w:t xml:space="preserve">Response: </w:t>
      </w:r>
      <w:r w:rsidR="630F5366" w:rsidRPr="3EF7FB48">
        <w:rPr>
          <w:rFonts w:eastAsia="Calibri"/>
          <w:color w:val="4472C4" w:themeColor="accent1"/>
        </w:rPr>
        <w:t xml:space="preserve">Thank you for providing these </w:t>
      </w:r>
      <w:r w:rsidR="5D081876" w:rsidRPr="3EF7FB48">
        <w:rPr>
          <w:rFonts w:eastAsia="Calibri"/>
          <w:color w:val="4472C4" w:themeColor="accent1"/>
        </w:rPr>
        <w:t>helpful templates</w:t>
      </w:r>
      <w:r w:rsidR="590DE8A5" w:rsidRPr="3EF7FB48">
        <w:rPr>
          <w:rFonts w:eastAsia="Calibri"/>
          <w:color w:val="4472C4" w:themeColor="accent1"/>
        </w:rPr>
        <w:t>, which we have closely followed and implemente</w:t>
      </w:r>
      <w:r w:rsidR="088226C0" w:rsidRPr="3EF7FB48">
        <w:rPr>
          <w:rFonts w:eastAsia="Calibri"/>
          <w:color w:val="4472C4" w:themeColor="accent1"/>
        </w:rPr>
        <w:t>d</w:t>
      </w:r>
      <w:r w:rsidR="590DE8A5" w:rsidRPr="3EF7FB48">
        <w:rPr>
          <w:rFonts w:eastAsia="Calibri"/>
          <w:color w:val="4472C4" w:themeColor="accent1"/>
        </w:rPr>
        <w:t xml:space="preserve"> throughout the re</w:t>
      </w:r>
      <w:r w:rsidR="001CC3FF" w:rsidRPr="3EF7FB48">
        <w:rPr>
          <w:rFonts w:eastAsia="Calibri"/>
          <w:color w:val="4472C4" w:themeColor="accent1"/>
        </w:rPr>
        <w:t>vised manuscript</w:t>
      </w:r>
    </w:p>
    <w:p w14:paraId="38917B25" w14:textId="6773428A" w:rsidR="00F33526" w:rsidRPr="0028346A" w:rsidRDefault="00F33526" w:rsidP="002A3A1E">
      <w:pPr>
        <w:pStyle w:val="NormalWeb"/>
        <w:spacing w:line="360" w:lineRule="auto"/>
        <w:rPr>
          <w:rFonts w:eastAsia="Calibri"/>
        </w:rPr>
      </w:pPr>
    </w:p>
    <w:p w14:paraId="7430BAE9" w14:textId="2695875D" w:rsidR="00F33526" w:rsidRPr="0028346A" w:rsidRDefault="70A3BDAF" w:rsidP="002A3A1E">
      <w:pPr>
        <w:pStyle w:val="NormalWeb"/>
        <w:spacing w:line="360" w:lineRule="auto"/>
        <w:rPr>
          <w:rFonts w:eastAsia="Calibri"/>
        </w:rPr>
      </w:pPr>
      <w:r w:rsidRPr="3EF7FB48">
        <w:rPr>
          <w:rFonts w:eastAsia="Calibri"/>
        </w:rPr>
        <w:t>2. In line with the expectations of the Australian National Statement on Ethical Conduct in Human Research, please confirm in the methods section of your manuscript that your research involves the use of existing collections of data or records that contain only non-identifiable data about human beings.</w:t>
      </w:r>
    </w:p>
    <w:p w14:paraId="243AF694" w14:textId="551C0705" w:rsidR="3EF7FB48" w:rsidRDefault="3EF7FB48" w:rsidP="002A3A1E">
      <w:pPr>
        <w:pStyle w:val="NormalWeb"/>
        <w:spacing w:line="360" w:lineRule="auto"/>
        <w:rPr>
          <w:rFonts w:eastAsia="Calibri"/>
        </w:rPr>
      </w:pPr>
    </w:p>
    <w:p w14:paraId="0DC8548D" w14:textId="3DEA4543" w:rsidR="24747115" w:rsidRDefault="24747115" w:rsidP="002A3A1E">
      <w:pPr>
        <w:pStyle w:val="NormalWeb"/>
        <w:spacing w:line="360" w:lineRule="auto"/>
        <w:rPr>
          <w:rFonts w:eastAsia="Calibri"/>
          <w:color w:val="4472C4" w:themeColor="accent1"/>
        </w:rPr>
      </w:pPr>
      <w:r w:rsidRPr="3EF7FB48">
        <w:rPr>
          <w:rFonts w:eastAsia="Calibri"/>
          <w:color w:val="4472C4" w:themeColor="accent1"/>
        </w:rPr>
        <w:t>Response: Th</w:t>
      </w:r>
      <w:r w:rsidR="24F04292" w:rsidRPr="3EF7FB48">
        <w:rPr>
          <w:rFonts w:eastAsia="Calibri"/>
          <w:color w:val="4472C4" w:themeColor="accent1"/>
        </w:rPr>
        <w:t xml:space="preserve">is is an important point which we did not </w:t>
      </w:r>
      <w:r w:rsidR="2F229A8E" w:rsidRPr="3EF7FB48">
        <w:rPr>
          <w:rFonts w:eastAsia="Calibri"/>
          <w:color w:val="4472C4" w:themeColor="accent1"/>
        </w:rPr>
        <w:t xml:space="preserve">highlight sufficiently in our original version. We have now added the following statement to the </w:t>
      </w:r>
      <w:r w:rsidR="3A729E51" w:rsidRPr="3EF7FB48">
        <w:rPr>
          <w:rFonts w:eastAsia="Calibri"/>
          <w:color w:val="4472C4" w:themeColor="accent1"/>
        </w:rPr>
        <w:t>methods</w:t>
      </w:r>
      <w:r w:rsidR="2F229A8E" w:rsidRPr="3EF7FB48">
        <w:rPr>
          <w:rFonts w:eastAsia="Calibri"/>
          <w:color w:val="4472C4" w:themeColor="accent1"/>
        </w:rPr>
        <w:t xml:space="preserve"> section:</w:t>
      </w:r>
    </w:p>
    <w:p w14:paraId="5CAB775D" w14:textId="685BAEDF" w:rsidR="3EF7FB48" w:rsidRDefault="3EF7FB48" w:rsidP="002A3A1E">
      <w:pPr>
        <w:pStyle w:val="NormalWeb"/>
        <w:spacing w:line="360" w:lineRule="auto"/>
        <w:rPr>
          <w:rFonts w:eastAsia="Calibri"/>
          <w:color w:val="4472C4" w:themeColor="accent1"/>
        </w:rPr>
      </w:pPr>
    </w:p>
    <w:p w14:paraId="62D820AD" w14:textId="55B660F8" w:rsidR="20976B41" w:rsidRDefault="20976B41" w:rsidP="002A3A1E">
      <w:pPr>
        <w:pStyle w:val="NormalWeb"/>
        <w:spacing w:line="360" w:lineRule="auto"/>
        <w:ind w:firstLine="720"/>
        <w:rPr>
          <w:rFonts w:eastAsia="Calibri"/>
        </w:rPr>
      </w:pPr>
      <w:r w:rsidRPr="3EF7FB48">
        <w:rPr>
          <w:rFonts w:eastAsia="Calibri"/>
          <w:color w:val="4472C4" w:themeColor="accent1"/>
        </w:rPr>
        <w:t>“</w:t>
      </w:r>
      <w:r w:rsidR="7A3A5FBC" w:rsidRPr="3EF7FB48">
        <w:rPr>
          <w:rFonts w:eastAsia="Calibri"/>
          <w:color w:val="4472C4" w:themeColor="accent1"/>
        </w:rPr>
        <w:t xml:space="preserve">This </w:t>
      </w:r>
      <w:r w:rsidR="00501644">
        <w:rPr>
          <w:rFonts w:eastAsia="Calibri"/>
          <w:color w:val="4472C4" w:themeColor="accent1"/>
        </w:rPr>
        <w:t>publication</w:t>
      </w:r>
      <w:r w:rsidR="7A3A5FBC" w:rsidRPr="3EF7FB48">
        <w:rPr>
          <w:rFonts w:eastAsia="Calibri"/>
          <w:color w:val="4472C4" w:themeColor="accent1"/>
        </w:rPr>
        <w:t xml:space="preserve"> involves the use of existing collections of data or records that contain only non-identifiable data about human beings.</w:t>
      </w:r>
      <w:r w:rsidR="42497E8A" w:rsidRPr="3EF7FB48">
        <w:rPr>
          <w:rFonts w:eastAsia="Calibri"/>
          <w:color w:val="4472C4" w:themeColor="accent1"/>
        </w:rPr>
        <w:t>”</w:t>
      </w:r>
      <w:r w:rsidR="7A3A5FBC" w:rsidRPr="3EF7FB48">
        <w:rPr>
          <w:rFonts w:eastAsia="Calibri"/>
          <w:color w:val="4472C4" w:themeColor="accent1"/>
        </w:rPr>
        <w:t xml:space="preserve"> </w:t>
      </w:r>
      <w:r w:rsidR="7A3A5FBC" w:rsidRPr="3EF7FB48">
        <w:rPr>
          <w:rFonts w:eastAsia="Calibri"/>
        </w:rPr>
        <w:t xml:space="preserve"> </w:t>
      </w:r>
    </w:p>
    <w:p w14:paraId="4C832424" w14:textId="5DD0D425" w:rsidR="3EF7FB48" w:rsidRDefault="3EF7FB48" w:rsidP="002A3A1E">
      <w:pPr>
        <w:pStyle w:val="NormalWeb"/>
        <w:spacing w:line="360" w:lineRule="auto"/>
        <w:rPr>
          <w:rFonts w:eastAsia="Calibri"/>
        </w:rPr>
      </w:pPr>
    </w:p>
    <w:p w14:paraId="0E9288DD" w14:textId="26A625D7" w:rsidR="00F33526" w:rsidRPr="008E674B" w:rsidRDefault="70A3BDAF" w:rsidP="002A3A1E">
      <w:pPr>
        <w:pStyle w:val="NormalWeb"/>
        <w:spacing w:line="360" w:lineRule="auto"/>
        <w:rPr>
          <w:rFonts w:eastAsia="Calibri"/>
        </w:rPr>
      </w:pPr>
      <w:r w:rsidRPr="3EF7FB48">
        <w:rPr>
          <w:rFonts w:eastAsia="Calibri"/>
        </w:rPr>
        <w:t>3. Please update the ethics statement in the manuscript and in the online submission form with information you provided in the supplementary file 'Emyria Quality Assurance Ethics Review'.</w:t>
      </w:r>
    </w:p>
    <w:p w14:paraId="378D206A" w14:textId="665C19DE" w:rsidR="3EF7FB48" w:rsidRDefault="3EF7FB48" w:rsidP="002A3A1E">
      <w:pPr>
        <w:pStyle w:val="NormalWeb"/>
        <w:spacing w:line="360" w:lineRule="auto"/>
        <w:rPr>
          <w:rFonts w:eastAsia="Calibri"/>
        </w:rPr>
      </w:pPr>
    </w:p>
    <w:p w14:paraId="792E865A" w14:textId="729A8453" w:rsidR="2A43646F" w:rsidRDefault="2A43646F" w:rsidP="002A3A1E">
      <w:pPr>
        <w:pStyle w:val="NormalWeb"/>
        <w:spacing w:line="360" w:lineRule="auto"/>
        <w:rPr>
          <w:rFonts w:eastAsia="Calibri"/>
          <w:color w:val="4472C4" w:themeColor="accent1"/>
        </w:rPr>
      </w:pPr>
      <w:r w:rsidRPr="3EF7FB48">
        <w:rPr>
          <w:rFonts w:eastAsia="Calibri"/>
          <w:color w:val="4472C4" w:themeColor="accent1"/>
        </w:rPr>
        <w:t xml:space="preserve">Response: </w:t>
      </w:r>
      <w:r w:rsidR="00501644">
        <w:rPr>
          <w:rFonts w:eastAsia="Calibri"/>
          <w:color w:val="4472C4" w:themeColor="accent1"/>
        </w:rPr>
        <w:t>Thank you</w:t>
      </w:r>
      <w:r w:rsidRPr="3EF7FB48">
        <w:rPr>
          <w:rFonts w:eastAsia="Calibri"/>
          <w:color w:val="4472C4" w:themeColor="accent1"/>
        </w:rPr>
        <w:t xml:space="preserve">, we have now incorporated the following ethics statement </w:t>
      </w:r>
      <w:r w:rsidR="596F1700" w:rsidRPr="3EF7FB48">
        <w:rPr>
          <w:rFonts w:eastAsia="Calibri"/>
          <w:color w:val="4472C4" w:themeColor="accent1"/>
        </w:rPr>
        <w:t>in both manuscript as well as the corresponding online submission form</w:t>
      </w:r>
      <w:r w:rsidRPr="3EF7FB48">
        <w:rPr>
          <w:rFonts w:eastAsia="Calibri"/>
          <w:color w:val="4472C4" w:themeColor="accent1"/>
        </w:rPr>
        <w:t>:</w:t>
      </w:r>
    </w:p>
    <w:p w14:paraId="7E3B2727" w14:textId="4E56E068" w:rsidR="00946502" w:rsidRPr="004E6962" w:rsidRDefault="00946502" w:rsidP="004E6962">
      <w:pPr>
        <w:pStyle w:val="NormalWeb"/>
        <w:spacing w:line="360" w:lineRule="auto"/>
        <w:rPr>
          <w:rFonts w:eastAsia="Calibri"/>
          <w:color w:val="4472C4" w:themeColor="accent1"/>
        </w:rPr>
      </w:pPr>
      <w:r w:rsidRPr="004E6962">
        <w:rPr>
          <w:rFonts w:eastAsia="Calibri"/>
          <w:color w:val="4472C4" w:themeColor="accent1"/>
        </w:rPr>
        <w:t>“All registered patients (or legal guardians of those without capacity to give consent, including minors) gave written informed consent and agreed to the use of their de-identified data for research purposes. Review by a Human Research Committee was not required, as all assessments were conducted as part of routine clinical care in line with the Special Access Scheme requirements. This publication involves the use of existing collections of data or records that contain only non-identifiable data about human beings. Australian research is guided by the Australian National Health and Medical Research Council’s “National Statement on Ethical Conduct in Human Research (2007, updated 2018)”[19], which permits non-Human Research Ethics Committee (HREC) pathways for research that is deemed to be of low or negligible risk. Consistent with this provision, and in following internal research review Emyria additionally consulted an independent ethics committee chair and an independent ethics consultant, who agreed that the collection and use of de-identified patient data for this registry protects the rights safety and well-being without risk to the individuals.”</w:t>
      </w:r>
    </w:p>
    <w:p w14:paraId="3B8A3D17" w14:textId="3DCCFC66" w:rsidR="2E73336A" w:rsidRDefault="2E73336A" w:rsidP="2E73336A">
      <w:pPr>
        <w:pStyle w:val="NormalWeb"/>
        <w:spacing w:line="360" w:lineRule="auto"/>
        <w:rPr>
          <w:rFonts w:eastAsia="Calibri"/>
          <w:color w:val="4472C4" w:themeColor="accent1"/>
        </w:rPr>
      </w:pPr>
    </w:p>
    <w:p w14:paraId="0EAE85B7" w14:textId="53C2842A" w:rsidR="515C62A3" w:rsidRDefault="003917FF" w:rsidP="002A3A1E">
      <w:pPr>
        <w:pStyle w:val="NormalWeb"/>
        <w:spacing w:line="360" w:lineRule="auto"/>
        <w:rPr>
          <w:rFonts w:eastAsia="Calibri"/>
          <w:color w:val="4472C4" w:themeColor="accent1"/>
        </w:rPr>
      </w:pPr>
      <w:r w:rsidRPr="000975D3">
        <w:rPr>
          <w:rFonts w:eastAsia="Calibri"/>
          <w:color w:val="4472C4" w:themeColor="accent1"/>
        </w:rPr>
        <w:t>We understand your concern</w:t>
      </w:r>
      <w:r w:rsidR="0018284A" w:rsidRPr="000975D3">
        <w:rPr>
          <w:rFonts w:eastAsia="Calibri"/>
          <w:color w:val="4472C4" w:themeColor="accent1"/>
        </w:rPr>
        <w:t xml:space="preserve"> about having ethical review </w:t>
      </w:r>
      <w:r w:rsidR="00EE1AF2" w:rsidRPr="000975D3">
        <w:rPr>
          <w:rFonts w:eastAsia="Calibri"/>
          <w:color w:val="4472C4" w:themeColor="accent1"/>
        </w:rPr>
        <w:t xml:space="preserve">– we did have several discussions with the </w:t>
      </w:r>
      <w:r w:rsidR="000975D3" w:rsidRPr="000975D3">
        <w:rPr>
          <w:rFonts w:eastAsia="Calibri"/>
          <w:color w:val="4472C4" w:themeColor="accent1"/>
        </w:rPr>
        <w:t>chairperson</w:t>
      </w:r>
      <w:r w:rsidR="00EE1AF2" w:rsidRPr="000975D3">
        <w:rPr>
          <w:rFonts w:eastAsia="Calibri"/>
          <w:color w:val="4472C4" w:themeColor="accent1"/>
        </w:rPr>
        <w:t xml:space="preserve"> from our independent ethics committee (Bellberry, Ltd) as well as with our independent ethics consultant (Prof Nik Zeps), and were advised that because the collection of th</w:t>
      </w:r>
      <w:r w:rsidR="00CE5AE3" w:rsidRPr="000975D3">
        <w:rPr>
          <w:rFonts w:eastAsia="Calibri"/>
          <w:color w:val="4472C4" w:themeColor="accent1"/>
        </w:rPr>
        <w:t>ese</w:t>
      </w:r>
      <w:r w:rsidR="00EE1AF2" w:rsidRPr="000975D3">
        <w:rPr>
          <w:rFonts w:eastAsia="Calibri"/>
          <w:color w:val="4472C4" w:themeColor="accent1"/>
        </w:rPr>
        <w:t xml:space="preserve"> data was done 1. </w:t>
      </w:r>
      <w:r w:rsidR="00C14154" w:rsidRPr="000975D3">
        <w:rPr>
          <w:rFonts w:eastAsia="Calibri"/>
          <w:color w:val="4472C4" w:themeColor="accent1"/>
        </w:rPr>
        <w:t>As part of routine medical care, and 2.</w:t>
      </w:r>
      <w:r w:rsidR="00CE5AE3" w:rsidRPr="000975D3">
        <w:rPr>
          <w:rFonts w:eastAsia="Calibri"/>
          <w:color w:val="4472C4" w:themeColor="accent1"/>
        </w:rPr>
        <w:t xml:space="preserve"> </w:t>
      </w:r>
      <w:r w:rsidR="00A95ED3" w:rsidRPr="000975D3">
        <w:rPr>
          <w:rFonts w:eastAsia="Calibri"/>
          <w:color w:val="4472C4" w:themeColor="accent1"/>
        </w:rPr>
        <w:t xml:space="preserve">In a de-identified manner with patients who signed written informed consent, </w:t>
      </w:r>
      <w:r w:rsidR="00A56650" w:rsidRPr="000975D3">
        <w:rPr>
          <w:rFonts w:eastAsia="Calibri"/>
          <w:color w:val="4472C4" w:themeColor="accent1"/>
        </w:rPr>
        <w:t xml:space="preserve">that </w:t>
      </w:r>
      <w:r w:rsidR="00680017" w:rsidRPr="000975D3">
        <w:rPr>
          <w:rFonts w:eastAsia="Calibri"/>
          <w:color w:val="4472C4" w:themeColor="accent1"/>
        </w:rPr>
        <w:t>formal ethical review was not required</w:t>
      </w:r>
      <w:r w:rsidR="008B76F5" w:rsidRPr="000975D3">
        <w:rPr>
          <w:rFonts w:eastAsia="Calibri"/>
          <w:color w:val="4472C4" w:themeColor="accent1"/>
        </w:rPr>
        <w:t xml:space="preserve"> because </w:t>
      </w:r>
      <w:r w:rsidR="00CF6049" w:rsidRPr="000975D3">
        <w:rPr>
          <w:rFonts w:eastAsia="Calibri"/>
          <w:color w:val="4472C4" w:themeColor="accent1"/>
        </w:rPr>
        <w:t xml:space="preserve">it conformed with the </w:t>
      </w:r>
      <w:r w:rsidR="00B36FE4" w:rsidRPr="000975D3">
        <w:rPr>
          <w:rFonts w:eastAsia="Calibri"/>
          <w:color w:val="4472C4" w:themeColor="accent1"/>
        </w:rPr>
        <w:t xml:space="preserve">provision for </w:t>
      </w:r>
      <w:r w:rsidR="00A21324" w:rsidRPr="000975D3">
        <w:rPr>
          <w:rFonts w:eastAsia="Calibri"/>
          <w:color w:val="4472C4" w:themeColor="accent1"/>
        </w:rPr>
        <w:t>non-HREC review within the NHMRC’s “National Statement</w:t>
      </w:r>
      <w:r w:rsidR="000975D3" w:rsidRPr="000975D3">
        <w:rPr>
          <w:rFonts w:eastAsia="Calibri"/>
          <w:color w:val="4472C4" w:themeColor="accent1"/>
        </w:rPr>
        <w:t xml:space="preserve"> on Ethics Conduct in Human Research”. </w:t>
      </w:r>
      <w:r w:rsidR="000975D3">
        <w:rPr>
          <w:rFonts w:eastAsia="Calibri"/>
          <w:color w:val="4472C4" w:themeColor="accent1"/>
        </w:rPr>
        <w:t xml:space="preserve">  </w:t>
      </w:r>
    </w:p>
    <w:p w14:paraId="08628C01" w14:textId="6BA5C905" w:rsidR="003F1DFB" w:rsidRDefault="0432EE60" w:rsidP="00C07193">
      <w:pPr>
        <w:pStyle w:val="NormalWeb"/>
        <w:spacing w:line="360" w:lineRule="auto"/>
        <w:rPr>
          <w:rFonts w:eastAsia="Calibri"/>
          <w:color w:val="4472C4" w:themeColor="accent1"/>
        </w:rPr>
      </w:pPr>
      <w:r w:rsidRPr="2CF64CE2">
        <w:rPr>
          <w:rFonts w:eastAsia="Calibri"/>
          <w:color w:val="4472C4" w:themeColor="accent1"/>
        </w:rPr>
        <w:t xml:space="preserve">We have </w:t>
      </w:r>
      <w:r w:rsidR="000E4981">
        <w:rPr>
          <w:rFonts w:eastAsia="Calibri"/>
          <w:color w:val="4472C4" w:themeColor="accent1"/>
        </w:rPr>
        <w:t>inc</w:t>
      </w:r>
      <w:r w:rsidR="00364330">
        <w:rPr>
          <w:rFonts w:eastAsia="Calibri"/>
          <w:color w:val="4472C4" w:themeColor="accent1"/>
        </w:rPr>
        <w:t>luded both the Emerald Clinics c</w:t>
      </w:r>
      <w:r w:rsidR="00F3744F">
        <w:rPr>
          <w:rFonts w:eastAsia="Calibri"/>
          <w:color w:val="4472C4" w:themeColor="accent1"/>
        </w:rPr>
        <w:t>onsent form</w:t>
      </w:r>
      <w:r w:rsidR="00364330">
        <w:rPr>
          <w:rFonts w:eastAsia="Calibri"/>
          <w:color w:val="4472C4" w:themeColor="accent1"/>
        </w:rPr>
        <w:t xml:space="preserve"> and the</w:t>
      </w:r>
      <w:r w:rsidR="3F5E245D" w:rsidRPr="504862E9">
        <w:rPr>
          <w:rFonts w:eastAsia="Calibri"/>
          <w:color w:val="4472C4" w:themeColor="accent1"/>
        </w:rPr>
        <w:t xml:space="preserve"> </w:t>
      </w:r>
      <w:r w:rsidR="3F5E245D" w:rsidRPr="768C8B4B">
        <w:rPr>
          <w:rFonts w:eastAsia="Calibri"/>
          <w:color w:val="4472C4" w:themeColor="accent1"/>
        </w:rPr>
        <w:t xml:space="preserve">Emyria </w:t>
      </w:r>
      <w:r w:rsidR="3F5E245D" w:rsidRPr="03019EE1">
        <w:rPr>
          <w:rFonts w:eastAsia="Calibri"/>
          <w:color w:val="4472C4" w:themeColor="accent1"/>
        </w:rPr>
        <w:t xml:space="preserve">Quality assurance Ethics </w:t>
      </w:r>
      <w:r w:rsidR="3F5E245D" w:rsidRPr="58065E83">
        <w:rPr>
          <w:rFonts w:eastAsia="Calibri"/>
          <w:color w:val="4472C4" w:themeColor="accent1"/>
        </w:rPr>
        <w:t xml:space="preserve">review document in the </w:t>
      </w:r>
      <w:r w:rsidR="3F5E245D" w:rsidRPr="7B58748A">
        <w:rPr>
          <w:rFonts w:eastAsia="Calibri"/>
          <w:color w:val="4472C4" w:themeColor="accent1"/>
        </w:rPr>
        <w:t>Supplementary file</w:t>
      </w:r>
      <w:r w:rsidR="00F15B26">
        <w:rPr>
          <w:rFonts w:eastAsia="Calibri"/>
          <w:color w:val="4472C4" w:themeColor="accent1"/>
        </w:rPr>
        <w:t>s.</w:t>
      </w:r>
    </w:p>
    <w:p w14:paraId="48963F21" w14:textId="3B584495" w:rsidR="6FE9F351" w:rsidRDefault="6FE9F351" w:rsidP="6FE9F351">
      <w:pPr>
        <w:pStyle w:val="NormalWeb"/>
        <w:spacing w:line="360" w:lineRule="auto"/>
        <w:rPr>
          <w:rFonts w:eastAsia="Calibri"/>
          <w:color w:val="4472C4" w:themeColor="accent1"/>
        </w:rPr>
      </w:pPr>
    </w:p>
    <w:p w14:paraId="5F18E1B5" w14:textId="77777777" w:rsidR="00F33526" w:rsidRPr="008E674B" w:rsidRDefault="70A3BDAF" w:rsidP="002A3A1E">
      <w:pPr>
        <w:pStyle w:val="NormalWeb"/>
        <w:spacing w:line="360" w:lineRule="auto"/>
        <w:rPr>
          <w:rFonts w:eastAsia="Calibri"/>
        </w:rPr>
      </w:pPr>
      <w:r w:rsidRPr="3EF7FB48">
        <w:rPr>
          <w:rFonts w:eastAsia="Calibri"/>
        </w:rPr>
        <w:t>4. In your Methods section, please ensure you have also stated whether you obtained consent from parents or guardians of the minors included in the registry (if applicable).</w:t>
      </w:r>
    </w:p>
    <w:p w14:paraId="43FE8C02" w14:textId="51994F7E" w:rsidR="00D61751" w:rsidRPr="00D61751" w:rsidRDefault="00D61751" w:rsidP="002A3A1E">
      <w:pPr>
        <w:pStyle w:val="NormalWeb"/>
        <w:spacing w:line="360" w:lineRule="auto"/>
        <w:textAlignment w:val="baseline"/>
        <w:rPr>
          <w:rFonts w:eastAsia="Calibri"/>
        </w:rPr>
      </w:pPr>
    </w:p>
    <w:p w14:paraId="44863054" w14:textId="03B4C04C" w:rsidR="3DBAD809" w:rsidRDefault="3DBAD809" w:rsidP="01E63B41">
      <w:pPr>
        <w:pStyle w:val="NormalWeb"/>
        <w:spacing w:line="360" w:lineRule="auto"/>
        <w:rPr>
          <w:rFonts w:eastAsia="Calibri"/>
          <w:color w:val="000000" w:themeColor="text1"/>
        </w:rPr>
      </w:pPr>
      <w:r w:rsidRPr="01E63B41">
        <w:rPr>
          <w:rFonts w:eastAsia="Calibri"/>
          <w:color w:val="4472C4" w:themeColor="accent1"/>
        </w:rPr>
        <w:t xml:space="preserve">Response: </w:t>
      </w:r>
      <w:r w:rsidR="0AC73D36" w:rsidRPr="01E63B41">
        <w:rPr>
          <w:rFonts w:eastAsia="Calibri"/>
          <w:color w:val="4472C4" w:themeColor="accent1"/>
        </w:rPr>
        <w:t>Thank you we have added specific information on written informed consent</w:t>
      </w:r>
      <w:r w:rsidR="336C1A2B" w:rsidRPr="01E63B41">
        <w:rPr>
          <w:rFonts w:eastAsia="Calibri"/>
          <w:color w:val="4472C4" w:themeColor="accent1"/>
        </w:rPr>
        <w:t xml:space="preserve"> from legal guardians </w:t>
      </w:r>
      <w:r w:rsidR="0AC73D36" w:rsidRPr="01E63B41">
        <w:rPr>
          <w:rFonts w:eastAsia="Calibri"/>
          <w:color w:val="4472C4" w:themeColor="accent1"/>
        </w:rPr>
        <w:t>for minors and those without cap</w:t>
      </w:r>
      <w:r w:rsidR="760DA370" w:rsidRPr="01E63B41">
        <w:rPr>
          <w:rFonts w:eastAsia="Calibri"/>
          <w:color w:val="4472C4" w:themeColor="accent1"/>
        </w:rPr>
        <w:t>acity to provide informed consent</w:t>
      </w:r>
      <w:r w:rsidR="20546E9C" w:rsidRPr="01E63B41">
        <w:rPr>
          <w:rFonts w:eastAsia="Calibri"/>
          <w:color w:val="4472C4" w:themeColor="accent1"/>
        </w:rPr>
        <w:t xml:space="preserve"> in the ethics statement </w:t>
      </w:r>
      <w:r w:rsidR="00FA25DE">
        <w:rPr>
          <w:rFonts w:eastAsia="Calibri"/>
          <w:color w:val="4472C4" w:themeColor="accent1"/>
        </w:rPr>
        <w:t>(see comment 3 above).</w:t>
      </w:r>
    </w:p>
    <w:p w14:paraId="6C1EAEB9" w14:textId="68E2933F" w:rsidR="3A11DA4E" w:rsidRDefault="3A11DA4E" w:rsidP="3A11DA4E">
      <w:pPr>
        <w:pStyle w:val="NormalWeb"/>
        <w:spacing w:line="360" w:lineRule="auto"/>
        <w:rPr>
          <w:rFonts w:eastAsia="Calibri"/>
          <w:color w:val="4472C4" w:themeColor="accent1"/>
        </w:rPr>
      </w:pPr>
    </w:p>
    <w:p w14:paraId="3ADB9EA0" w14:textId="5831A768" w:rsidR="00F33526" w:rsidRDefault="70A3BDAF" w:rsidP="002A3A1E">
      <w:pPr>
        <w:pStyle w:val="NormalWeb"/>
        <w:spacing w:line="360" w:lineRule="auto"/>
        <w:rPr>
          <w:rFonts w:eastAsia="Calibri"/>
        </w:rPr>
      </w:pPr>
      <w:r w:rsidRPr="3EF7FB48">
        <w:rPr>
          <w:rFonts w:eastAsia="Calibri"/>
        </w:rPr>
        <w:t xml:space="preserve">5. In your Data Availability statement, you have not specified where the minimal data set underlying the results described in your manuscript can be found. PLOS defines a study's minimal data set as the underlying data used to reach the conclusions drawn in the manuscript and any additional data required to replicate the reported study findings in their entirety. All PLOS journals require that the minimal data set be made fully available. For more information about our data policy, please see </w:t>
      </w:r>
      <w:hyperlink r:id="rId10">
        <w:r w:rsidRPr="3EF7FB48">
          <w:rPr>
            <w:rStyle w:val="Hyperlink"/>
            <w:rFonts w:eastAsia="Calibri"/>
          </w:rPr>
          <w:t>http://journals.plos.org/plosone/s/data-availability</w:t>
        </w:r>
      </w:hyperlink>
      <w:r w:rsidRPr="3EF7FB48">
        <w:rPr>
          <w:rFonts w:eastAsia="Calibri"/>
        </w:rPr>
        <w:t>.</w:t>
      </w:r>
    </w:p>
    <w:p w14:paraId="31581B7B" w14:textId="17639636" w:rsidR="3EF7FB48" w:rsidRDefault="3EF7FB48" w:rsidP="002A3A1E">
      <w:pPr>
        <w:pStyle w:val="NormalWeb"/>
        <w:spacing w:line="360" w:lineRule="auto"/>
        <w:rPr>
          <w:rFonts w:eastAsia="Calibri"/>
        </w:rPr>
      </w:pPr>
    </w:p>
    <w:p w14:paraId="6DCA9BB5" w14:textId="77777777" w:rsidR="00F33526" w:rsidRDefault="70A3BDAF" w:rsidP="002A3A1E">
      <w:pPr>
        <w:pStyle w:val="NormalWeb"/>
        <w:spacing w:line="360" w:lineRule="auto"/>
        <w:rPr>
          <w:rFonts w:eastAsia="Calibri"/>
        </w:rPr>
      </w:pPr>
      <w:r w:rsidRPr="3EF7FB48">
        <w:rPr>
          <w:rFonts w:eastAsia="Calibri"/>
        </w:rPr>
        <w:t>We will update your Data Availability statement to reflect the information you provide in your cover letter.</w:t>
      </w:r>
    </w:p>
    <w:p w14:paraId="7B439D82" w14:textId="2BC8A1F4" w:rsidR="3EF7FB48" w:rsidRDefault="3EF7FB48" w:rsidP="002A3A1E">
      <w:pPr>
        <w:pStyle w:val="NormalWeb"/>
        <w:spacing w:line="360" w:lineRule="auto"/>
        <w:rPr>
          <w:rFonts w:eastAsia="Calibri"/>
        </w:rPr>
      </w:pPr>
    </w:p>
    <w:p w14:paraId="731B81AE" w14:textId="55D9C5C1" w:rsidR="3283F5E1" w:rsidRDefault="3283F5E1" w:rsidP="002A3A1E">
      <w:pPr>
        <w:pStyle w:val="NormalWeb"/>
        <w:spacing w:line="360" w:lineRule="auto"/>
        <w:rPr>
          <w:rFonts w:eastAsia="Calibri"/>
          <w:color w:val="4472C4" w:themeColor="accent1"/>
        </w:rPr>
      </w:pPr>
      <w:r w:rsidRPr="3EF7FB48">
        <w:rPr>
          <w:rFonts w:eastAsia="Calibri"/>
          <w:color w:val="4472C4" w:themeColor="accent1"/>
        </w:rPr>
        <w:t xml:space="preserve">Response: Thank you once again for providing some helpful guidelines for us to follow. We have now </w:t>
      </w:r>
      <w:r w:rsidR="276512E2" w:rsidRPr="3EF7FB48">
        <w:rPr>
          <w:rFonts w:eastAsia="Calibri"/>
          <w:color w:val="4472C4" w:themeColor="accent1"/>
        </w:rPr>
        <w:t xml:space="preserve">included in the Supporting Information files </w:t>
      </w:r>
      <w:r w:rsidR="0C0600A2" w:rsidRPr="3EF7FB48">
        <w:rPr>
          <w:rFonts w:eastAsia="Calibri"/>
          <w:color w:val="4472C4" w:themeColor="accent1"/>
        </w:rPr>
        <w:t xml:space="preserve">in </w:t>
      </w:r>
      <w:r w:rsidR="5BC2AA1D" w:rsidRPr="3EF7FB48">
        <w:rPr>
          <w:rFonts w:eastAsia="Calibri"/>
          <w:color w:val="4472C4" w:themeColor="accent1"/>
        </w:rPr>
        <w:t>a folder (labelled Data) containing all the datasets used in the analysis as well as a set of instructions</w:t>
      </w:r>
      <w:r w:rsidR="65D2DF76" w:rsidRPr="3EF7FB48">
        <w:rPr>
          <w:rFonts w:eastAsia="Calibri"/>
          <w:color w:val="4472C4" w:themeColor="accent1"/>
        </w:rPr>
        <w:t xml:space="preserve"> detailing the replication process for all the tables and figures generated and </w:t>
      </w:r>
      <w:r w:rsidR="484C125C" w:rsidRPr="3EF7FB48">
        <w:rPr>
          <w:rFonts w:eastAsia="Calibri"/>
          <w:color w:val="4472C4" w:themeColor="accent1"/>
        </w:rPr>
        <w:t>displayed</w:t>
      </w:r>
      <w:r w:rsidR="65D2DF76" w:rsidRPr="3EF7FB48">
        <w:rPr>
          <w:rFonts w:eastAsia="Calibri"/>
          <w:color w:val="4472C4" w:themeColor="accent1"/>
        </w:rPr>
        <w:t xml:space="preserve"> in the ma</w:t>
      </w:r>
      <w:r w:rsidR="2868D3D8" w:rsidRPr="3EF7FB48">
        <w:rPr>
          <w:rFonts w:eastAsia="Calibri"/>
          <w:color w:val="4472C4" w:themeColor="accent1"/>
        </w:rPr>
        <w:t>nuscript.</w:t>
      </w:r>
    </w:p>
    <w:p w14:paraId="3135E178" w14:textId="53B2573A" w:rsidR="3EF7FB48" w:rsidRDefault="3EF7FB48" w:rsidP="002A3A1E">
      <w:pPr>
        <w:pStyle w:val="NormalWeb"/>
        <w:spacing w:line="360" w:lineRule="auto"/>
        <w:rPr>
          <w:rFonts w:eastAsia="Calibri"/>
        </w:rPr>
      </w:pPr>
    </w:p>
    <w:p w14:paraId="5843BCF5" w14:textId="77777777" w:rsidR="00F33526" w:rsidRDefault="70A3BDAF" w:rsidP="002A3A1E">
      <w:pPr>
        <w:pStyle w:val="NormalWeb"/>
        <w:spacing w:line="360" w:lineRule="auto"/>
        <w:rPr>
          <w:rFonts w:eastAsia="Calibri"/>
        </w:rPr>
      </w:pPr>
      <w:r w:rsidRPr="3EF7FB48">
        <w:rPr>
          <w:rFonts w:eastAsia="Calibri"/>
        </w:rPr>
        <w:t>6. We note that the grant information you provided in the ‘Funding Information’ and ‘Financial Disclosure’ sections do not match.</w:t>
      </w:r>
    </w:p>
    <w:p w14:paraId="266546D5" w14:textId="441546BF" w:rsidR="3EF7FB48" w:rsidRDefault="3EF7FB48" w:rsidP="002A3A1E">
      <w:pPr>
        <w:pStyle w:val="NormalWeb"/>
        <w:spacing w:line="360" w:lineRule="auto"/>
        <w:rPr>
          <w:rFonts w:eastAsia="Calibri"/>
        </w:rPr>
      </w:pPr>
    </w:p>
    <w:p w14:paraId="39B4EB74" w14:textId="77777777" w:rsidR="00F33526" w:rsidRDefault="70A3BDAF" w:rsidP="002A3A1E">
      <w:pPr>
        <w:pStyle w:val="NormalWeb"/>
        <w:spacing w:line="360" w:lineRule="auto"/>
        <w:rPr>
          <w:rFonts w:eastAsia="Calibri"/>
        </w:rPr>
      </w:pPr>
      <w:r w:rsidRPr="3EF7FB48">
        <w:rPr>
          <w:rFonts w:eastAsia="Calibri"/>
        </w:rPr>
        <w:t>When you resubmit, please ensure that you provide the correct grant numbers for the awards you received for your study in the ‘Funding Information’ section.</w:t>
      </w:r>
    </w:p>
    <w:p w14:paraId="7EF24B53" w14:textId="685F4303" w:rsidR="3EF7FB48" w:rsidRDefault="3EF7FB48" w:rsidP="002A3A1E">
      <w:pPr>
        <w:pStyle w:val="NormalWeb"/>
        <w:spacing w:line="360" w:lineRule="auto"/>
        <w:rPr>
          <w:rFonts w:eastAsia="Calibri"/>
        </w:rPr>
      </w:pPr>
    </w:p>
    <w:p w14:paraId="2723BD89" w14:textId="6023F4B2" w:rsidR="24C6F6AA" w:rsidRDefault="24C6F6AA" w:rsidP="002A3A1E">
      <w:pPr>
        <w:pStyle w:val="NormalWeb"/>
        <w:spacing w:line="360" w:lineRule="auto"/>
        <w:rPr>
          <w:rFonts w:eastAsia="Calibri"/>
          <w:color w:val="4472C4" w:themeColor="accent1"/>
        </w:rPr>
      </w:pPr>
      <w:r w:rsidRPr="3EF7FB48">
        <w:rPr>
          <w:rFonts w:eastAsia="Calibri"/>
          <w:color w:val="4472C4" w:themeColor="accent1"/>
        </w:rPr>
        <w:t>Response: Thank you for pointing out this di</w:t>
      </w:r>
      <w:r w:rsidR="36B1B8FB" w:rsidRPr="3EF7FB48">
        <w:rPr>
          <w:rFonts w:eastAsia="Calibri"/>
          <w:color w:val="4472C4" w:themeColor="accent1"/>
        </w:rPr>
        <w:t xml:space="preserve">screpancy which we can assure you was an accidental oversight. We have now ensured that the </w:t>
      </w:r>
      <w:r w:rsidR="52CD1602" w:rsidRPr="3EF7FB48">
        <w:rPr>
          <w:rFonts w:eastAsia="Calibri"/>
          <w:color w:val="4472C4" w:themeColor="accent1"/>
        </w:rPr>
        <w:t xml:space="preserve">corresponding information </w:t>
      </w:r>
      <w:r w:rsidR="58D87FC6" w:rsidRPr="3EF7FB48">
        <w:rPr>
          <w:rFonts w:eastAsia="Calibri"/>
          <w:color w:val="4472C4" w:themeColor="accent1"/>
        </w:rPr>
        <w:t xml:space="preserve">displayed </w:t>
      </w:r>
      <w:r w:rsidR="52CD1602" w:rsidRPr="3EF7FB48">
        <w:rPr>
          <w:rFonts w:eastAsia="Calibri"/>
          <w:color w:val="4472C4" w:themeColor="accent1"/>
        </w:rPr>
        <w:t>is consistent across both sections.</w:t>
      </w:r>
    </w:p>
    <w:p w14:paraId="2682F7C6" w14:textId="4DC727BE" w:rsidR="3EF7FB48" w:rsidRDefault="3EF7FB48" w:rsidP="002A3A1E">
      <w:pPr>
        <w:pStyle w:val="NormalWeb"/>
        <w:spacing w:line="360" w:lineRule="auto"/>
        <w:rPr>
          <w:rFonts w:eastAsia="Calibri"/>
        </w:rPr>
      </w:pPr>
    </w:p>
    <w:p w14:paraId="28AC1326" w14:textId="77777777" w:rsidR="00F33526" w:rsidRDefault="70A3BDAF" w:rsidP="002A3A1E">
      <w:pPr>
        <w:pStyle w:val="NormalWeb"/>
        <w:spacing w:line="360" w:lineRule="auto"/>
        <w:rPr>
          <w:rFonts w:eastAsia="Calibri"/>
        </w:rPr>
      </w:pPr>
      <w:r w:rsidRPr="3EF7FB48">
        <w:rPr>
          <w:rFonts w:eastAsia="Calibri"/>
        </w:rPr>
        <w:t>7. Thank you for stating the following in the Competing Interests section:</w:t>
      </w:r>
    </w:p>
    <w:p w14:paraId="7E7E1FE4" w14:textId="310D67E2" w:rsidR="3EF7FB48" w:rsidRDefault="3EF7FB48" w:rsidP="002A3A1E">
      <w:pPr>
        <w:pStyle w:val="NormalWeb"/>
        <w:spacing w:line="360" w:lineRule="auto"/>
        <w:rPr>
          <w:rFonts w:eastAsia="Calibri"/>
        </w:rPr>
      </w:pPr>
    </w:p>
    <w:p w14:paraId="6C67635B" w14:textId="77777777" w:rsidR="00F33526" w:rsidRDefault="70A3BDAF" w:rsidP="002A3A1E">
      <w:pPr>
        <w:pStyle w:val="NormalWeb"/>
        <w:spacing w:line="360" w:lineRule="auto"/>
        <w:rPr>
          <w:rFonts w:eastAsia="Calibri"/>
        </w:rPr>
      </w:pPr>
      <w:r w:rsidRPr="3EF7FB48">
        <w:rPr>
          <w:rFonts w:eastAsia="Calibri"/>
        </w:rPr>
        <w:t>“I have read the journal's policy and the authors of this manuscript have the following competing interests: All authors of this manuscript and the analysis are employees of Emyria Pty Ltd, a public company that owns specialist medical clinics, Emerald Clinical Network, AV is the only author who is a clinician prescribing for patients in the clinic.</w:t>
      </w:r>
    </w:p>
    <w:p w14:paraId="20714DD2" w14:textId="6BA09C50" w:rsidR="3EF7FB48" w:rsidRDefault="3EF7FB48" w:rsidP="002A3A1E">
      <w:pPr>
        <w:pStyle w:val="NormalWeb"/>
        <w:spacing w:line="360" w:lineRule="auto"/>
        <w:rPr>
          <w:rFonts w:eastAsia="Calibri"/>
        </w:rPr>
      </w:pPr>
    </w:p>
    <w:p w14:paraId="555B8FFF" w14:textId="77777777" w:rsidR="00F33526" w:rsidRDefault="70A3BDAF" w:rsidP="002A3A1E">
      <w:pPr>
        <w:pStyle w:val="NormalWeb"/>
        <w:spacing w:line="360" w:lineRule="auto"/>
        <w:rPr>
          <w:rFonts w:eastAsia="Calibri"/>
        </w:rPr>
      </w:pPr>
      <w:r w:rsidRPr="3EF7FB48">
        <w:rPr>
          <w:rFonts w:eastAsia="Calibri"/>
        </w:rPr>
        <w:t>This uncontrolled cohort real-world analysis presents observed data and all data have been included across the entire cohort. Emerald Clinical Network does not have any affiliation with the MC producers and clinicians at the Emerald Clinical Network are independent contractors that choose for whom, when and what to prescribe for patients referred to the clinic. Clinicians are not provided inducement or instruction to prescribe any brand or formulation of Medicinal cannabis product.”</w:t>
      </w:r>
    </w:p>
    <w:p w14:paraId="7F3F1904" w14:textId="71B61068" w:rsidR="3EF7FB48" w:rsidRDefault="3EF7FB48" w:rsidP="002A3A1E">
      <w:pPr>
        <w:pStyle w:val="NormalWeb"/>
        <w:spacing w:line="360" w:lineRule="auto"/>
        <w:rPr>
          <w:rFonts w:eastAsia="Calibri"/>
        </w:rPr>
      </w:pPr>
    </w:p>
    <w:p w14:paraId="34AFFFE1" w14:textId="77777777" w:rsidR="00F33526" w:rsidRPr="00457095" w:rsidRDefault="70A3BDAF" w:rsidP="002A3A1E">
      <w:pPr>
        <w:pStyle w:val="NormalWeb"/>
        <w:spacing w:line="360" w:lineRule="auto"/>
        <w:rPr>
          <w:rFonts w:eastAsia="Calibri"/>
        </w:rPr>
      </w:pPr>
      <w:r w:rsidRPr="3EF7FB48">
        <w:rPr>
          <w:rFonts w:eastAsia="Calibri"/>
        </w:rPr>
        <w:t xml:space="preserve">Please confirm that this does not alter your adherence to all PLOS ONE policies on sharing data and materials, by including the following statement: "This does not alter our adherence to  PLOS ONE policies on sharing data and materials.” (as detailed online in our guide for authors </w:t>
      </w:r>
      <w:hyperlink r:id="rId11">
        <w:r w:rsidRPr="3EF7FB48">
          <w:rPr>
            <w:rStyle w:val="Hyperlink"/>
            <w:rFonts w:eastAsia="Calibri"/>
          </w:rPr>
          <w:t>http://journals.plos.org/plosone/s/competing-interests</w:t>
        </w:r>
      </w:hyperlink>
      <w:r w:rsidRPr="3EF7FB48">
        <w:rPr>
          <w:rFonts w:eastAsia="Calibri"/>
        </w:rPr>
        <w:t>).  If there are restrictions on sharing of data and/or materials, please state these. Please note that we cannot proceed with consideration of your article until this information has been declared.</w:t>
      </w:r>
    </w:p>
    <w:p w14:paraId="09B44B97" w14:textId="7DEDFACC" w:rsidR="3EF7FB48" w:rsidRDefault="3EF7FB48" w:rsidP="002A3A1E">
      <w:pPr>
        <w:pStyle w:val="NormalWeb"/>
        <w:spacing w:line="360" w:lineRule="auto"/>
        <w:rPr>
          <w:rFonts w:eastAsia="Calibri"/>
        </w:rPr>
      </w:pPr>
    </w:p>
    <w:p w14:paraId="5EF83733" w14:textId="77777777" w:rsidR="00F33526" w:rsidRPr="00457095" w:rsidRDefault="70A3BDAF" w:rsidP="002A3A1E">
      <w:pPr>
        <w:pStyle w:val="NormalWeb"/>
        <w:spacing w:line="360" w:lineRule="auto"/>
        <w:rPr>
          <w:rFonts w:eastAsia="Calibri"/>
        </w:rPr>
      </w:pPr>
      <w:r w:rsidRPr="3EF7FB48">
        <w:rPr>
          <w:rFonts w:eastAsia="Calibri"/>
        </w:rPr>
        <w:t>Please include your updated Competing Interests statement in your cover letter; we will change the online submission form on your behalf.</w:t>
      </w:r>
    </w:p>
    <w:p w14:paraId="44CFF714" w14:textId="67B0B96D" w:rsidR="00F33526" w:rsidRDefault="00F33526" w:rsidP="002A3A1E">
      <w:pPr>
        <w:pStyle w:val="NormalWeb"/>
        <w:spacing w:line="360" w:lineRule="auto"/>
        <w:rPr>
          <w:rFonts w:eastAsia="Calibri"/>
        </w:rPr>
      </w:pPr>
    </w:p>
    <w:p w14:paraId="6691659F" w14:textId="1FFE62C9" w:rsidR="00F33526" w:rsidRDefault="3D41EC83" w:rsidP="002A3A1E">
      <w:pPr>
        <w:pStyle w:val="NormalWeb"/>
        <w:spacing w:line="360" w:lineRule="auto"/>
        <w:rPr>
          <w:rFonts w:eastAsia="Calibri"/>
          <w:color w:val="4472C4" w:themeColor="accent1"/>
        </w:rPr>
      </w:pPr>
      <w:r w:rsidRPr="3EF7FB48">
        <w:rPr>
          <w:rFonts w:eastAsia="Calibri"/>
          <w:color w:val="4472C4" w:themeColor="accent1"/>
        </w:rPr>
        <w:t xml:space="preserve">Response: In addition to the original </w:t>
      </w:r>
      <w:r w:rsidR="26748308" w:rsidRPr="3EF7FB48">
        <w:rPr>
          <w:rFonts w:eastAsia="Calibri"/>
          <w:color w:val="4472C4" w:themeColor="accent1"/>
        </w:rPr>
        <w:t>statement provided in the Competing Interests section, the following</w:t>
      </w:r>
      <w:r w:rsidR="74BF8A25" w:rsidRPr="3EF7FB48">
        <w:rPr>
          <w:rFonts w:eastAsia="Calibri"/>
          <w:color w:val="4472C4" w:themeColor="accent1"/>
        </w:rPr>
        <w:t xml:space="preserve"> required</w:t>
      </w:r>
      <w:r w:rsidR="26748308" w:rsidRPr="3EF7FB48">
        <w:rPr>
          <w:rFonts w:eastAsia="Calibri"/>
          <w:color w:val="4472C4" w:themeColor="accent1"/>
        </w:rPr>
        <w:t xml:space="preserve"> line has now</w:t>
      </w:r>
      <w:r w:rsidR="483F672C" w:rsidRPr="3EF7FB48">
        <w:rPr>
          <w:rFonts w:eastAsia="Calibri"/>
          <w:color w:val="4472C4" w:themeColor="accent1"/>
        </w:rPr>
        <w:t xml:space="preserve"> also</w:t>
      </w:r>
      <w:r w:rsidR="26748308" w:rsidRPr="3EF7FB48">
        <w:rPr>
          <w:rFonts w:eastAsia="Calibri"/>
          <w:color w:val="4472C4" w:themeColor="accent1"/>
        </w:rPr>
        <w:t xml:space="preserve"> been included:</w:t>
      </w:r>
    </w:p>
    <w:p w14:paraId="724E9337" w14:textId="1BBA9388" w:rsidR="00F33526" w:rsidRDefault="00F33526" w:rsidP="002A3A1E">
      <w:pPr>
        <w:pStyle w:val="NormalWeb"/>
        <w:spacing w:line="360" w:lineRule="auto"/>
        <w:rPr>
          <w:rFonts w:eastAsia="Calibri"/>
          <w:color w:val="4472C4" w:themeColor="accent1"/>
        </w:rPr>
      </w:pPr>
    </w:p>
    <w:p w14:paraId="320D6CEA" w14:textId="29731A63" w:rsidR="00F33526" w:rsidRDefault="7BDEF898" w:rsidP="002A3A1E">
      <w:pPr>
        <w:pStyle w:val="NormalWeb"/>
        <w:spacing w:line="360" w:lineRule="auto"/>
        <w:ind w:firstLine="720"/>
        <w:rPr>
          <w:rFonts w:eastAsia="Calibri"/>
          <w:color w:val="4472C4" w:themeColor="accent1"/>
        </w:rPr>
      </w:pPr>
      <w:r w:rsidRPr="3EF7FB48">
        <w:rPr>
          <w:rFonts w:eastAsia="Calibri"/>
          <w:color w:val="4472C4" w:themeColor="accent1"/>
        </w:rPr>
        <w:t>“This does not alter our adherence to PLOS ONE policies on sharing data and materials.”</w:t>
      </w:r>
    </w:p>
    <w:p w14:paraId="7AF15852" w14:textId="17AB51DD" w:rsidR="00F33526" w:rsidRDefault="00F33526" w:rsidP="002A3A1E">
      <w:pPr>
        <w:pStyle w:val="NormalWeb"/>
        <w:spacing w:line="360" w:lineRule="auto"/>
        <w:rPr>
          <w:rFonts w:eastAsia="Calibri"/>
          <w:color w:val="4472C4" w:themeColor="accent1"/>
        </w:rPr>
      </w:pPr>
    </w:p>
    <w:p w14:paraId="7F952CFA" w14:textId="3A8E390A" w:rsidR="00F33526" w:rsidRDefault="70A3BDAF" w:rsidP="002A3A1E">
      <w:pPr>
        <w:pStyle w:val="NormalWeb"/>
        <w:spacing w:line="360" w:lineRule="auto"/>
        <w:rPr>
          <w:rFonts w:eastAsia="Calibri"/>
        </w:rPr>
      </w:pPr>
      <w:r w:rsidRPr="3EF7FB48">
        <w:rPr>
          <w:rFonts w:eastAsia="Calibri"/>
        </w:rPr>
        <w:t xml:space="preserve">8. Please upload a new copy of all figures (1-4) as the detail is not clear. Please follow the link for more information: </w:t>
      </w:r>
      <w:hyperlink r:id="rId12">
        <w:r w:rsidRPr="3EF7FB48">
          <w:rPr>
            <w:rStyle w:val="Hyperlink"/>
            <w:rFonts w:eastAsia="Calibri"/>
          </w:rPr>
          <w:t>https://blogs.plos.org/plos/2019/06/looking-good-tips-for-creating-your-plos-figures-graphics/</w:t>
        </w:r>
      </w:hyperlink>
      <w:r w:rsidRPr="3EF7FB48">
        <w:rPr>
          <w:rFonts w:eastAsia="Calibri"/>
        </w:rPr>
        <w:t xml:space="preserve">" </w:t>
      </w:r>
      <w:hyperlink r:id="rId13">
        <w:r w:rsidRPr="3EF7FB48">
          <w:rPr>
            <w:rStyle w:val="Hyperlink"/>
            <w:rFonts w:eastAsia="Calibri"/>
          </w:rPr>
          <w:t>https://blogs.plos.org/plos/2019/06/looking-good-tips-for-creating-your-plos-figures-graphics/</w:t>
        </w:r>
      </w:hyperlink>
      <w:r w:rsidRPr="3EF7FB48">
        <w:rPr>
          <w:rFonts w:eastAsia="Calibri"/>
        </w:rPr>
        <w:t>.</w:t>
      </w:r>
    </w:p>
    <w:p w14:paraId="121CDA54" w14:textId="360E4F3B" w:rsidR="00F33526" w:rsidRDefault="00F33526" w:rsidP="002A3A1E">
      <w:pPr>
        <w:pStyle w:val="NormalWeb"/>
        <w:spacing w:line="360" w:lineRule="auto"/>
        <w:rPr>
          <w:rFonts w:eastAsia="Calibri"/>
        </w:rPr>
      </w:pPr>
    </w:p>
    <w:p w14:paraId="1C89D839" w14:textId="28993F19" w:rsidR="00F33526" w:rsidRDefault="561C3497" w:rsidP="002A3A1E">
      <w:pPr>
        <w:pStyle w:val="NormalWeb"/>
        <w:spacing w:line="360" w:lineRule="auto"/>
        <w:rPr>
          <w:rFonts w:eastAsia="Calibri"/>
          <w:color w:val="4472C4" w:themeColor="accent1"/>
        </w:rPr>
      </w:pPr>
      <w:r w:rsidRPr="3EF7FB48">
        <w:rPr>
          <w:rFonts w:eastAsia="Calibri"/>
          <w:color w:val="4472C4" w:themeColor="accent1"/>
        </w:rPr>
        <w:t xml:space="preserve">Response: </w:t>
      </w:r>
      <w:r w:rsidR="46E13A11" w:rsidRPr="3EF7FB48">
        <w:rPr>
          <w:rFonts w:eastAsia="Calibri"/>
          <w:color w:val="4472C4" w:themeColor="accent1"/>
        </w:rPr>
        <w:t xml:space="preserve">Thank you for providing us with </w:t>
      </w:r>
      <w:r w:rsidR="2A1C3AEF" w:rsidRPr="3EF7FB48">
        <w:rPr>
          <w:rFonts w:eastAsia="Calibri"/>
          <w:color w:val="4472C4" w:themeColor="accent1"/>
        </w:rPr>
        <w:t xml:space="preserve">these useful links. We have now ensured that all respective figures used in the manuscript </w:t>
      </w:r>
      <w:r w:rsidR="4AEA6426" w:rsidRPr="3EF7FB48">
        <w:rPr>
          <w:rFonts w:eastAsia="Calibri"/>
          <w:color w:val="4472C4" w:themeColor="accent1"/>
        </w:rPr>
        <w:t>follow the recommended format.</w:t>
      </w:r>
    </w:p>
    <w:p w14:paraId="390E1022" w14:textId="360E4F3B" w:rsidR="00F33526" w:rsidRDefault="00F33526" w:rsidP="002A3A1E">
      <w:pPr>
        <w:pStyle w:val="NormalWeb"/>
        <w:spacing w:line="360" w:lineRule="auto"/>
        <w:rPr>
          <w:rFonts w:eastAsia="Calibri"/>
        </w:rPr>
      </w:pPr>
      <w:r>
        <w:br/>
      </w:r>
      <w:r w:rsidR="70A3BDAF" w:rsidRPr="3EF7FB48">
        <w:rPr>
          <w:rFonts w:eastAsia="Calibri"/>
        </w:rPr>
        <w:t>Reviewers' comments:</w:t>
      </w:r>
    </w:p>
    <w:p w14:paraId="0C958B62" w14:textId="4DDAE009" w:rsidR="00F33526" w:rsidRDefault="00F33526" w:rsidP="002A3A1E">
      <w:pPr>
        <w:pStyle w:val="NormalWeb"/>
        <w:spacing w:line="360" w:lineRule="auto"/>
        <w:rPr>
          <w:rFonts w:eastAsia="Calibri"/>
        </w:rPr>
      </w:pPr>
    </w:p>
    <w:p w14:paraId="2A9C3971" w14:textId="627D3374" w:rsidR="00F33526" w:rsidRDefault="16A74A4A" w:rsidP="002A3A1E">
      <w:pPr>
        <w:pStyle w:val="NormalWeb"/>
        <w:spacing w:line="360" w:lineRule="auto"/>
        <w:rPr>
          <w:rFonts w:eastAsia="Calibri"/>
          <w:color w:val="000000" w:themeColor="text1"/>
        </w:rPr>
      </w:pPr>
      <w:r w:rsidRPr="3EF7FB48">
        <w:rPr>
          <w:rFonts w:eastAsia="Calibri"/>
          <w:color w:val="000000" w:themeColor="text1"/>
        </w:rPr>
        <w:t>Reviewer's Responses to Questions</w:t>
      </w:r>
      <w:r w:rsidR="00F33526">
        <w:br/>
      </w:r>
      <w:r w:rsidR="00F33526">
        <w:br/>
      </w:r>
      <w:r w:rsidR="70A3BDAF" w:rsidRPr="3EF7FB48">
        <w:rPr>
          <w:rFonts w:eastAsia="Calibri"/>
          <w:b/>
          <w:bCs/>
          <w:color w:val="000000"/>
        </w:rPr>
        <w:t>Comments to the Author</w:t>
      </w:r>
      <w:r w:rsidR="00F33526">
        <w:rPr>
          <w:color w:val="000000"/>
        </w:rPr>
        <w:br/>
      </w:r>
      <w:r w:rsidR="00F33526">
        <w:rPr>
          <w:color w:val="000000"/>
        </w:rPr>
        <w:br/>
      </w:r>
      <w:r w:rsidR="70A3BDAF" w:rsidRPr="3EF7FB48">
        <w:rPr>
          <w:rFonts w:eastAsia="Calibri"/>
          <w:color w:val="000000"/>
        </w:rPr>
        <w:t>1. Is the manuscript technically sound, and do the data support the conclusions?</w:t>
      </w:r>
      <w:r w:rsidR="00F33526">
        <w:rPr>
          <w:color w:val="000000"/>
        </w:rPr>
        <w:br/>
      </w:r>
      <w:r w:rsidR="00F33526">
        <w:rPr>
          <w:color w:val="000000"/>
        </w:rPr>
        <w:br/>
      </w:r>
      <w:r w:rsidR="70A3BDAF" w:rsidRPr="3EF7FB48">
        <w:rPr>
          <w:rFonts w:eastAsia="Calibri"/>
          <w:color w:val="000000"/>
        </w:rPr>
        <w:t>The manuscript must describe a technically sound piece of scientific research with data that supports the conclusions. Experiments must have been conducted rigorously, with appropriate controls, replication, and sample sizes. The conclusions must be drawn appropriately based on the data presented.</w:t>
      </w:r>
    </w:p>
    <w:p w14:paraId="7A83D1A4" w14:textId="1D1A8E08" w:rsidR="3EF7FB48" w:rsidRDefault="3EF7FB48" w:rsidP="002A3A1E">
      <w:pPr>
        <w:pStyle w:val="NormalWeb"/>
        <w:spacing w:line="360" w:lineRule="auto"/>
        <w:rPr>
          <w:rFonts w:eastAsia="Calibri"/>
          <w:color w:val="000000" w:themeColor="text1"/>
        </w:rPr>
      </w:pPr>
    </w:p>
    <w:p w14:paraId="3182B01B" w14:textId="40556E07" w:rsidR="00F33526" w:rsidRPr="00EC6FBA" w:rsidRDefault="70A3BDAF" w:rsidP="002A3A1E">
      <w:pPr>
        <w:pStyle w:val="NormalWeb"/>
        <w:spacing w:line="360" w:lineRule="auto"/>
        <w:rPr>
          <w:rFonts w:eastAsia="Calibri"/>
          <w:b/>
          <w:bCs/>
        </w:rPr>
      </w:pPr>
      <w:r w:rsidRPr="3EF7FB48">
        <w:rPr>
          <w:rFonts w:eastAsia="Calibri"/>
        </w:rPr>
        <w:t>Reviewer #1: </w:t>
      </w:r>
      <w:r w:rsidRPr="3EF7FB48">
        <w:rPr>
          <w:rFonts w:eastAsia="Calibri"/>
          <w:b/>
          <w:bCs/>
        </w:rPr>
        <w:t>Yes</w:t>
      </w:r>
    </w:p>
    <w:p w14:paraId="3B430E35" w14:textId="36E2649B" w:rsidR="3EF7FB48" w:rsidRDefault="3EF7FB48" w:rsidP="002A3A1E">
      <w:pPr>
        <w:pStyle w:val="NormalWeb"/>
        <w:spacing w:line="360" w:lineRule="auto"/>
        <w:rPr>
          <w:rFonts w:eastAsia="Calibri"/>
        </w:rPr>
      </w:pPr>
    </w:p>
    <w:p w14:paraId="7DAACDDA" w14:textId="453F7AEA" w:rsidR="00F33526" w:rsidRDefault="70A3BDAF" w:rsidP="002A3A1E">
      <w:pPr>
        <w:pStyle w:val="NormalWeb"/>
        <w:spacing w:line="360" w:lineRule="auto"/>
        <w:rPr>
          <w:rFonts w:eastAsia="Calibri"/>
          <w:color w:val="000000" w:themeColor="text1"/>
        </w:rPr>
      </w:pPr>
      <w:r w:rsidRPr="3EF7FB48">
        <w:rPr>
          <w:rFonts w:eastAsia="Calibri"/>
          <w:color w:val="000000" w:themeColor="text1"/>
        </w:rPr>
        <w:t xml:space="preserve">2. Has the statistical analysis been performed appropriately and rigorously? </w:t>
      </w:r>
    </w:p>
    <w:p w14:paraId="35932632" w14:textId="536CD0F8" w:rsidR="3EF7FB48" w:rsidRDefault="3EF7FB48" w:rsidP="002A3A1E">
      <w:pPr>
        <w:pStyle w:val="NormalWeb"/>
        <w:spacing w:line="360" w:lineRule="auto"/>
        <w:rPr>
          <w:rFonts w:eastAsia="Calibri"/>
        </w:rPr>
      </w:pPr>
    </w:p>
    <w:p w14:paraId="78F0D5BA" w14:textId="509C195E" w:rsidR="00F33526" w:rsidRPr="00EC6FBA" w:rsidRDefault="70A3BDAF" w:rsidP="002A3A1E">
      <w:pPr>
        <w:pStyle w:val="NormalWeb"/>
        <w:spacing w:line="360" w:lineRule="auto"/>
        <w:rPr>
          <w:rFonts w:eastAsia="Calibri"/>
          <w:b/>
          <w:bCs/>
        </w:rPr>
      </w:pPr>
      <w:r w:rsidRPr="3EF7FB48">
        <w:rPr>
          <w:rFonts w:eastAsia="Calibri"/>
        </w:rPr>
        <w:t>Reviewer #1: </w:t>
      </w:r>
      <w:r w:rsidRPr="3EF7FB48">
        <w:rPr>
          <w:rFonts w:eastAsia="Calibri"/>
          <w:b/>
          <w:bCs/>
        </w:rPr>
        <w:t>Yes</w:t>
      </w:r>
    </w:p>
    <w:p w14:paraId="43A74610" w14:textId="473D6FFF" w:rsidR="3EF7FB48" w:rsidRDefault="3EF7FB48" w:rsidP="002A3A1E">
      <w:pPr>
        <w:pStyle w:val="NormalWeb"/>
        <w:spacing w:line="360" w:lineRule="auto"/>
        <w:rPr>
          <w:rFonts w:eastAsia="Calibri"/>
          <w:color w:val="000000" w:themeColor="text1"/>
        </w:rPr>
      </w:pPr>
    </w:p>
    <w:p w14:paraId="4A44427F" w14:textId="626D7B3D" w:rsidR="00F33526" w:rsidRDefault="70A3BDAF" w:rsidP="002A3A1E">
      <w:pPr>
        <w:pStyle w:val="NormalWeb"/>
        <w:spacing w:line="360" w:lineRule="auto"/>
        <w:rPr>
          <w:rFonts w:eastAsia="Calibri"/>
          <w:color w:val="000000" w:themeColor="text1"/>
        </w:rPr>
      </w:pPr>
      <w:r w:rsidRPr="3EF7FB48">
        <w:rPr>
          <w:rFonts w:eastAsia="Calibri"/>
          <w:color w:val="000000" w:themeColor="text1"/>
        </w:rPr>
        <w:t>3. Have the authors made all data underlying the findings in their manuscript fully available?</w:t>
      </w:r>
      <w:r w:rsidR="00F33526">
        <w:br/>
      </w:r>
      <w:r w:rsidR="00F33526">
        <w:br/>
      </w:r>
      <w:r w:rsidRPr="3EF7FB48">
        <w:rPr>
          <w:rFonts w:eastAsia="Calibri"/>
          <w:color w:val="000000" w:themeColor="text1"/>
        </w:rPr>
        <w:t xml:space="preserve">The </w:t>
      </w:r>
      <w:hyperlink r:id="rId14" w:anchor="sharing">
        <w:r w:rsidRPr="3EF7FB48">
          <w:rPr>
            <w:rStyle w:val="Hyperlink"/>
            <w:rFonts w:eastAsia="Calibri"/>
          </w:rPr>
          <w:t>PLOS Data policy</w:t>
        </w:r>
      </w:hyperlink>
      <w:r w:rsidRPr="3EF7FB48">
        <w:rPr>
          <w:rFonts w:eastAsia="Calibri"/>
          <w:color w:val="000000" w:themeColor="text1"/>
        </w:rPr>
        <w:t xml:space="preserve"> requires authors to make all data underlying the findings described in their manuscript fully available without restriction, with rare exception (please refer to the Data Availability Statement in the manuscript PDF file). The data should be provided as part of the manuscript or its supporting information, or deposited to a public repository. For example, in addition to summary statistics, the data points behind means, medians and variance measures should be available. If there are restrictions on publicly sharing data—e.g. participant privacy or use of data from a third party—those must be specified.</w:t>
      </w:r>
    </w:p>
    <w:p w14:paraId="03735B46" w14:textId="6D0955FF" w:rsidR="00F33526" w:rsidRPr="00774B9B" w:rsidRDefault="00F33526" w:rsidP="002A3A1E">
      <w:pPr>
        <w:pStyle w:val="NormalWeb"/>
        <w:spacing w:line="360" w:lineRule="auto"/>
        <w:rPr>
          <w:rFonts w:eastAsia="Calibri"/>
        </w:rPr>
      </w:pPr>
    </w:p>
    <w:p w14:paraId="6FB737E9" w14:textId="18DFD699" w:rsidR="00F33526" w:rsidRPr="00774B9B" w:rsidRDefault="70A3BDAF" w:rsidP="002A3A1E">
      <w:pPr>
        <w:pStyle w:val="NormalWeb"/>
        <w:spacing w:line="360" w:lineRule="auto"/>
        <w:rPr>
          <w:rFonts w:eastAsia="Calibri"/>
          <w:color w:val="FF0000"/>
        </w:rPr>
      </w:pPr>
      <w:r w:rsidRPr="3EF7FB48">
        <w:rPr>
          <w:rFonts w:eastAsia="Calibri"/>
        </w:rPr>
        <w:t>Reviewer #1: </w:t>
      </w:r>
      <w:r w:rsidRPr="3EF7FB48">
        <w:rPr>
          <w:rFonts w:eastAsia="Calibri"/>
          <w:color w:val="FF0000"/>
        </w:rPr>
        <w:t>No</w:t>
      </w:r>
    </w:p>
    <w:p w14:paraId="124FABE0" w14:textId="03ED8714" w:rsidR="00F33526" w:rsidRPr="00774B9B" w:rsidRDefault="00F33526" w:rsidP="002A3A1E">
      <w:pPr>
        <w:pStyle w:val="NormalWeb"/>
        <w:spacing w:line="360" w:lineRule="auto"/>
        <w:rPr>
          <w:rFonts w:eastAsia="Calibri"/>
          <w:color w:val="000000" w:themeColor="text1"/>
        </w:rPr>
      </w:pPr>
    </w:p>
    <w:p w14:paraId="6A57C46D" w14:textId="5BBC27B8" w:rsidR="00F33526" w:rsidRPr="00774B9B" w:rsidRDefault="43D6A876" w:rsidP="002A3A1E">
      <w:pPr>
        <w:pStyle w:val="NormalWeb"/>
        <w:spacing w:line="360" w:lineRule="auto"/>
        <w:rPr>
          <w:rFonts w:eastAsia="Calibri"/>
          <w:color w:val="4472C4" w:themeColor="accent1"/>
        </w:rPr>
      </w:pPr>
      <w:r w:rsidRPr="7F449148">
        <w:rPr>
          <w:rFonts w:eastAsia="Calibri"/>
          <w:color w:val="4471C4"/>
        </w:rPr>
        <w:t>Response:</w:t>
      </w:r>
      <w:r w:rsidR="1B021802" w:rsidRPr="7F449148">
        <w:rPr>
          <w:rFonts w:eastAsia="Calibri"/>
          <w:color w:val="4471C4"/>
        </w:rPr>
        <w:t xml:space="preserve"> As detailed above </w:t>
      </w:r>
      <w:r w:rsidR="2FB8CB57" w:rsidRPr="7F449148">
        <w:rPr>
          <w:rFonts w:eastAsia="Calibri"/>
          <w:color w:val="4471C4"/>
        </w:rPr>
        <w:t xml:space="preserve">in comment #5, we have now </w:t>
      </w:r>
      <w:r w:rsidR="56F27A02" w:rsidRPr="7F449148">
        <w:rPr>
          <w:rFonts w:eastAsia="Calibri"/>
          <w:color w:val="4471C4"/>
        </w:rPr>
        <w:t xml:space="preserve">made </w:t>
      </w:r>
      <w:r w:rsidR="2FB8CB57" w:rsidRPr="7F449148">
        <w:rPr>
          <w:rFonts w:eastAsia="Calibri"/>
          <w:color w:val="4471C4"/>
        </w:rPr>
        <w:t xml:space="preserve">all the </w:t>
      </w:r>
      <w:r w:rsidR="6F19333F" w:rsidRPr="7F449148">
        <w:rPr>
          <w:rFonts w:eastAsia="Calibri"/>
          <w:color w:val="4471C4"/>
        </w:rPr>
        <w:t>corresponding data</w:t>
      </w:r>
      <w:r w:rsidR="2FB8CB57" w:rsidRPr="7F449148">
        <w:rPr>
          <w:rFonts w:eastAsia="Calibri"/>
          <w:color w:val="4471C4"/>
        </w:rPr>
        <w:t xml:space="preserve"> used in the analysis </w:t>
      </w:r>
      <w:r w:rsidR="0F305032" w:rsidRPr="7F449148">
        <w:rPr>
          <w:rFonts w:eastAsia="Calibri"/>
          <w:color w:val="4471C4"/>
        </w:rPr>
        <w:t>of</w:t>
      </w:r>
      <w:r w:rsidR="2FB8CB57" w:rsidRPr="7F449148">
        <w:rPr>
          <w:rFonts w:eastAsia="Calibri"/>
          <w:color w:val="4471C4"/>
        </w:rPr>
        <w:t xml:space="preserve"> the manuscript</w:t>
      </w:r>
      <w:r w:rsidR="744C03F0" w:rsidRPr="7F449148">
        <w:rPr>
          <w:rFonts w:eastAsia="Calibri"/>
          <w:color w:val="4471C4"/>
        </w:rPr>
        <w:t xml:space="preserve"> available without restriction</w:t>
      </w:r>
      <w:r w:rsidR="2FB8CB57" w:rsidRPr="7F449148">
        <w:rPr>
          <w:rFonts w:eastAsia="Calibri"/>
          <w:color w:val="4471C4"/>
        </w:rPr>
        <w:t>.</w:t>
      </w:r>
    </w:p>
    <w:p w14:paraId="738E4D15" w14:textId="64464ED5" w:rsidR="00F33526" w:rsidRPr="00774B9B" w:rsidRDefault="00F33526" w:rsidP="002A3A1E">
      <w:pPr>
        <w:pStyle w:val="NormalWeb"/>
        <w:spacing w:line="360" w:lineRule="auto"/>
        <w:rPr>
          <w:rFonts w:eastAsia="Calibri"/>
        </w:rPr>
      </w:pPr>
    </w:p>
    <w:p w14:paraId="6FA604F2" w14:textId="28C34EF6" w:rsidR="00F33526" w:rsidRPr="00774B9B" w:rsidRDefault="70A3BDAF" w:rsidP="002A3A1E">
      <w:pPr>
        <w:pStyle w:val="NormalWeb"/>
        <w:spacing w:line="360" w:lineRule="auto"/>
        <w:rPr>
          <w:rFonts w:eastAsia="Calibri"/>
          <w:b/>
          <w:bCs/>
        </w:rPr>
      </w:pPr>
      <w:r w:rsidRPr="3EF7FB48">
        <w:rPr>
          <w:rFonts w:eastAsia="Calibri"/>
          <w:color w:val="000000" w:themeColor="text1"/>
        </w:rPr>
        <w:t>4. Is the manuscript presented in an intelligible fashion and written in standard English?</w:t>
      </w:r>
      <w:r w:rsidR="00F33526">
        <w:br/>
      </w:r>
      <w:r w:rsidR="00F33526">
        <w:br/>
      </w:r>
      <w:r w:rsidRPr="3EF7FB48">
        <w:rPr>
          <w:rFonts w:eastAsia="Calibri"/>
        </w:rPr>
        <w:t>Reviewer #1: </w:t>
      </w:r>
      <w:r w:rsidRPr="3EF7FB48">
        <w:rPr>
          <w:rFonts w:eastAsia="Calibri"/>
          <w:b/>
          <w:bCs/>
        </w:rPr>
        <w:t>Yes</w:t>
      </w:r>
    </w:p>
    <w:p w14:paraId="48212200" w14:textId="2489D8A4" w:rsidR="3EF7FB48" w:rsidRDefault="3EF7FB48" w:rsidP="002A3A1E">
      <w:pPr>
        <w:pStyle w:val="NormalWeb"/>
        <w:spacing w:line="360" w:lineRule="auto"/>
        <w:rPr>
          <w:rFonts w:eastAsia="Calibri"/>
          <w:color w:val="000000" w:themeColor="text1"/>
        </w:rPr>
      </w:pPr>
    </w:p>
    <w:p w14:paraId="4F18A130" w14:textId="0FA89CEF" w:rsidR="00F33526" w:rsidRDefault="70A3BDAF" w:rsidP="002A3A1E">
      <w:pPr>
        <w:pStyle w:val="NormalWeb"/>
        <w:spacing w:line="360" w:lineRule="auto"/>
        <w:rPr>
          <w:rFonts w:eastAsia="Calibri"/>
          <w:color w:val="000000" w:themeColor="text1"/>
        </w:rPr>
      </w:pPr>
      <w:r w:rsidRPr="3EF7FB48">
        <w:rPr>
          <w:rFonts w:eastAsia="Calibri"/>
          <w:color w:val="000000" w:themeColor="text1"/>
        </w:rPr>
        <w:t>5. Review Comments to the Author</w:t>
      </w:r>
      <w:r w:rsidR="00F33526">
        <w:br/>
      </w:r>
      <w:r w:rsidR="00F33526">
        <w:br/>
      </w:r>
      <w:r w:rsidRPr="3EF7FB48">
        <w:rPr>
          <w:rFonts w:eastAsia="Calibri"/>
          <w:color w:val="000000" w:themeColor="text1"/>
        </w:rPr>
        <w:t>Please use the space provided to explain your answers to the questions above. You may also include additional comments for the author, including concerns about dual publication, research ethics, or publication ethics. (Please upload your review as an attachment if it exceeds 20,000 characters)</w:t>
      </w:r>
    </w:p>
    <w:p w14:paraId="45132A18" w14:textId="2A2A087E" w:rsidR="3EF7FB48" w:rsidRDefault="3EF7FB48" w:rsidP="002A3A1E">
      <w:pPr>
        <w:pStyle w:val="NormalWeb"/>
        <w:spacing w:line="360" w:lineRule="auto"/>
        <w:rPr>
          <w:rFonts w:eastAsia="Calibri"/>
          <w:color w:val="000000" w:themeColor="text1"/>
        </w:rPr>
      </w:pPr>
    </w:p>
    <w:p w14:paraId="703E1E44" w14:textId="2DBE48C5" w:rsidR="00F212B9" w:rsidRPr="005F72E5" w:rsidRDefault="70A3BDAF" w:rsidP="002A3A1E">
      <w:pPr>
        <w:pStyle w:val="NormalWeb"/>
        <w:spacing w:after="240" w:afterAutospacing="0" w:line="360" w:lineRule="auto"/>
        <w:rPr>
          <w:rFonts w:eastAsia="Calibri"/>
        </w:rPr>
      </w:pPr>
      <w:r w:rsidRPr="3EF7FB48">
        <w:rPr>
          <w:rFonts w:eastAsia="Calibri"/>
        </w:rPr>
        <w:t>Reviewer #1: Many thanks for the opportunity to review this manuscript. It is an important contribution to medical cannabis literature, however I have some suggestions which could improve its quality.</w:t>
      </w:r>
    </w:p>
    <w:p w14:paraId="29F618E2" w14:textId="7564E8B3" w:rsidR="00F212B9" w:rsidRPr="005F72E5" w:rsidRDefault="5ACC2CC1" w:rsidP="002A3A1E">
      <w:pPr>
        <w:pStyle w:val="NormalWeb"/>
        <w:spacing w:line="360" w:lineRule="auto"/>
        <w:rPr>
          <w:rFonts w:eastAsia="Calibri"/>
          <w:color w:val="4472C4" w:themeColor="accent1"/>
        </w:rPr>
      </w:pPr>
      <w:r w:rsidRPr="3EF7FB48">
        <w:rPr>
          <w:rFonts w:eastAsia="Calibri"/>
          <w:color w:val="4472C4" w:themeColor="accent1"/>
        </w:rPr>
        <w:t xml:space="preserve">Response: </w:t>
      </w:r>
      <w:r w:rsidR="73F0B628" w:rsidRPr="3EF7FB48">
        <w:rPr>
          <w:rFonts w:eastAsia="Calibri"/>
          <w:color w:val="4472C4" w:themeColor="accent1"/>
        </w:rPr>
        <w:t>Thank you for your positive assessment and particularly for your detailed comments below. We appreciate your time and dedication in providing comments, all of which h</w:t>
      </w:r>
      <w:r w:rsidR="1FCE0A5C" w:rsidRPr="3EF7FB48">
        <w:rPr>
          <w:rFonts w:eastAsia="Calibri"/>
          <w:color w:val="4472C4" w:themeColor="accent1"/>
        </w:rPr>
        <w:t>ave helped to substantially improve the paper</w:t>
      </w:r>
      <w:r w:rsidR="6FA0194A" w:rsidRPr="3EF7FB48">
        <w:rPr>
          <w:rFonts w:eastAsia="Calibri"/>
          <w:color w:val="4472C4" w:themeColor="accent1"/>
        </w:rPr>
        <w:t>.</w:t>
      </w:r>
      <w:r w:rsidR="1FCE0A5C" w:rsidRPr="3EF7FB48">
        <w:rPr>
          <w:rFonts w:eastAsia="Calibri"/>
          <w:color w:val="4472C4" w:themeColor="accent1"/>
        </w:rPr>
        <w:t xml:space="preserve"> </w:t>
      </w:r>
    </w:p>
    <w:p w14:paraId="59BE3B31" w14:textId="7C6BB168" w:rsidR="3EF7FB48" w:rsidRDefault="00774B9B" w:rsidP="004221AD">
      <w:pPr>
        <w:pStyle w:val="NormalWeb"/>
        <w:spacing w:after="240" w:afterAutospacing="0" w:line="360" w:lineRule="auto"/>
        <w:rPr>
          <w:rFonts w:eastAsia="Calibri"/>
        </w:rPr>
      </w:pPr>
      <w:r>
        <w:br/>
      </w:r>
      <w:r w:rsidR="70A3BDAF" w:rsidRPr="3EF7FB48">
        <w:rPr>
          <w:rFonts w:eastAsia="Calibri"/>
        </w:rPr>
        <w:t>Major Issues</w:t>
      </w:r>
      <w:r>
        <w:br/>
      </w:r>
      <w:r>
        <w:br/>
      </w:r>
      <w:r w:rsidR="70A3BDAF" w:rsidRPr="3EF7FB48">
        <w:rPr>
          <w:rFonts w:eastAsia="Calibri"/>
          <w:b/>
          <w:bCs/>
        </w:rPr>
        <w:t>Methods</w:t>
      </w:r>
      <w:r>
        <w:br/>
      </w:r>
      <w:r w:rsidR="70A3BDAF" w:rsidRPr="3EF7FB48">
        <w:rPr>
          <w:rFonts w:eastAsia="Calibri"/>
        </w:rPr>
        <w:t>1. I am unfortunately not clear whether only the inclusion criteria were those who had completed 2 years’ worth of treatment or those who had initially enrolled at least 2 years prior to analysis. This is a key point to provide to assess whether reduction in numbers at follow up is secondary to attrition or whether it is due to participant compliance with completing the questionnaires</w:t>
      </w:r>
      <w:r w:rsidR="004221AD">
        <w:rPr>
          <w:rFonts w:eastAsia="Calibri"/>
        </w:rPr>
        <w:t>.</w:t>
      </w:r>
    </w:p>
    <w:p w14:paraId="723E82B1" w14:textId="77777777" w:rsidR="004221AD" w:rsidRPr="004221AD" w:rsidRDefault="004221AD" w:rsidP="004221AD">
      <w:pPr>
        <w:pStyle w:val="NormalWeb"/>
        <w:spacing w:after="240" w:afterAutospacing="0" w:line="360" w:lineRule="auto"/>
        <w:rPr>
          <w:i/>
          <w:iCs/>
        </w:rPr>
      </w:pPr>
    </w:p>
    <w:p w14:paraId="05DA3908" w14:textId="0628ACAD" w:rsidR="004E3432" w:rsidRPr="00A6185F" w:rsidRDefault="68F85186" w:rsidP="00A6185F">
      <w:pPr>
        <w:pStyle w:val="NormalWeb"/>
        <w:spacing w:line="360" w:lineRule="auto"/>
        <w:rPr>
          <w:rFonts w:eastAsia="Times New Roman" w:cstheme="minorBidi"/>
          <w:color w:val="4472C4" w:themeColor="accent1"/>
        </w:rPr>
      </w:pPr>
      <w:r w:rsidRPr="3EF7FB48">
        <w:rPr>
          <w:rFonts w:eastAsia="Calibri"/>
          <w:color w:val="4472C4" w:themeColor="accent1"/>
        </w:rPr>
        <w:t>Response:</w:t>
      </w:r>
      <w:r w:rsidR="3E5DFB60" w:rsidRPr="3EF7FB48">
        <w:rPr>
          <w:rFonts w:eastAsia="Calibri"/>
          <w:color w:val="4472C4" w:themeColor="accent1"/>
        </w:rPr>
        <w:t xml:space="preserve"> </w:t>
      </w:r>
      <w:r w:rsidR="00EC7C0F">
        <w:rPr>
          <w:rFonts w:eastAsia="Calibri"/>
          <w:color w:val="4472C4" w:themeColor="accent1"/>
        </w:rPr>
        <w:t xml:space="preserve">We agree that </w:t>
      </w:r>
      <w:r w:rsidR="006D107C">
        <w:rPr>
          <w:rFonts w:eastAsia="Calibri"/>
          <w:color w:val="4472C4" w:themeColor="accent1"/>
        </w:rPr>
        <w:t>th</w:t>
      </w:r>
      <w:r w:rsidR="0013637A">
        <w:rPr>
          <w:rFonts w:eastAsia="Calibri"/>
          <w:color w:val="4472C4" w:themeColor="accent1"/>
        </w:rPr>
        <w:t>e sample selection</w:t>
      </w:r>
      <w:r w:rsidR="006065BC">
        <w:rPr>
          <w:rFonts w:eastAsia="Calibri"/>
          <w:color w:val="4472C4" w:themeColor="accent1"/>
        </w:rPr>
        <w:t xml:space="preserve"> and overall inclusion criteria for this study </w:t>
      </w:r>
      <w:r w:rsidR="00287EB4">
        <w:rPr>
          <w:rFonts w:eastAsia="Calibri"/>
          <w:color w:val="4472C4" w:themeColor="accent1"/>
        </w:rPr>
        <w:t>w</w:t>
      </w:r>
      <w:r w:rsidR="00BE3BA2">
        <w:rPr>
          <w:rFonts w:eastAsia="Calibri"/>
          <w:color w:val="4472C4" w:themeColor="accent1"/>
        </w:rPr>
        <w:t>ere</w:t>
      </w:r>
      <w:r w:rsidR="00287EB4">
        <w:rPr>
          <w:rFonts w:eastAsia="Calibri"/>
          <w:color w:val="4472C4" w:themeColor="accent1"/>
        </w:rPr>
        <w:t xml:space="preserve"> </w:t>
      </w:r>
      <w:r w:rsidR="00BE3BA2">
        <w:rPr>
          <w:rFonts w:eastAsia="Calibri"/>
          <w:color w:val="4472C4" w:themeColor="accent1"/>
        </w:rPr>
        <w:t xml:space="preserve">less well described in the </w:t>
      </w:r>
      <w:r w:rsidR="00452DAD">
        <w:rPr>
          <w:rFonts w:eastAsia="Calibri"/>
          <w:color w:val="4472C4" w:themeColor="accent1"/>
        </w:rPr>
        <w:t xml:space="preserve">original submission. </w:t>
      </w:r>
      <w:r w:rsidR="178A963A" w:rsidRPr="13809AA6">
        <w:rPr>
          <w:rFonts w:eastAsia="Calibri"/>
          <w:color w:val="4472C4" w:themeColor="accent1"/>
        </w:rPr>
        <w:t>T</w:t>
      </w:r>
      <w:r w:rsidR="00452DAD" w:rsidRPr="13809AA6">
        <w:rPr>
          <w:rFonts w:eastAsia="Calibri"/>
          <w:color w:val="4472C4" w:themeColor="accent1"/>
        </w:rPr>
        <w:t>his</w:t>
      </w:r>
      <w:r w:rsidR="00452DAD">
        <w:rPr>
          <w:rFonts w:eastAsia="Calibri"/>
          <w:color w:val="4472C4" w:themeColor="accent1"/>
        </w:rPr>
        <w:t xml:space="preserve"> difficulty relates </w:t>
      </w:r>
      <w:r w:rsidR="008A43E0">
        <w:rPr>
          <w:rFonts w:eastAsia="Calibri"/>
          <w:color w:val="4472C4" w:themeColor="accent1"/>
        </w:rPr>
        <w:t xml:space="preserve">to our </w:t>
      </w:r>
      <w:r w:rsidR="0072304A">
        <w:rPr>
          <w:rFonts w:eastAsia="Calibri"/>
          <w:color w:val="4472C4" w:themeColor="accent1"/>
        </w:rPr>
        <w:t>approach</w:t>
      </w:r>
      <w:r w:rsidR="008A43E0">
        <w:rPr>
          <w:rFonts w:eastAsia="Calibri"/>
          <w:color w:val="4472C4" w:themeColor="accent1"/>
        </w:rPr>
        <w:t xml:space="preserve"> to</w:t>
      </w:r>
      <w:r w:rsidR="0072304A">
        <w:rPr>
          <w:rFonts w:eastAsia="Calibri"/>
          <w:color w:val="4472C4" w:themeColor="accent1"/>
        </w:rPr>
        <w:t xml:space="preserve"> </w:t>
      </w:r>
      <w:r w:rsidR="0C7DD93B" w:rsidRPr="6FC579D2">
        <w:rPr>
          <w:rFonts w:eastAsia="Calibri"/>
          <w:color w:val="4472C4" w:themeColor="accent1"/>
        </w:rPr>
        <w:t xml:space="preserve">include </w:t>
      </w:r>
      <w:r w:rsidR="0C7DD93B" w:rsidRPr="0C648657">
        <w:rPr>
          <w:rFonts w:eastAsia="Calibri"/>
          <w:color w:val="4472C4" w:themeColor="accent1"/>
        </w:rPr>
        <w:t xml:space="preserve">all </w:t>
      </w:r>
      <w:r w:rsidR="0C7DD93B" w:rsidRPr="3E172FF2">
        <w:rPr>
          <w:rFonts w:eastAsia="Calibri"/>
          <w:color w:val="4472C4" w:themeColor="accent1"/>
        </w:rPr>
        <w:t xml:space="preserve">patients </w:t>
      </w:r>
      <w:r w:rsidR="0C7DD93B" w:rsidRPr="616945F9">
        <w:rPr>
          <w:rFonts w:eastAsia="Calibri"/>
          <w:color w:val="4472C4" w:themeColor="accent1"/>
        </w:rPr>
        <w:t xml:space="preserve">without </w:t>
      </w:r>
      <w:r w:rsidR="0C7DD93B" w:rsidRPr="7991D1B6">
        <w:rPr>
          <w:rFonts w:eastAsia="Calibri"/>
          <w:color w:val="4472C4" w:themeColor="accent1"/>
        </w:rPr>
        <w:t>bias to</w:t>
      </w:r>
      <w:r w:rsidR="0072304A" w:rsidRPr="6FC579D2">
        <w:rPr>
          <w:rFonts w:eastAsia="Calibri"/>
          <w:color w:val="4472C4" w:themeColor="accent1"/>
        </w:rPr>
        <w:t xml:space="preserve"> </w:t>
      </w:r>
      <w:r w:rsidR="009430B1">
        <w:rPr>
          <w:rFonts w:eastAsia="Calibri"/>
          <w:color w:val="4472C4" w:themeColor="accent1"/>
        </w:rPr>
        <w:t xml:space="preserve">(i) </w:t>
      </w:r>
      <w:r w:rsidR="00FD4C4D">
        <w:rPr>
          <w:rFonts w:eastAsia="Calibri"/>
          <w:color w:val="4472C4" w:themeColor="accent1"/>
        </w:rPr>
        <w:t xml:space="preserve">showcase the </w:t>
      </w:r>
      <w:r w:rsidR="007B787D">
        <w:rPr>
          <w:rFonts w:eastAsia="Calibri"/>
          <w:color w:val="4472C4" w:themeColor="accent1"/>
        </w:rPr>
        <w:t xml:space="preserve">outcomes, particularly </w:t>
      </w:r>
      <w:r w:rsidR="00F7093A">
        <w:rPr>
          <w:rFonts w:eastAsia="Calibri"/>
          <w:color w:val="4472C4" w:themeColor="accent1"/>
        </w:rPr>
        <w:t xml:space="preserve">for patients with </w:t>
      </w:r>
      <w:r w:rsidR="09920178" w:rsidRPr="43281020">
        <w:rPr>
          <w:rFonts w:eastAsia="Calibri"/>
          <w:color w:val="4472C4" w:themeColor="accent1"/>
        </w:rPr>
        <w:t>up to</w:t>
      </w:r>
      <w:r w:rsidR="00F7093A">
        <w:rPr>
          <w:rFonts w:eastAsia="Calibri"/>
          <w:color w:val="4472C4" w:themeColor="accent1"/>
        </w:rPr>
        <w:t xml:space="preserve"> 2 years of data, </w:t>
      </w:r>
      <w:r w:rsidR="000D0233">
        <w:rPr>
          <w:rFonts w:eastAsia="Calibri"/>
          <w:color w:val="4472C4" w:themeColor="accent1"/>
        </w:rPr>
        <w:t>from</w:t>
      </w:r>
      <w:r w:rsidR="00F7093A">
        <w:rPr>
          <w:rFonts w:eastAsia="Calibri"/>
          <w:color w:val="4472C4" w:themeColor="accent1"/>
        </w:rPr>
        <w:t xml:space="preserve"> a </w:t>
      </w:r>
      <w:r w:rsidR="00117E32">
        <w:rPr>
          <w:rFonts w:eastAsia="Calibri"/>
          <w:color w:val="4472C4" w:themeColor="accent1"/>
        </w:rPr>
        <w:t>“</w:t>
      </w:r>
      <w:r w:rsidR="00422C4E" w:rsidRPr="0081485A">
        <w:rPr>
          <w:rFonts w:eastAsia="Times New Roman" w:cstheme="minorBidi"/>
          <w:color w:val="4472C4" w:themeColor="accent1"/>
        </w:rPr>
        <w:t>continuous accumulating registry with approximately 120-150 new enrolments every month (or approximately 1800 new enrolments per year</w:t>
      </w:r>
      <w:r w:rsidR="00422C4E" w:rsidRPr="10150BF6">
        <w:rPr>
          <w:rFonts w:eastAsia="Times New Roman" w:cstheme="minorBidi"/>
          <w:color w:val="4472C4" w:themeColor="accent1"/>
        </w:rPr>
        <w:t>”</w:t>
      </w:r>
      <w:r w:rsidR="00117E32">
        <w:rPr>
          <w:rFonts w:eastAsia="Times New Roman" w:cstheme="minorBidi"/>
          <w:color w:val="4472C4" w:themeColor="accent1"/>
        </w:rPr>
        <w:t xml:space="preserve"> (as stated in the manuscript), while </w:t>
      </w:r>
      <w:r w:rsidR="009430B1">
        <w:rPr>
          <w:rFonts w:eastAsia="Times New Roman" w:cstheme="minorBidi"/>
          <w:color w:val="4472C4" w:themeColor="accent1"/>
        </w:rPr>
        <w:t xml:space="preserve">(ii) </w:t>
      </w:r>
      <w:r w:rsidR="00117E32">
        <w:rPr>
          <w:rFonts w:eastAsia="Times New Roman" w:cstheme="minorBidi"/>
          <w:color w:val="4472C4" w:themeColor="accent1"/>
        </w:rPr>
        <w:t xml:space="preserve">also </w:t>
      </w:r>
      <w:r w:rsidR="7FCEABCC" w:rsidRPr="1525EC24">
        <w:rPr>
          <w:rFonts w:eastAsia="Times New Roman" w:cstheme="minorBidi"/>
          <w:color w:val="4472C4" w:themeColor="accent1"/>
        </w:rPr>
        <w:t>reducing</w:t>
      </w:r>
      <w:r w:rsidR="00117E32">
        <w:rPr>
          <w:rFonts w:eastAsia="Times New Roman" w:cstheme="minorBidi"/>
          <w:color w:val="4472C4" w:themeColor="accent1"/>
        </w:rPr>
        <w:t xml:space="preserve"> potential concerns </w:t>
      </w:r>
      <w:r w:rsidR="009430B1">
        <w:rPr>
          <w:rFonts w:eastAsia="Times New Roman" w:cstheme="minorBidi"/>
          <w:color w:val="4472C4" w:themeColor="accent1"/>
        </w:rPr>
        <w:t xml:space="preserve">regarding selection bias by incorporating all </w:t>
      </w:r>
      <w:r w:rsidR="0057140F">
        <w:rPr>
          <w:rFonts w:eastAsia="Times New Roman" w:cstheme="minorBidi"/>
          <w:color w:val="4472C4" w:themeColor="accent1"/>
        </w:rPr>
        <w:t xml:space="preserve">available patient data where possible. </w:t>
      </w:r>
      <w:r w:rsidR="004221AD">
        <w:rPr>
          <w:rFonts w:eastAsia="Calibri"/>
          <w:color w:val="4472C4" w:themeColor="accent1"/>
        </w:rPr>
        <w:t>Nonetheless</w:t>
      </w:r>
      <w:r w:rsidR="00E14FB6">
        <w:rPr>
          <w:rFonts w:eastAsia="Calibri"/>
          <w:color w:val="4472C4" w:themeColor="accent1"/>
        </w:rPr>
        <w:t>, w</w:t>
      </w:r>
      <w:r w:rsidR="6E1C7C05" w:rsidRPr="0081485A">
        <w:rPr>
          <w:rFonts w:eastAsia="Calibri"/>
          <w:color w:val="4472C4" w:themeColor="accent1"/>
        </w:rPr>
        <w:t>e have</w:t>
      </w:r>
      <w:r w:rsidR="00E14FB6">
        <w:rPr>
          <w:rFonts w:eastAsia="Calibri"/>
          <w:color w:val="4472C4" w:themeColor="accent1"/>
        </w:rPr>
        <w:t xml:space="preserve"> now</w:t>
      </w:r>
      <w:r w:rsidR="6E1C7C05" w:rsidRPr="0081485A">
        <w:rPr>
          <w:rFonts w:eastAsia="Calibri"/>
          <w:color w:val="4472C4" w:themeColor="accent1"/>
        </w:rPr>
        <w:t xml:space="preserve"> clarified and emphasised the nature of the continuous enrolment by </w:t>
      </w:r>
      <w:r w:rsidR="1BF9B777" w:rsidRPr="0081485A">
        <w:rPr>
          <w:rFonts w:eastAsia="Calibri"/>
          <w:color w:val="4472C4" w:themeColor="accent1"/>
        </w:rPr>
        <w:t xml:space="preserve">changing the methodology paragraph to </w:t>
      </w:r>
      <w:r w:rsidR="6E1C7C05" w:rsidRPr="0081485A">
        <w:rPr>
          <w:rFonts w:eastAsia="Calibri"/>
          <w:color w:val="4472C4" w:themeColor="accent1"/>
        </w:rPr>
        <w:t>the following:</w:t>
      </w:r>
    </w:p>
    <w:p w14:paraId="6912DC95" w14:textId="74892066" w:rsidR="30106491" w:rsidRDefault="30106491" w:rsidP="30106491">
      <w:pPr>
        <w:pStyle w:val="NormalWeb"/>
        <w:spacing w:line="360" w:lineRule="auto"/>
        <w:rPr>
          <w:rFonts w:eastAsia="Calibri"/>
          <w:color w:val="4472C4" w:themeColor="accent1"/>
        </w:rPr>
      </w:pPr>
    </w:p>
    <w:p w14:paraId="1C15B35C" w14:textId="7C153D0A" w:rsidR="006E0345" w:rsidRPr="0081485A" w:rsidRDefault="52AA9518" w:rsidP="002A3A1E">
      <w:pPr>
        <w:pStyle w:val="NormalWeb"/>
        <w:spacing w:after="240" w:afterAutospacing="0" w:line="360" w:lineRule="auto"/>
        <w:ind w:firstLine="720"/>
        <w:rPr>
          <w:rFonts w:eastAsia="Times New Roman" w:cstheme="minorBidi"/>
          <w:color w:val="4472C4" w:themeColor="accent1"/>
        </w:rPr>
      </w:pPr>
      <w:r w:rsidRPr="0081485A">
        <w:rPr>
          <w:rFonts w:eastAsia="Times New Roman" w:cstheme="minorBidi"/>
          <w:color w:val="4472C4" w:themeColor="accent1"/>
        </w:rPr>
        <w:t>“</w:t>
      </w:r>
      <w:r w:rsidR="319112C9" w:rsidRPr="0081485A">
        <w:rPr>
          <w:rFonts w:eastAsia="Calibri"/>
          <w:color w:val="4472C4" w:themeColor="accent1"/>
        </w:rPr>
        <w:t>This study reviews the use of medical cannabis for</w:t>
      </w:r>
      <w:r w:rsidR="00BE6BE0" w:rsidRPr="0081485A">
        <w:rPr>
          <w:rFonts w:eastAsia="Calibri"/>
          <w:color w:val="4472C4" w:themeColor="accent1"/>
        </w:rPr>
        <w:t xml:space="preserve"> </w:t>
      </w:r>
      <w:r w:rsidR="319112C9" w:rsidRPr="0081485A">
        <w:rPr>
          <w:rFonts w:eastAsia="Calibri"/>
          <w:color w:val="4472C4" w:themeColor="accent1"/>
        </w:rPr>
        <w:t>more than 2 years</w:t>
      </w:r>
      <w:r w:rsidR="001C2A40" w:rsidRPr="0081485A">
        <w:rPr>
          <w:rFonts w:eastAsia="Calibri"/>
          <w:color w:val="4472C4" w:themeColor="accent1"/>
        </w:rPr>
        <w:t>,</w:t>
      </w:r>
      <w:r w:rsidR="319112C9" w:rsidRPr="0081485A">
        <w:rPr>
          <w:rFonts w:eastAsia="Calibri"/>
          <w:color w:val="4472C4" w:themeColor="accent1"/>
        </w:rPr>
        <w:t xml:space="preserve"> in the largest cohort review of oral MC to date.</w:t>
      </w:r>
      <w:r w:rsidR="00817C05" w:rsidRPr="0081485A">
        <w:rPr>
          <w:rFonts w:eastAsia="Calibri"/>
          <w:color w:val="4472C4" w:themeColor="accent1"/>
        </w:rPr>
        <w:t xml:space="preserve"> </w:t>
      </w:r>
      <w:r w:rsidR="00817C05" w:rsidRPr="13E2505F">
        <w:rPr>
          <w:rFonts w:eastAsia="Calibri"/>
          <w:color w:val="4472C4" w:themeColor="accent1"/>
        </w:rPr>
        <w:t>Not</w:t>
      </w:r>
      <w:r w:rsidR="51E28C60" w:rsidRPr="13E2505F">
        <w:rPr>
          <w:rFonts w:eastAsia="Calibri"/>
          <w:color w:val="4472C4" w:themeColor="accent1"/>
        </w:rPr>
        <w:t>e</w:t>
      </w:r>
      <w:r w:rsidR="00817C05" w:rsidRPr="0081485A">
        <w:rPr>
          <w:rFonts w:eastAsia="Calibri"/>
          <w:color w:val="4472C4" w:themeColor="accent1"/>
        </w:rPr>
        <w:t xml:space="preserve"> that</w:t>
      </w:r>
      <w:r w:rsidR="319112C9" w:rsidRPr="0081485A">
        <w:rPr>
          <w:rFonts w:eastAsia="Calibri"/>
          <w:color w:val="4472C4" w:themeColor="accent1"/>
        </w:rPr>
        <w:t xml:space="preserve"> </w:t>
      </w:r>
      <w:r w:rsidR="00817C05" w:rsidRPr="0081485A">
        <w:rPr>
          <w:rFonts w:eastAsia="Calibri"/>
          <w:color w:val="4472C4" w:themeColor="accent1"/>
        </w:rPr>
        <w:t>t</w:t>
      </w:r>
      <w:r w:rsidR="319112C9" w:rsidRPr="0081485A">
        <w:rPr>
          <w:rFonts w:eastAsia="Calibri"/>
          <w:color w:val="4472C4" w:themeColor="accent1"/>
        </w:rPr>
        <w:t>he AECeR is a continuous ongoing enrolment registry</w:t>
      </w:r>
      <w:r w:rsidR="00905DD8" w:rsidRPr="0081485A">
        <w:rPr>
          <w:rFonts w:eastAsia="Calibri"/>
          <w:color w:val="4472C4" w:themeColor="accent1"/>
        </w:rPr>
        <w:t xml:space="preserve">, with the number of patients </w:t>
      </w:r>
      <w:r w:rsidR="00D134A2" w:rsidRPr="0081485A">
        <w:rPr>
          <w:rFonts w:eastAsia="Calibri"/>
          <w:color w:val="4472C4" w:themeColor="accent1"/>
        </w:rPr>
        <w:t xml:space="preserve">commencing </w:t>
      </w:r>
      <w:r w:rsidR="00626864" w:rsidRPr="0081485A">
        <w:rPr>
          <w:rFonts w:eastAsia="Calibri"/>
          <w:color w:val="4472C4" w:themeColor="accent1"/>
        </w:rPr>
        <w:t xml:space="preserve">treatment </w:t>
      </w:r>
      <w:r w:rsidR="00DE55D0" w:rsidRPr="0081485A">
        <w:rPr>
          <w:rFonts w:eastAsia="Calibri"/>
          <w:color w:val="4472C4" w:themeColor="accent1"/>
        </w:rPr>
        <w:t>and being tracked</w:t>
      </w:r>
      <w:r w:rsidR="00626864" w:rsidRPr="0081485A">
        <w:rPr>
          <w:rFonts w:eastAsia="Calibri"/>
          <w:color w:val="4472C4" w:themeColor="accent1"/>
        </w:rPr>
        <w:t xml:space="preserve"> </w:t>
      </w:r>
      <w:r w:rsidR="00CF70E8" w:rsidRPr="0081485A">
        <w:rPr>
          <w:rFonts w:eastAsia="Calibri"/>
          <w:color w:val="4472C4" w:themeColor="accent1"/>
        </w:rPr>
        <w:t xml:space="preserve">across follow-ups </w:t>
      </w:r>
      <w:r w:rsidR="00664521" w:rsidRPr="0081485A">
        <w:rPr>
          <w:rFonts w:eastAsia="Calibri"/>
          <w:color w:val="4472C4" w:themeColor="accent1"/>
        </w:rPr>
        <w:t>increasing</w:t>
      </w:r>
      <w:r w:rsidR="00CF70E8" w:rsidRPr="0081485A">
        <w:rPr>
          <w:rFonts w:eastAsia="Calibri"/>
          <w:color w:val="4472C4" w:themeColor="accent1"/>
        </w:rPr>
        <w:t xml:space="preserve"> over the sample period </w:t>
      </w:r>
      <w:r w:rsidR="00F638F4" w:rsidRPr="0081485A">
        <w:rPr>
          <w:rFonts w:eastAsia="Calibri"/>
          <w:color w:val="4472C4" w:themeColor="accent1"/>
        </w:rPr>
        <w:t xml:space="preserve">from </w:t>
      </w:r>
      <w:r w:rsidR="00CF70E8" w:rsidRPr="0081485A">
        <w:rPr>
          <w:rFonts w:eastAsia="Calibri"/>
          <w:color w:val="4472C4" w:themeColor="accent1"/>
        </w:rPr>
        <w:t>December 2018 to April 2022</w:t>
      </w:r>
      <w:r w:rsidR="319112C9" w:rsidRPr="0081485A">
        <w:rPr>
          <w:rFonts w:eastAsia="Calibri"/>
          <w:color w:val="4472C4" w:themeColor="accent1"/>
        </w:rPr>
        <w:t xml:space="preserve">. </w:t>
      </w:r>
      <w:r w:rsidR="00255DA9" w:rsidRPr="6E47972B">
        <w:rPr>
          <w:rFonts w:eastAsia="Calibri"/>
          <w:color w:val="4472C4" w:themeColor="accent1"/>
        </w:rPr>
        <w:t>Th</w:t>
      </w:r>
      <w:r w:rsidR="2C448616" w:rsidRPr="6E47972B">
        <w:rPr>
          <w:rFonts w:eastAsia="Calibri"/>
          <w:color w:val="4472C4" w:themeColor="accent1"/>
        </w:rPr>
        <w:t xml:space="preserve">is means </w:t>
      </w:r>
      <w:r w:rsidR="2C448616" w:rsidRPr="34EBC33A">
        <w:rPr>
          <w:rFonts w:eastAsia="Calibri"/>
          <w:color w:val="4472C4" w:themeColor="accent1"/>
        </w:rPr>
        <w:t>that</w:t>
      </w:r>
      <w:r w:rsidR="319112C9" w:rsidRPr="0081485A">
        <w:rPr>
          <w:rFonts w:eastAsia="Calibri"/>
          <w:color w:val="4472C4" w:themeColor="accent1"/>
        </w:rPr>
        <w:t xml:space="preserve"> there </w:t>
      </w:r>
      <w:r w:rsidR="42C0AE7E" w:rsidRPr="5F825886">
        <w:rPr>
          <w:rFonts w:eastAsia="Calibri"/>
          <w:color w:val="4472C4" w:themeColor="accent1"/>
        </w:rPr>
        <w:t xml:space="preserve">are </w:t>
      </w:r>
      <w:r w:rsidR="319112C9" w:rsidRPr="5F825886">
        <w:rPr>
          <w:rFonts w:eastAsia="Calibri"/>
          <w:color w:val="4472C4" w:themeColor="accent1"/>
        </w:rPr>
        <w:t>fewer</w:t>
      </w:r>
      <w:r w:rsidR="319112C9" w:rsidRPr="0081485A">
        <w:rPr>
          <w:rFonts w:eastAsia="Calibri"/>
          <w:color w:val="4472C4" w:themeColor="accent1"/>
        </w:rPr>
        <w:t xml:space="preserve"> patient </w:t>
      </w:r>
      <w:r w:rsidR="2A14F78C" w:rsidRPr="177DD1E9">
        <w:rPr>
          <w:rFonts w:eastAsia="Calibri"/>
          <w:color w:val="4472C4" w:themeColor="accent1"/>
        </w:rPr>
        <w:t>baseline</w:t>
      </w:r>
      <w:r w:rsidR="319112C9" w:rsidRPr="177DD1E9">
        <w:rPr>
          <w:rFonts w:eastAsia="Calibri"/>
          <w:color w:val="4472C4" w:themeColor="accent1"/>
        </w:rPr>
        <w:t xml:space="preserve"> </w:t>
      </w:r>
      <w:r w:rsidR="319112C9" w:rsidRPr="0081485A">
        <w:rPr>
          <w:rFonts w:eastAsia="Calibri"/>
          <w:color w:val="4472C4" w:themeColor="accent1"/>
        </w:rPr>
        <w:t xml:space="preserve">data at </w:t>
      </w:r>
      <w:r w:rsidR="34F17A00" w:rsidRPr="53E3E473">
        <w:rPr>
          <w:rFonts w:eastAsia="Calibri"/>
          <w:color w:val="4472C4" w:themeColor="accent1"/>
        </w:rPr>
        <w:t xml:space="preserve">earlier </w:t>
      </w:r>
      <w:r w:rsidR="319112C9" w:rsidRPr="53E3E473">
        <w:rPr>
          <w:rFonts w:eastAsia="Calibri"/>
          <w:color w:val="4472C4" w:themeColor="accent1"/>
        </w:rPr>
        <w:t>time</w:t>
      </w:r>
      <w:r w:rsidR="319112C9" w:rsidRPr="0081485A">
        <w:rPr>
          <w:rFonts w:eastAsia="Calibri"/>
          <w:color w:val="4472C4" w:themeColor="accent1"/>
        </w:rPr>
        <w:t xml:space="preserve"> points than more recent time points</w:t>
      </w:r>
      <w:r w:rsidR="1262B26E" w:rsidRPr="49789A9C">
        <w:rPr>
          <w:rFonts w:eastAsia="Calibri"/>
          <w:color w:val="4472C4" w:themeColor="accent1"/>
        </w:rPr>
        <w:t>,</w:t>
      </w:r>
      <w:r w:rsidR="74288ED0" w:rsidRPr="112030DE">
        <w:rPr>
          <w:rFonts w:eastAsia="Calibri"/>
          <w:color w:val="4472C4" w:themeColor="accent1"/>
        </w:rPr>
        <w:t xml:space="preserve"> as </w:t>
      </w:r>
      <w:r w:rsidR="74288ED0" w:rsidRPr="1F80C472">
        <w:rPr>
          <w:rFonts w:eastAsia="Calibri"/>
          <w:color w:val="4472C4" w:themeColor="accent1"/>
        </w:rPr>
        <w:t xml:space="preserve">the number of </w:t>
      </w:r>
      <w:r w:rsidR="74288ED0" w:rsidRPr="57C45CEC">
        <w:rPr>
          <w:rFonts w:eastAsia="Calibri"/>
          <w:color w:val="4472C4" w:themeColor="accent1"/>
        </w:rPr>
        <w:t xml:space="preserve">enrolled patients </w:t>
      </w:r>
      <w:r w:rsidR="74288ED0" w:rsidRPr="2BF5D807">
        <w:rPr>
          <w:rFonts w:eastAsia="Calibri"/>
          <w:color w:val="4472C4" w:themeColor="accent1"/>
        </w:rPr>
        <w:t>increased</w:t>
      </w:r>
      <w:r w:rsidR="319112C9" w:rsidRPr="2BF5D807">
        <w:rPr>
          <w:rFonts w:eastAsia="Calibri"/>
          <w:color w:val="4472C4" w:themeColor="accent1"/>
        </w:rPr>
        <w:t>.</w:t>
      </w:r>
      <w:r w:rsidR="319112C9" w:rsidRPr="0081485A">
        <w:rPr>
          <w:rFonts w:eastAsia="Calibri"/>
          <w:color w:val="4472C4" w:themeColor="accent1"/>
        </w:rPr>
        <w:t xml:space="preserve"> </w:t>
      </w:r>
      <w:r w:rsidR="555B2C27" w:rsidRPr="7C01E3B9">
        <w:rPr>
          <w:rFonts w:eastAsia="Calibri"/>
          <w:color w:val="4472C4" w:themeColor="accent1"/>
        </w:rPr>
        <w:t>Importantly, r</w:t>
      </w:r>
      <w:r w:rsidR="319112C9" w:rsidRPr="7C01E3B9">
        <w:rPr>
          <w:rFonts w:eastAsia="Calibri"/>
          <w:color w:val="4472C4" w:themeColor="accent1"/>
        </w:rPr>
        <w:t>etention</w:t>
      </w:r>
      <w:r w:rsidR="319112C9" w:rsidRPr="0081485A">
        <w:rPr>
          <w:rFonts w:eastAsia="Calibri"/>
          <w:color w:val="4472C4" w:themeColor="accent1"/>
        </w:rPr>
        <w:t xml:space="preserve"> rates were maintained at nearly 70% at 12 months. </w:t>
      </w:r>
      <w:r w:rsidR="7807615F" w:rsidRPr="025AF239">
        <w:rPr>
          <w:rFonts w:eastAsia="Calibri"/>
          <w:color w:val="4472C4" w:themeColor="accent1"/>
        </w:rPr>
        <w:t>P</w:t>
      </w:r>
      <w:r w:rsidR="319112C9" w:rsidRPr="025AF239">
        <w:rPr>
          <w:rFonts w:eastAsia="Calibri"/>
          <w:color w:val="4472C4" w:themeColor="accent1"/>
        </w:rPr>
        <w:t>atients</w:t>
      </w:r>
      <w:r w:rsidR="319112C9" w:rsidRPr="0081485A">
        <w:rPr>
          <w:rFonts w:eastAsia="Calibri"/>
          <w:color w:val="4472C4" w:themeColor="accent1"/>
        </w:rPr>
        <w:t xml:space="preserve"> who </w:t>
      </w:r>
      <w:r w:rsidR="319112C9" w:rsidRPr="7019B35A">
        <w:rPr>
          <w:rFonts w:eastAsia="Calibri"/>
          <w:color w:val="4472C4" w:themeColor="accent1"/>
        </w:rPr>
        <w:t>attend</w:t>
      </w:r>
      <w:r w:rsidR="45F3542B" w:rsidRPr="7019B35A">
        <w:rPr>
          <w:rFonts w:eastAsia="Calibri"/>
          <w:color w:val="4472C4" w:themeColor="accent1"/>
        </w:rPr>
        <w:t>ed</w:t>
      </w:r>
      <w:r w:rsidR="319112C9" w:rsidRPr="0081485A">
        <w:rPr>
          <w:rFonts w:eastAsia="Calibri"/>
          <w:color w:val="4472C4" w:themeColor="accent1"/>
        </w:rPr>
        <w:t xml:space="preserve"> the national Emerald Clinics Network </w:t>
      </w:r>
      <w:r w:rsidR="79E9AAF7" w:rsidRPr="3FC8CEB1">
        <w:rPr>
          <w:rFonts w:eastAsia="Calibri"/>
          <w:color w:val="4472C4" w:themeColor="accent1"/>
        </w:rPr>
        <w:t xml:space="preserve">and </w:t>
      </w:r>
      <w:r w:rsidR="319112C9" w:rsidRPr="0081485A">
        <w:rPr>
          <w:rFonts w:eastAsia="Calibri"/>
          <w:color w:val="4472C4" w:themeColor="accent1"/>
        </w:rPr>
        <w:t xml:space="preserve">were enrolled in the registry </w:t>
      </w:r>
      <w:r w:rsidR="0EB68F5B" w:rsidRPr="5E4EFB79">
        <w:rPr>
          <w:rFonts w:eastAsia="Calibri"/>
          <w:color w:val="4472C4" w:themeColor="accent1"/>
        </w:rPr>
        <w:t>between</w:t>
      </w:r>
      <w:r w:rsidR="319112C9" w:rsidRPr="0081485A">
        <w:rPr>
          <w:rFonts w:eastAsia="Calibri"/>
          <w:color w:val="4472C4" w:themeColor="accent1"/>
        </w:rPr>
        <w:t xml:space="preserve"> December 2018 to April 2022 </w:t>
      </w:r>
      <w:r w:rsidR="221AA78C" w:rsidRPr="61B5F79D">
        <w:rPr>
          <w:rFonts w:eastAsia="Calibri"/>
          <w:color w:val="4472C4" w:themeColor="accent1"/>
        </w:rPr>
        <w:t>are</w:t>
      </w:r>
      <w:r w:rsidR="319112C9" w:rsidRPr="0081485A">
        <w:rPr>
          <w:rFonts w:eastAsia="Calibri"/>
          <w:color w:val="4472C4" w:themeColor="accent1"/>
        </w:rPr>
        <w:t xml:space="preserve"> </w:t>
      </w:r>
      <w:r w:rsidR="60F12CCC" w:rsidRPr="72AED559">
        <w:rPr>
          <w:rFonts w:eastAsia="Calibri"/>
          <w:color w:val="4472C4" w:themeColor="accent1"/>
        </w:rPr>
        <w:t>all</w:t>
      </w:r>
      <w:r w:rsidR="319112C9" w:rsidRPr="2F41B295">
        <w:rPr>
          <w:rFonts w:eastAsia="Calibri"/>
          <w:color w:val="4472C4" w:themeColor="accent1"/>
        </w:rPr>
        <w:t xml:space="preserve"> </w:t>
      </w:r>
      <w:r w:rsidR="319112C9" w:rsidRPr="0081485A">
        <w:rPr>
          <w:rFonts w:eastAsia="Calibri"/>
          <w:color w:val="4472C4" w:themeColor="accent1"/>
        </w:rPr>
        <w:t>included in this analysis.</w:t>
      </w:r>
      <w:r w:rsidRPr="0081485A">
        <w:rPr>
          <w:rFonts w:eastAsia="Times New Roman" w:cstheme="minorBidi"/>
          <w:color w:val="4472C4" w:themeColor="accent1"/>
        </w:rPr>
        <w:t>”</w:t>
      </w:r>
    </w:p>
    <w:p w14:paraId="716DCF7C" w14:textId="77777777" w:rsidR="0081485A" w:rsidRDefault="0081485A" w:rsidP="0081485A">
      <w:pPr>
        <w:pStyle w:val="NormalWeb"/>
        <w:spacing w:after="240" w:afterAutospacing="0" w:line="360" w:lineRule="auto"/>
        <w:rPr>
          <w:rFonts w:eastAsia="Times New Roman" w:cstheme="minorBidi"/>
          <w:color w:val="4472C4" w:themeColor="accent1"/>
        </w:rPr>
      </w:pPr>
    </w:p>
    <w:p w14:paraId="71A00A41" w14:textId="2AB49434" w:rsidR="006E0345" w:rsidRDefault="70A3BDAF" w:rsidP="002A3A1E">
      <w:pPr>
        <w:pStyle w:val="NormalWeb"/>
        <w:spacing w:after="240" w:afterAutospacing="0" w:line="360" w:lineRule="auto"/>
        <w:rPr>
          <w:rFonts w:eastAsia="Calibri"/>
          <w:color w:val="4472C4" w:themeColor="accent1"/>
        </w:rPr>
      </w:pPr>
      <w:r w:rsidRPr="3EF7FB48">
        <w:rPr>
          <w:rFonts w:eastAsia="Calibri"/>
        </w:rPr>
        <w:t>2. Table 1 – Are the percentages provided as a proportion of active ingredients. Percentages are also used to represent concentrations in mg/ml. For category 5 this would be equivalent to 980mg/ml with this terminology. Please just make clearer.</w:t>
      </w:r>
    </w:p>
    <w:p w14:paraId="4D3C7ABB" w14:textId="7AE2FC48" w:rsidR="006E0345" w:rsidRDefault="07C102A8" w:rsidP="002A3A1E">
      <w:pPr>
        <w:pStyle w:val="NormalWeb"/>
        <w:spacing w:after="240" w:afterAutospacing="0" w:line="360" w:lineRule="auto"/>
        <w:rPr>
          <w:rFonts w:eastAsia="Calibri"/>
          <w:color w:val="4472C4" w:themeColor="accent1"/>
        </w:rPr>
      </w:pPr>
      <w:r w:rsidRPr="3408A1E7">
        <w:rPr>
          <w:rFonts w:eastAsia="Calibri"/>
          <w:color w:val="4471C4"/>
        </w:rPr>
        <w:t>Response:</w:t>
      </w:r>
      <w:r w:rsidR="3EC4DEFA" w:rsidRPr="3408A1E7">
        <w:rPr>
          <w:rFonts w:eastAsia="Calibri"/>
          <w:color w:val="4471C4"/>
        </w:rPr>
        <w:t xml:space="preserve"> </w:t>
      </w:r>
      <w:r w:rsidR="31A3488E" w:rsidRPr="3408A1E7">
        <w:rPr>
          <w:rFonts w:eastAsia="Calibri"/>
          <w:color w:val="4471C4"/>
        </w:rPr>
        <w:t>This is a great point</w:t>
      </w:r>
      <w:r w:rsidR="2E494178" w:rsidRPr="3408A1E7">
        <w:rPr>
          <w:rFonts w:eastAsia="Calibri"/>
          <w:color w:val="4471C4"/>
        </w:rPr>
        <w:t>,</w:t>
      </w:r>
      <w:r w:rsidR="31A3488E" w:rsidRPr="3408A1E7">
        <w:rPr>
          <w:rFonts w:eastAsia="Calibri"/>
          <w:color w:val="4471C4"/>
        </w:rPr>
        <w:t xml:space="preserve"> and</w:t>
      </w:r>
      <w:r w:rsidR="5AE3D08B" w:rsidRPr="3408A1E7">
        <w:rPr>
          <w:rFonts w:eastAsia="Calibri"/>
          <w:color w:val="4471C4"/>
        </w:rPr>
        <w:t xml:space="preserve"> upon reviewing the respective section and table, we </w:t>
      </w:r>
      <w:r w:rsidR="32D00AC9" w:rsidRPr="3408A1E7">
        <w:rPr>
          <w:rFonts w:eastAsia="Calibri"/>
          <w:color w:val="4471C4"/>
        </w:rPr>
        <w:t xml:space="preserve">now see what we believe caused the confusion: </w:t>
      </w:r>
      <w:r w:rsidR="0FAF1531" w:rsidRPr="3408A1E7">
        <w:rPr>
          <w:rFonts w:eastAsia="Calibri"/>
          <w:color w:val="4471C4"/>
        </w:rPr>
        <w:t xml:space="preserve">The percentages and ranges displayed in Table 1 are based on those provided by the </w:t>
      </w:r>
      <w:r w:rsidR="0E67F894" w:rsidRPr="3408A1E7">
        <w:rPr>
          <w:rFonts w:eastAsia="Calibri"/>
          <w:color w:val="4471C4"/>
        </w:rPr>
        <w:t>TGA to categ</w:t>
      </w:r>
      <w:r w:rsidR="5F1832CB" w:rsidRPr="3408A1E7">
        <w:rPr>
          <w:rFonts w:eastAsia="Calibri"/>
          <w:color w:val="4471C4"/>
        </w:rPr>
        <w:t>orise products in terms of the</w:t>
      </w:r>
      <w:r w:rsidR="7730A724" w:rsidRPr="3408A1E7">
        <w:rPr>
          <w:rFonts w:eastAsia="Calibri"/>
          <w:color w:val="4471C4"/>
        </w:rPr>
        <w:t xml:space="preserve"> relative concentrations of CBD and THC of the total cannabinoid content of the medicine.</w:t>
      </w:r>
      <w:r w:rsidR="3B073673" w:rsidRPr="3408A1E7">
        <w:rPr>
          <w:rFonts w:eastAsia="Calibri"/>
          <w:color w:val="4471C4"/>
        </w:rPr>
        <w:t xml:space="preserve"> </w:t>
      </w:r>
      <w:r w:rsidR="4531B0A9" w:rsidRPr="3408A1E7">
        <w:rPr>
          <w:rFonts w:eastAsia="Calibri"/>
          <w:color w:val="4471C4"/>
        </w:rPr>
        <w:t>These are</w:t>
      </w:r>
      <w:r w:rsidR="3B073673" w:rsidRPr="3408A1E7">
        <w:rPr>
          <w:rFonts w:eastAsia="Calibri"/>
          <w:color w:val="4471C4"/>
        </w:rPr>
        <w:t xml:space="preserve"> not related to the number of mg/ml</w:t>
      </w:r>
      <w:r w:rsidR="17B3178E" w:rsidRPr="3408A1E7">
        <w:rPr>
          <w:rFonts w:eastAsia="Calibri"/>
          <w:color w:val="4471C4"/>
        </w:rPr>
        <w:t xml:space="preserve">, but rather used </w:t>
      </w:r>
      <w:r w:rsidR="63C778F6" w:rsidRPr="3408A1E7">
        <w:rPr>
          <w:rFonts w:eastAsia="Calibri"/>
          <w:color w:val="4471C4"/>
        </w:rPr>
        <w:t>in</w:t>
      </w:r>
      <w:r w:rsidR="17B3178E" w:rsidRPr="3408A1E7">
        <w:rPr>
          <w:rFonts w:eastAsia="Calibri"/>
          <w:color w:val="4471C4"/>
        </w:rPr>
        <w:t xml:space="preserve"> a</w:t>
      </w:r>
      <w:r w:rsidR="4A5B5261" w:rsidRPr="3408A1E7">
        <w:rPr>
          <w:rFonts w:eastAsia="Calibri"/>
          <w:color w:val="4471C4"/>
        </w:rPr>
        <w:t xml:space="preserve"> way</w:t>
      </w:r>
      <w:r w:rsidR="17B3178E" w:rsidRPr="3408A1E7">
        <w:rPr>
          <w:rFonts w:eastAsia="Calibri"/>
          <w:color w:val="4471C4"/>
        </w:rPr>
        <w:t xml:space="preserve"> to “group</w:t>
      </w:r>
      <w:r w:rsidR="2DFAD884" w:rsidRPr="3408A1E7">
        <w:rPr>
          <w:rFonts w:eastAsia="Calibri"/>
          <w:color w:val="4471C4"/>
        </w:rPr>
        <w:t xml:space="preserve">” </w:t>
      </w:r>
      <w:r w:rsidR="381195CC" w:rsidRPr="3408A1E7">
        <w:rPr>
          <w:rFonts w:eastAsia="Calibri"/>
          <w:color w:val="4471C4"/>
        </w:rPr>
        <w:t>the products of</w:t>
      </w:r>
      <w:r w:rsidR="3B073673" w:rsidRPr="3408A1E7">
        <w:rPr>
          <w:rFonts w:eastAsia="Calibri"/>
          <w:color w:val="4471C4"/>
        </w:rPr>
        <w:t xml:space="preserve"> individual pharmaceutical companies </w:t>
      </w:r>
      <w:r w:rsidR="258C6153" w:rsidRPr="3408A1E7">
        <w:rPr>
          <w:rFonts w:eastAsia="Calibri"/>
          <w:color w:val="4471C4"/>
        </w:rPr>
        <w:t>with typically</w:t>
      </w:r>
      <w:r w:rsidR="3B073673" w:rsidRPr="3408A1E7">
        <w:rPr>
          <w:rFonts w:eastAsia="Calibri"/>
          <w:color w:val="4471C4"/>
        </w:rPr>
        <w:t xml:space="preserve"> varying mg/ml and total </w:t>
      </w:r>
      <w:r w:rsidR="61B72CCE" w:rsidRPr="3408A1E7">
        <w:rPr>
          <w:rFonts w:eastAsia="Calibri"/>
          <w:color w:val="4471C4"/>
        </w:rPr>
        <w:t>volume dispensing</w:t>
      </w:r>
      <w:r w:rsidR="3B073673" w:rsidRPr="3408A1E7">
        <w:rPr>
          <w:rFonts w:eastAsia="Calibri"/>
          <w:color w:val="4471C4"/>
        </w:rPr>
        <w:t>.  For example</w:t>
      </w:r>
      <w:r w:rsidR="61B72CCE" w:rsidRPr="3408A1E7">
        <w:rPr>
          <w:rFonts w:eastAsia="Calibri"/>
          <w:color w:val="4471C4"/>
        </w:rPr>
        <w:t>,</w:t>
      </w:r>
      <w:r w:rsidR="3B073673" w:rsidRPr="3408A1E7">
        <w:rPr>
          <w:rFonts w:eastAsia="Calibri"/>
          <w:color w:val="4471C4"/>
        </w:rPr>
        <w:t xml:space="preserve"> a “CBD-only” product </w:t>
      </w:r>
      <w:r w:rsidR="61B72CCE" w:rsidRPr="3408A1E7">
        <w:rPr>
          <w:rFonts w:eastAsia="Calibri"/>
          <w:color w:val="4471C4"/>
        </w:rPr>
        <w:t xml:space="preserve">may </w:t>
      </w:r>
      <w:r w:rsidR="3B073673" w:rsidRPr="3408A1E7">
        <w:rPr>
          <w:rFonts w:eastAsia="Calibri"/>
          <w:color w:val="4471C4"/>
        </w:rPr>
        <w:t>contain 100mg/ml CBD (</w:t>
      </w:r>
      <w:r w:rsidR="44F9E952" w:rsidRPr="3408A1E7">
        <w:rPr>
          <w:rFonts w:eastAsia="Calibri"/>
          <w:color w:val="4471C4"/>
        </w:rPr>
        <w:t>i.e.,</w:t>
      </w:r>
      <w:r w:rsidR="3B073673" w:rsidRPr="3408A1E7">
        <w:rPr>
          <w:rFonts w:eastAsia="Calibri"/>
          <w:color w:val="4471C4"/>
        </w:rPr>
        <w:t xml:space="preserve"> at least 98mg/ml CBD and 2mg/ml </w:t>
      </w:r>
      <w:r w:rsidR="3AAB1BD2" w:rsidRPr="3408A1E7">
        <w:rPr>
          <w:rFonts w:eastAsia="Calibri"/>
          <w:color w:val="4471C4"/>
        </w:rPr>
        <w:t>from</w:t>
      </w:r>
      <w:r w:rsidR="3B073673" w:rsidRPr="3408A1E7">
        <w:rPr>
          <w:rFonts w:eastAsia="Calibri"/>
          <w:color w:val="4471C4"/>
        </w:rPr>
        <w:t xml:space="preserve"> other cannabinoids including THC).  </w:t>
      </w:r>
      <w:r w:rsidR="56D39EB4" w:rsidRPr="3408A1E7">
        <w:rPr>
          <w:rFonts w:eastAsia="Calibri"/>
          <w:color w:val="4471C4"/>
        </w:rPr>
        <w:t>Further, a</w:t>
      </w:r>
      <w:r w:rsidR="3B073673" w:rsidRPr="3408A1E7">
        <w:rPr>
          <w:rFonts w:eastAsia="Calibri"/>
          <w:color w:val="4471C4"/>
        </w:rPr>
        <w:t xml:space="preserve"> “Balanced” </w:t>
      </w:r>
      <w:r w:rsidR="414531F3" w:rsidRPr="3408A1E7">
        <w:rPr>
          <w:rFonts w:eastAsia="Calibri"/>
          <w:color w:val="4471C4"/>
        </w:rPr>
        <w:t xml:space="preserve">category 3 </w:t>
      </w:r>
      <w:r w:rsidR="3B073673" w:rsidRPr="3408A1E7">
        <w:rPr>
          <w:rFonts w:eastAsia="Calibri"/>
          <w:color w:val="4471C4"/>
        </w:rPr>
        <w:t>product</w:t>
      </w:r>
      <w:r w:rsidR="61B72CCE" w:rsidRPr="3408A1E7">
        <w:rPr>
          <w:rFonts w:eastAsia="Calibri"/>
          <w:color w:val="4471C4"/>
        </w:rPr>
        <w:t xml:space="preserve"> </w:t>
      </w:r>
      <w:r w:rsidR="22DA27DD" w:rsidRPr="3408A1E7">
        <w:rPr>
          <w:rFonts w:eastAsia="Calibri"/>
          <w:color w:val="4471C4"/>
        </w:rPr>
        <w:t>could</w:t>
      </w:r>
      <w:r w:rsidR="61B72CCE" w:rsidRPr="3408A1E7">
        <w:rPr>
          <w:rFonts w:eastAsia="Calibri"/>
          <w:color w:val="4471C4"/>
        </w:rPr>
        <w:t xml:space="preserve"> contain 10mg THC/10mg CBD per ml</w:t>
      </w:r>
      <w:r w:rsidR="5D4D0A99" w:rsidRPr="3408A1E7">
        <w:rPr>
          <w:rFonts w:eastAsia="Calibri"/>
          <w:color w:val="4471C4"/>
        </w:rPr>
        <w:t>, whereas the</w:t>
      </w:r>
      <w:r w:rsidR="61B72CCE" w:rsidRPr="3408A1E7">
        <w:rPr>
          <w:rFonts w:eastAsia="Calibri"/>
          <w:color w:val="4471C4"/>
        </w:rPr>
        <w:t xml:space="preserve"> </w:t>
      </w:r>
      <w:r w:rsidR="5938B804" w:rsidRPr="3408A1E7">
        <w:rPr>
          <w:rFonts w:eastAsia="Calibri"/>
          <w:color w:val="4471C4"/>
        </w:rPr>
        <w:t xml:space="preserve">actual </w:t>
      </w:r>
      <w:r w:rsidR="61B72CCE" w:rsidRPr="3408A1E7">
        <w:rPr>
          <w:rFonts w:eastAsia="Calibri"/>
          <w:color w:val="4471C4"/>
        </w:rPr>
        <w:t xml:space="preserve">volume dispensed </w:t>
      </w:r>
      <w:r w:rsidR="49FAC9E8" w:rsidRPr="3408A1E7">
        <w:rPr>
          <w:rFonts w:eastAsia="Calibri"/>
          <w:color w:val="4471C4"/>
        </w:rPr>
        <w:t xml:space="preserve">for said </w:t>
      </w:r>
      <w:r w:rsidR="61B72CCE" w:rsidRPr="3408A1E7">
        <w:rPr>
          <w:rFonts w:eastAsia="Calibri"/>
          <w:color w:val="4471C4"/>
        </w:rPr>
        <w:t xml:space="preserve">product </w:t>
      </w:r>
      <w:r w:rsidR="42C102D2" w:rsidRPr="3408A1E7">
        <w:rPr>
          <w:rFonts w:eastAsia="Calibri"/>
          <w:color w:val="4471C4"/>
        </w:rPr>
        <w:t>may</w:t>
      </w:r>
      <w:r w:rsidR="61B72CCE" w:rsidRPr="3408A1E7">
        <w:rPr>
          <w:rFonts w:eastAsia="Calibri"/>
          <w:color w:val="4471C4"/>
        </w:rPr>
        <w:t xml:space="preserve"> be between </w:t>
      </w:r>
      <w:r w:rsidR="414531F3" w:rsidRPr="3408A1E7">
        <w:rPr>
          <w:rFonts w:eastAsia="Calibri"/>
          <w:color w:val="4471C4"/>
        </w:rPr>
        <w:t xml:space="preserve">25 and 100ml. </w:t>
      </w:r>
      <w:r w:rsidR="32FF0BA6" w:rsidRPr="3408A1E7">
        <w:rPr>
          <w:rFonts w:eastAsia="Calibri"/>
          <w:color w:val="4471C4"/>
        </w:rPr>
        <w:t>Conversely, a</w:t>
      </w:r>
      <w:r w:rsidR="10C2EC13" w:rsidRPr="3408A1E7">
        <w:rPr>
          <w:rFonts w:eastAsia="Calibri"/>
          <w:color w:val="4471C4"/>
        </w:rPr>
        <w:t xml:space="preserve">nother </w:t>
      </w:r>
      <w:r w:rsidR="4C88088C" w:rsidRPr="3408A1E7">
        <w:rPr>
          <w:rFonts w:eastAsia="Calibri"/>
          <w:color w:val="4471C4"/>
        </w:rPr>
        <w:t>MC oil</w:t>
      </w:r>
      <w:r w:rsidR="10C2EC13" w:rsidRPr="3408A1E7">
        <w:rPr>
          <w:rFonts w:eastAsia="Calibri"/>
          <w:color w:val="4471C4"/>
        </w:rPr>
        <w:t xml:space="preserve"> </w:t>
      </w:r>
      <w:r w:rsidR="54499AFC" w:rsidRPr="3408A1E7">
        <w:rPr>
          <w:rFonts w:eastAsia="Calibri"/>
          <w:color w:val="4471C4"/>
        </w:rPr>
        <w:t xml:space="preserve">could </w:t>
      </w:r>
      <w:r w:rsidR="10C2EC13" w:rsidRPr="3408A1E7">
        <w:rPr>
          <w:rFonts w:eastAsia="Calibri"/>
          <w:color w:val="4471C4"/>
        </w:rPr>
        <w:t xml:space="preserve">contain 25mgTHC/25mg CBD per ml. </w:t>
      </w:r>
      <w:r w:rsidR="681687A7" w:rsidRPr="3408A1E7">
        <w:rPr>
          <w:rFonts w:eastAsia="Calibri"/>
          <w:color w:val="4471C4"/>
        </w:rPr>
        <w:t>In both instances, the product</w:t>
      </w:r>
      <w:r w:rsidR="57030462" w:rsidRPr="3408A1E7">
        <w:rPr>
          <w:rFonts w:eastAsia="Calibri"/>
          <w:color w:val="4471C4"/>
        </w:rPr>
        <w:t xml:space="preserve"> would</w:t>
      </w:r>
      <w:r w:rsidR="414531F3" w:rsidRPr="3408A1E7">
        <w:rPr>
          <w:rFonts w:eastAsia="Calibri"/>
          <w:color w:val="4471C4"/>
        </w:rPr>
        <w:t xml:space="preserve"> fall within the category 3</w:t>
      </w:r>
      <w:r w:rsidR="0EC585D8" w:rsidRPr="3408A1E7">
        <w:rPr>
          <w:rFonts w:eastAsia="Calibri"/>
          <w:color w:val="4471C4"/>
        </w:rPr>
        <w:t xml:space="preserve"> “Balanced”</w:t>
      </w:r>
      <w:r w:rsidR="414531F3" w:rsidRPr="3408A1E7">
        <w:rPr>
          <w:rFonts w:eastAsia="Calibri"/>
          <w:color w:val="4471C4"/>
        </w:rPr>
        <w:t xml:space="preserve"> descriptor of between 40-60% THC and 40-60% CBD. </w:t>
      </w:r>
      <w:r w:rsidR="7594D213" w:rsidRPr="3408A1E7">
        <w:rPr>
          <w:rFonts w:eastAsia="Calibri"/>
          <w:color w:val="4471C4"/>
        </w:rPr>
        <w:t>At this point</w:t>
      </w:r>
      <w:r w:rsidR="741DF5F0" w:rsidRPr="3408A1E7">
        <w:rPr>
          <w:rFonts w:eastAsia="Calibri"/>
          <w:color w:val="4471C4"/>
        </w:rPr>
        <w:t>,</w:t>
      </w:r>
      <w:r w:rsidR="1757559D" w:rsidRPr="3408A1E7">
        <w:rPr>
          <w:rFonts w:eastAsia="Calibri"/>
          <w:color w:val="4471C4"/>
        </w:rPr>
        <w:t xml:space="preserve"> it may be useful to also highlight that</w:t>
      </w:r>
      <w:r w:rsidR="10C2EC13" w:rsidRPr="3408A1E7">
        <w:rPr>
          <w:rFonts w:eastAsia="Calibri"/>
          <w:color w:val="4471C4"/>
        </w:rPr>
        <w:t xml:space="preserve"> </w:t>
      </w:r>
      <w:r w:rsidR="414531F3" w:rsidRPr="3408A1E7">
        <w:rPr>
          <w:rFonts w:eastAsia="Calibri"/>
          <w:color w:val="4471C4"/>
        </w:rPr>
        <w:t>Fig</w:t>
      </w:r>
      <w:r w:rsidR="153DF183" w:rsidRPr="3408A1E7">
        <w:rPr>
          <w:rFonts w:eastAsia="Calibri"/>
          <w:color w:val="4471C4"/>
        </w:rPr>
        <w:t>.</w:t>
      </w:r>
      <w:r w:rsidR="414531F3" w:rsidRPr="3408A1E7">
        <w:rPr>
          <w:rFonts w:eastAsia="Calibri"/>
          <w:color w:val="4471C4"/>
        </w:rPr>
        <w:t xml:space="preserve"> 1 </w:t>
      </w:r>
      <w:r w:rsidR="7BD2F976" w:rsidRPr="3408A1E7">
        <w:rPr>
          <w:rFonts w:eastAsia="Calibri"/>
          <w:color w:val="4471C4"/>
        </w:rPr>
        <w:t>p</w:t>
      </w:r>
      <w:r w:rsidR="7006939A" w:rsidRPr="3408A1E7">
        <w:rPr>
          <w:rFonts w:eastAsia="Calibri"/>
          <w:color w:val="4471C4"/>
        </w:rPr>
        <w:t>lots</w:t>
      </w:r>
      <w:r w:rsidR="414531F3" w:rsidRPr="3408A1E7">
        <w:rPr>
          <w:rFonts w:eastAsia="Calibri"/>
          <w:color w:val="4471C4"/>
        </w:rPr>
        <w:t xml:space="preserve"> the daily dose</w:t>
      </w:r>
      <w:r w:rsidR="58A84729" w:rsidRPr="3408A1E7">
        <w:rPr>
          <w:rFonts w:eastAsia="Calibri"/>
          <w:color w:val="4471C4"/>
        </w:rPr>
        <w:t>s</w:t>
      </w:r>
      <w:r w:rsidR="414531F3" w:rsidRPr="3408A1E7">
        <w:rPr>
          <w:rFonts w:eastAsia="Calibri"/>
          <w:color w:val="4471C4"/>
        </w:rPr>
        <w:t xml:space="preserve"> in mg/day </w:t>
      </w:r>
      <w:r w:rsidR="06F83519" w:rsidRPr="3408A1E7">
        <w:rPr>
          <w:rFonts w:eastAsia="Calibri"/>
          <w:color w:val="4471C4"/>
        </w:rPr>
        <w:t>for</w:t>
      </w:r>
      <w:r w:rsidR="414531F3" w:rsidRPr="3408A1E7">
        <w:rPr>
          <w:rFonts w:eastAsia="Calibri"/>
          <w:color w:val="4471C4"/>
        </w:rPr>
        <w:t xml:space="preserve"> the average patient</w:t>
      </w:r>
      <w:r w:rsidR="10C2EC13" w:rsidRPr="3408A1E7">
        <w:rPr>
          <w:rFonts w:eastAsia="Calibri"/>
          <w:color w:val="4471C4"/>
        </w:rPr>
        <w:t xml:space="preserve"> in our cohort. </w:t>
      </w:r>
      <w:r w:rsidR="6970E17A" w:rsidRPr="3408A1E7">
        <w:rPr>
          <w:rFonts w:eastAsia="Calibri"/>
          <w:color w:val="4471C4"/>
        </w:rPr>
        <w:t>Moreover, t</w:t>
      </w:r>
      <w:r w:rsidR="10C2EC13" w:rsidRPr="3408A1E7">
        <w:rPr>
          <w:rFonts w:eastAsia="Calibri"/>
          <w:color w:val="4471C4"/>
        </w:rPr>
        <w:t xml:space="preserve">he median daily total dose of THC was 10mg concomitant with 22.5mg of CBD. </w:t>
      </w:r>
      <w:r w:rsidR="71794161" w:rsidRPr="3408A1E7">
        <w:rPr>
          <w:rFonts w:eastAsia="Calibri"/>
          <w:color w:val="4471C4"/>
        </w:rPr>
        <w:t>Nevertheless, for clarity we have now included the following statement in the manuscript:</w:t>
      </w:r>
    </w:p>
    <w:p w14:paraId="23265E3B" w14:textId="0809C2CE" w:rsidR="006E0345" w:rsidRDefault="234CD105" w:rsidP="52968B23">
      <w:pPr>
        <w:spacing w:after="240" w:line="480" w:lineRule="auto"/>
        <w:rPr>
          <w:rFonts w:eastAsia="Calibri"/>
          <w:color w:val="4472C4" w:themeColor="accent1"/>
        </w:rPr>
      </w:pPr>
      <w:r w:rsidRPr="3EF7FB48">
        <w:rPr>
          <w:rFonts w:eastAsia="Calibri"/>
          <w:color w:val="4472C4" w:themeColor="accent1"/>
        </w:rPr>
        <w:t>“</w:t>
      </w:r>
      <w:r w:rsidRPr="48404561">
        <w:rPr>
          <w:rFonts w:eastAsia="Calibri"/>
          <w:color w:val="4472C4" w:themeColor="accent1"/>
          <w:sz w:val="22"/>
          <w:szCs w:val="22"/>
        </w:rPr>
        <w:t xml:space="preserve">MC products in Australia are </w:t>
      </w:r>
      <w:r w:rsidR="702DAD4C" w:rsidRPr="48404561">
        <w:rPr>
          <w:rFonts w:eastAsia="Calibri"/>
          <w:color w:val="4472C4" w:themeColor="accent1"/>
          <w:sz w:val="22"/>
          <w:szCs w:val="22"/>
        </w:rPr>
        <w:t>grouped by the TGA</w:t>
      </w:r>
      <w:r w:rsidRPr="48404561">
        <w:rPr>
          <w:rFonts w:eastAsia="Calibri"/>
          <w:color w:val="4472C4" w:themeColor="accent1"/>
          <w:sz w:val="22"/>
          <w:szCs w:val="22"/>
        </w:rPr>
        <w:t xml:space="preserve"> into </w:t>
      </w:r>
      <w:r w:rsidR="702DAD4C" w:rsidRPr="48404561">
        <w:rPr>
          <w:rFonts w:eastAsia="Calibri"/>
          <w:color w:val="4472C4" w:themeColor="accent1"/>
          <w:sz w:val="22"/>
          <w:szCs w:val="22"/>
        </w:rPr>
        <w:t xml:space="preserve">five </w:t>
      </w:r>
      <w:r w:rsidRPr="48404561">
        <w:rPr>
          <w:rFonts w:eastAsia="Calibri"/>
          <w:color w:val="4472C4" w:themeColor="accent1"/>
          <w:sz w:val="22"/>
          <w:szCs w:val="22"/>
        </w:rPr>
        <w:t xml:space="preserve">categories based on </w:t>
      </w:r>
      <w:r w:rsidR="25CD5719" w:rsidRPr="48404561">
        <w:rPr>
          <w:rFonts w:eastAsia="Calibri"/>
          <w:color w:val="4472C4" w:themeColor="accent1"/>
          <w:sz w:val="22"/>
          <w:szCs w:val="22"/>
        </w:rPr>
        <w:t xml:space="preserve">the </w:t>
      </w:r>
      <w:r w:rsidRPr="48404561">
        <w:rPr>
          <w:rFonts w:eastAsia="Calibri"/>
          <w:color w:val="4472C4" w:themeColor="accent1"/>
          <w:sz w:val="22"/>
          <w:szCs w:val="22"/>
        </w:rPr>
        <w:t xml:space="preserve">proportion of </w:t>
      </w:r>
      <w:r w:rsidR="702DAD4C" w:rsidRPr="6A7A1FF1">
        <w:rPr>
          <w:rFonts w:eastAsia="Calibri"/>
          <w:color w:val="4472C4" w:themeColor="accent1"/>
          <w:sz w:val="22"/>
          <w:szCs w:val="22"/>
        </w:rPr>
        <w:t>CBD content</w:t>
      </w:r>
      <w:r w:rsidR="702DAD4C" w:rsidRPr="48404561">
        <w:rPr>
          <w:rFonts w:eastAsia="Calibri"/>
          <w:color w:val="4472C4" w:themeColor="accent1"/>
          <w:sz w:val="22"/>
          <w:szCs w:val="22"/>
        </w:rPr>
        <w:t xml:space="preserve"> </w:t>
      </w:r>
      <w:r w:rsidRPr="48404561">
        <w:rPr>
          <w:rFonts w:eastAsia="Calibri"/>
          <w:color w:val="4472C4" w:themeColor="accent1"/>
          <w:sz w:val="22"/>
          <w:szCs w:val="22"/>
        </w:rPr>
        <w:t xml:space="preserve"> </w:t>
      </w:r>
      <w:r w:rsidR="377D0445" w:rsidRPr="48404561">
        <w:rPr>
          <w:rFonts w:eastAsia="Calibri"/>
          <w:color w:val="4472C4" w:themeColor="accent1"/>
          <w:sz w:val="22"/>
          <w:szCs w:val="22"/>
        </w:rPr>
        <w:t xml:space="preserve">(or </w:t>
      </w:r>
      <w:r w:rsidRPr="48404561">
        <w:rPr>
          <w:rFonts w:eastAsia="Calibri"/>
          <w:color w:val="4472C4" w:themeColor="accent1"/>
          <w:sz w:val="22"/>
          <w:szCs w:val="22"/>
        </w:rPr>
        <w:t>THC</w:t>
      </w:r>
      <w:r w:rsidR="7704B3CA" w:rsidRPr="48404561">
        <w:rPr>
          <w:rFonts w:eastAsia="Calibri"/>
          <w:color w:val="4472C4" w:themeColor="accent1"/>
          <w:sz w:val="22"/>
          <w:szCs w:val="22"/>
        </w:rPr>
        <w:t>, in the case of THC-dominant and THC only categories)</w:t>
      </w:r>
      <w:r w:rsidRPr="48404561">
        <w:rPr>
          <w:rFonts w:eastAsia="Calibri"/>
          <w:color w:val="4472C4" w:themeColor="accent1"/>
          <w:sz w:val="22"/>
          <w:szCs w:val="22"/>
        </w:rPr>
        <w:t xml:space="preserve"> compared with the total cannabinoid content rather than total milligrams (mg) per volume. Table 1 provides an overview of the different MC categories by percentage. </w:t>
      </w:r>
      <w:r w:rsidR="299563C7" w:rsidRPr="48404561">
        <w:rPr>
          <w:rFonts w:eastAsia="Calibri"/>
          <w:color w:val="4472C4" w:themeColor="accent1"/>
          <w:sz w:val="22"/>
          <w:szCs w:val="22"/>
        </w:rPr>
        <w:t>Note that throughout</w:t>
      </w:r>
      <w:r w:rsidR="702DAD4C" w:rsidRPr="48404561">
        <w:rPr>
          <w:rFonts w:eastAsia="Calibri"/>
          <w:color w:val="4472C4" w:themeColor="accent1"/>
          <w:sz w:val="22"/>
          <w:szCs w:val="22"/>
        </w:rPr>
        <w:t xml:space="preserve"> </w:t>
      </w:r>
      <w:r w:rsidRPr="48404561">
        <w:rPr>
          <w:rFonts w:eastAsia="Calibri"/>
          <w:color w:val="4472C4" w:themeColor="accent1"/>
          <w:sz w:val="22"/>
          <w:szCs w:val="22"/>
        </w:rPr>
        <w:t>our analysis</w:t>
      </w:r>
      <w:r w:rsidR="71D331D7" w:rsidRPr="48404561">
        <w:rPr>
          <w:rFonts w:eastAsia="Calibri"/>
          <w:color w:val="4472C4" w:themeColor="accent1"/>
          <w:sz w:val="22"/>
          <w:szCs w:val="22"/>
        </w:rPr>
        <w:t>, we</w:t>
      </w:r>
      <w:r w:rsidRPr="48404561">
        <w:rPr>
          <w:rFonts w:eastAsia="Calibri"/>
          <w:color w:val="4472C4" w:themeColor="accent1"/>
          <w:sz w:val="22"/>
          <w:szCs w:val="22"/>
        </w:rPr>
        <w:t xml:space="preserve"> convert the </w:t>
      </w:r>
      <w:r w:rsidR="1003FDE7" w:rsidRPr="48404561">
        <w:rPr>
          <w:rFonts w:eastAsia="Calibri"/>
          <w:color w:val="4472C4" w:themeColor="accent1"/>
          <w:sz w:val="22"/>
          <w:szCs w:val="22"/>
        </w:rPr>
        <w:t xml:space="preserve">total </w:t>
      </w:r>
      <w:r w:rsidRPr="48404561">
        <w:rPr>
          <w:rFonts w:eastAsia="Calibri"/>
          <w:color w:val="4472C4" w:themeColor="accent1"/>
          <w:sz w:val="22"/>
          <w:szCs w:val="22"/>
        </w:rPr>
        <w:t>dose</w:t>
      </w:r>
      <w:r w:rsidR="436BF033" w:rsidRPr="48404561">
        <w:rPr>
          <w:rFonts w:eastAsia="Calibri"/>
          <w:color w:val="4472C4" w:themeColor="accent1"/>
          <w:sz w:val="22"/>
          <w:szCs w:val="22"/>
        </w:rPr>
        <w:t xml:space="preserve"> values</w:t>
      </w:r>
      <w:r w:rsidRPr="48404561">
        <w:rPr>
          <w:rFonts w:eastAsia="Calibri"/>
          <w:color w:val="4472C4" w:themeColor="accent1"/>
          <w:sz w:val="22"/>
          <w:szCs w:val="22"/>
        </w:rPr>
        <w:t xml:space="preserve"> to daily </w:t>
      </w:r>
      <w:r w:rsidR="5CA6CE91" w:rsidRPr="48404561">
        <w:rPr>
          <w:rFonts w:eastAsia="Calibri"/>
          <w:color w:val="4472C4" w:themeColor="accent1"/>
          <w:sz w:val="22"/>
          <w:szCs w:val="22"/>
        </w:rPr>
        <w:t xml:space="preserve">oral </w:t>
      </w:r>
      <w:r w:rsidRPr="48404561">
        <w:rPr>
          <w:rFonts w:eastAsia="Calibri"/>
          <w:color w:val="4472C4" w:themeColor="accent1"/>
          <w:sz w:val="22"/>
          <w:szCs w:val="22"/>
        </w:rPr>
        <w:t>d</w:t>
      </w:r>
      <w:r w:rsidR="58C29C70" w:rsidRPr="48404561">
        <w:rPr>
          <w:rFonts w:eastAsia="Calibri"/>
          <w:color w:val="4472C4" w:themeColor="accent1"/>
          <w:sz w:val="22"/>
          <w:szCs w:val="22"/>
        </w:rPr>
        <w:t>osages</w:t>
      </w:r>
      <w:r w:rsidRPr="48404561">
        <w:rPr>
          <w:rFonts w:eastAsia="Calibri"/>
          <w:color w:val="4472C4" w:themeColor="accent1"/>
          <w:sz w:val="22"/>
          <w:szCs w:val="22"/>
        </w:rPr>
        <w:t xml:space="preserve"> of THC and CBD </w:t>
      </w:r>
      <w:r w:rsidR="17FF7946" w:rsidRPr="48404561">
        <w:rPr>
          <w:rFonts w:eastAsia="Calibri"/>
          <w:color w:val="4472C4" w:themeColor="accent1"/>
          <w:sz w:val="22"/>
          <w:szCs w:val="22"/>
        </w:rPr>
        <w:t>in</w:t>
      </w:r>
      <w:r w:rsidRPr="48404561">
        <w:rPr>
          <w:rFonts w:eastAsia="Calibri"/>
          <w:color w:val="4472C4" w:themeColor="accent1"/>
          <w:sz w:val="22"/>
          <w:szCs w:val="22"/>
        </w:rPr>
        <w:t xml:space="preserve"> mg/day</w:t>
      </w:r>
      <w:r w:rsidR="30ED63F3" w:rsidRPr="48404561">
        <w:rPr>
          <w:rFonts w:eastAsia="Calibri"/>
          <w:color w:val="4472C4" w:themeColor="accent1"/>
          <w:sz w:val="22"/>
          <w:szCs w:val="22"/>
        </w:rPr>
        <w:t xml:space="preserve"> to facilitate readability</w:t>
      </w:r>
      <w:r w:rsidR="702DAD4C" w:rsidRPr="52968B23">
        <w:rPr>
          <w:rFonts w:eastAsia="Calibri"/>
          <w:color w:val="4472C4" w:themeColor="accent1"/>
          <w:sz w:val="22"/>
          <w:szCs w:val="22"/>
        </w:rPr>
        <w:t>.</w:t>
      </w:r>
      <w:r w:rsidRPr="52968B23">
        <w:rPr>
          <w:rFonts w:eastAsia="Calibri"/>
          <w:color w:val="4472C4" w:themeColor="accent1"/>
        </w:rPr>
        <w:t>”</w:t>
      </w:r>
    </w:p>
    <w:p w14:paraId="0EEA05E0" w14:textId="167027C6" w:rsidR="00F33526" w:rsidRPr="002C04F1" w:rsidRDefault="00F33526" w:rsidP="002A3A1E">
      <w:pPr>
        <w:pStyle w:val="NormalWeb"/>
        <w:spacing w:after="240" w:afterAutospacing="0" w:line="360" w:lineRule="auto"/>
        <w:rPr>
          <w:rFonts w:eastAsia="Calibri"/>
          <w:color w:val="4472C4" w:themeColor="accent1"/>
        </w:rPr>
      </w:pPr>
      <w:r>
        <w:br/>
      </w:r>
      <w:r w:rsidR="70A3BDAF">
        <w:t>3. How are you measuring severity of adverse events?</w:t>
      </w:r>
      <w:r w:rsidR="002C04F1">
        <w:br/>
      </w:r>
      <w:r>
        <w:br/>
      </w:r>
      <w:r w:rsidR="7D7FAD06" w:rsidRPr="3EF7FB48">
        <w:rPr>
          <w:rFonts w:eastAsia="Calibri"/>
          <w:color w:val="4472C4" w:themeColor="accent1"/>
        </w:rPr>
        <w:t>Response:</w:t>
      </w:r>
      <w:r w:rsidR="0EC920B1" w:rsidRPr="3EF7FB48">
        <w:rPr>
          <w:rFonts w:eastAsia="Calibri"/>
          <w:color w:val="4472C4" w:themeColor="accent1"/>
        </w:rPr>
        <w:t xml:space="preserve"> This</w:t>
      </w:r>
      <w:r w:rsidR="50FC36DE" w:rsidRPr="3EF7FB48">
        <w:rPr>
          <w:rFonts w:eastAsia="Calibri"/>
          <w:color w:val="4472C4" w:themeColor="accent1"/>
        </w:rPr>
        <w:t xml:space="preserve"> comment as well as comment #4 below</w:t>
      </w:r>
      <w:r w:rsidR="0EC920B1" w:rsidRPr="3EF7FB48">
        <w:rPr>
          <w:rFonts w:eastAsia="Calibri"/>
          <w:color w:val="4472C4" w:themeColor="accent1"/>
        </w:rPr>
        <w:t xml:space="preserve"> </w:t>
      </w:r>
      <w:r w:rsidR="01AB1887" w:rsidRPr="3EF7FB48">
        <w:rPr>
          <w:rFonts w:eastAsia="Calibri"/>
          <w:color w:val="4472C4" w:themeColor="accent1"/>
        </w:rPr>
        <w:t>are</w:t>
      </w:r>
      <w:r w:rsidR="0EC920B1" w:rsidRPr="3EF7FB48">
        <w:rPr>
          <w:rFonts w:eastAsia="Calibri"/>
          <w:color w:val="4472C4" w:themeColor="accent1"/>
        </w:rPr>
        <w:t xml:space="preserve"> val</w:t>
      </w:r>
      <w:r w:rsidR="68D540E0" w:rsidRPr="3EF7FB48">
        <w:rPr>
          <w:rFonts w:eastAsia="Calibri"/>
          <w:color w:val="4472C4" w:themeColor="accent1"/>
        </w:rPr>
        <w:t>uable su</w:t>
      </w:r>
      <w:r w:rsidR="4CEE125E" w:rsidRPr="3EF7FB48">
        <w:rPr>
          <w:rFonts w:eastAsia="Calibri"/>
          <w:color w:val="4472C4" w:themeColor="accent1"/>
        </w:rPr>
        <w:t xml:space="preserve">ggestions, and we have now </w:t>
      </w:r>
      <w:r w:rsidR="5B68ECED" w:rsidRPr="3EF7FB48">
        <w:rPr>
          <w:rFonts w:eastAsia="Calibri"/>
          <w:color w:val="4472C4" w:themeColor="accent1"/>
        </w:rPr>
        <w:t>ad</w:t>
      </w:r>
      <w:r w:rsidR="4CEE125E" w:rsidRPr="3EF7FB48">
        <w:rPr>
          <w:rFonts w:eastAsia="Calibri"/>
          <w:color w:val="4472C4" w:themeColor="accent1"/>
        </w:rPr>
        <w:t>d</w:t>
      </w:r>
      <w:r w:rsidR="5B68ECED" w:rsidRPr="3EF7FB48">
        <w:rPr>
          <w:rFonts w:eastAsia="Calibri"/>
          <w:color w:val="4472C4" w:themeColor="accent1"/>
        </w:rPr>
        <w:t>ed</w:t>
      </w:r>
      <w:r w:rsidR="4CEE125E" w:rsidRPr="3EF7FB48">
        <w:rPr>
          <w:rFonts w:eastAsia="Calibri"/>
          <w:color w:val="4472C4" w:themeColor="accent1"/>
        </w:rPr>
        <w:t xml:space="preserve"> the following paragraph to the </w:t>
      </w:r>
      <w:r w:rsidR="4CEE125E" w:rsidRPr="3EF7FB48">
        <w:rPr>
          <w:color w:val="4472C4" w:themeColor="accent1"/>
        </w:rPr>
        <w:t xml:space="preserve">“Description of </w:t>
      </w:r>
      <w:r w:rsidR="4E5546B8" w:rsidRPr="3EF7FB48">
        <w:rPr>
          <w:color w:val="4472C4" w:themeColor="accent1"/>
        </w:rPr>
        <w:t xml:space="preserve">the </w:t>
      </w:r>
      <w:r w:rsidR="4CEE125E" w:rsidRPr="3EF7FB48">
        <w:rPr>
          <w:color w:val="4472C4" w:themeColor="accent1"/>
        </w:rPr>
        <w:t>validated questionnaires</w:t>
      </w:r>
      <w:r w:rsidR="22E70C28" w:rsidRPr="3EF7FB48">
        <w:rPr>
          <w:color w:val="4472C4" w:themeColor="accent1"/>
        </w:rPr>
        <w:t xml:space="preserve"> presented</w:t>
      </w:r>
      <w:r w:rsidR="4CEE125E" w:rsidRPr="3EF7FB48">
        <w:rPr>
          <w:color w:val="4472C4" w:themeColor="accent1"/>
        </w:rPr>
        <w:t>”</w:t>
      </w:r>
      <w:r w:rsidR="52F0AECB" w:rsidRPr="3EF7FB48">
        <w:rPr>
          <w:color w:val="4472C4" w:themeColor="accent1"/>
        </w:rPr>
        <w:t xml:space="preserve"> section for clarity:</w:t>
      </w:r>
    </w:p>
    <w:p w14:paraId="14759146" w14:textId="6F97FAE7" w:rsidR="00F33526" w:rsidRPr="002C04F1" w:rsidRDefault="6E2EAC46" w:rsidP="002A3A1E">
      <w:pPr>
        <w:pStyle w:val="NormalWeb"/>
        <w:spacing w:after="240" w:afterAutospacing="0" w:line="360" w:lineRule="auto"/>
        <w:ind w:firstLine="720"/>
        <w:rPr>
          <w:rFonts w:eastAsia="Calibri"/>
          <w:color w:val="4472C4" w:themeColor="accent1"/>
          <w:lang w:val="en-GB"/>
        </w:rPr>
      </w:pPr>
      <w:r w:rsidRPr="3408A1E7">
        <w:rPr>
          <w:rFonts w:eastAsia="Calibri"/>
          <w:color w:val="4471C4"/>
        </w:rPr>
        <w:t>“</w:t>
      </w:r>
      <w:r w:rsidR="221E457A" w:rsidRPr="3408A1E7">
        <w:rPr>
          <w:rFonts w:eastAsia="Calibri"/>
          <w:color w:val="4471C4"/>
        </w:rPr>
        <w:t xml:space="preserve">In addition to the validated questionnaires, clinicians also collected information on all adverse events reported by patients at each visit.  Adverse event terminology was described by the patient and coded retrospectively using MedDra terminology. </w:t>
      </w:r>
      <w:r w:rsidR="00088DF3" w:rsidRPr="3408A1E7">
        <w:rPr>
          <w:rFonts w:eastAsia="Calibri"/>
          <w:color w:val="4471C4"/>
        </w:rPr>
        <w:t>[</w:t>
      </w:r>
      <w:r w:rsidR="336627D1" w:rsidRPr="3ACAEFC2">
        <w:rPr>
          <w:rFonts w:eastAsia="Calibri"/>
          <w:color w:val="4471C4"/>
        </w:rPr>
        <w:t>2</w:t>
      </w:r>
      <w:r w:rsidR="00088DF3" w:rsidRPr="3ACAEFC2">
        <w:rPr>
          <w:rFonts w:eastAsia="Calibri"/>
          <w:color w:val="4471C4"/>
        </w:rPr>
        <w:t>9</w:t>
      </w:r>
      <w:r w:rsidR="00088DF3" w:rsidRPr="3408A1E7">
        <w:rPr>
          <w:rFonts w:eastAsia="Calibri"/>
          <w:color w:val="4471C4"/>
        </w:rPr>
        <w:t>]</w:t>
      </w:r>
      <w:r w:rsidR="221E457A" w:rsidRPr="3408A1E7">
        <w:rPr>
          <w:rFonts w:eastAsia="Calibri"/>
          <w:color w:val="4471C4"/>
        </w:rPr>
        <w:t xml:space="preserve"> All adverse events were graded as mild (not causing discomfort, no </w:t>
      </w:r>
      <w:r w:rsidR="6FA98305" w:rsidRPr="3408A1E7">
        <w:rPr>
          <w:rFonts w:eastAsia="Calibri"/>
          <w:color w:val="4471C4"/>
        </w:rPr>
        <w:t>intervention</w:t>
      </w:r>
      <w:r w:rsidR="221E457A" w:rsidRPr="3408A1E7">
        <w:rPr>
          <w:rFonts w:eastAsia="Calibri"/>
          <w:color w:val="4471C4"/>
          <w:lang w:val="en-GB"/>
        </w:rPr>
        <w:t xml:space="preserve"> or change to prescribed dose/product required), moderate (can cause discomfort, intervention and/or change to prescribed dose/product required), severe (causing severe discomfort, cessation of prescribed product required) or serious (medical emergency, life threatening, disabling, causing hospitalisation or death).  Clinicians used medical judgement to determine if the adverse event was likely, possibly, unlikely or not at all related to the prescribed medicinal cannabis product. All adverse events classified as “likely” or “possibly” related to the prescribed product are considered to be Treatment Related Adverse Events (TRAEs).</w:t>
      </w:r>
      <w:r w:rsidR="3303FCC4" w:rsidRPr="3408A1E7">
        <w:rPr>
          <w:rFonts w:eastAsia="Calibri"/>
          <w:color w:val="4471C4"/>
          <w:lang w:val="en-GB"/>
        </w:rPr>
        <w:t>”</w:t>
      </w:r>
    </w:p>
    <w:p w14:paraId="55C89CE2" w14:textId="3FCC7E41" w:rsidR="00F33526" w:rsidRPr="002C04F1" w:rsidRDefault="00F33526" w:rsidP="002A3A1E">
      <w:pPr>
        <w:pStyle w:val="NormalWeb"/>
        <w:spacing w:after="240" w:line="360" w:lineRule="auto"/>
      </w:pPr>
      <w:r>
        <w:br/>
      </w:r>
      <w:r w:rsidR="70A3BDAF">
        <w:t>4. How are you determining what is a treatment-related adverse event compared to non-treatment related adverse events? I understand from the results this is deemed by the treating doctor, but what criteria do they use to determine this or is it just a decision based on their intuition? Also please make sure this is reported in your methods, rather than results.</w:t>
      </w:r>
    </w:p>
    <w:p w14:paraId="5883FF11" w14:textId="0C243AD7" w:rsidR="00F33526" w:rsidRPr="002C04F1" w:rsidRDefault="00F33526" w:rsidP="002A3A1E">
      <w:pPr>
        <w:pStyle w:val="NormalWeb"/>
        <w:spacing w:after="240" w:line="360" w:lineRule="auto"/>
        <w:rPr>
          <w:rFonts w:eastAsia="Calibri"/>
        </w:rPr>
      </w:pPr>
    </w:p>
    <w:p w14:paraId="6A191FC0" w14:textId="3C8A376B" w:rsidR="00F33526" w:rsidRPr="002C04F1" w:rsidRDefault="18BCE701" w:rsidP="002A3A1E">
      <w:pPr>
        <w:pStyle w:val="NormalWeb"/>
        <w:spacing w:after="240" w:afterAutospacing="0" w:line="360" w:lineRule="auto"/>
        <w:rPr>
          <w:rFonts w:eastAsia="Calibri"/>
          <w:color w:val="4472C4" w:themeColor="accent1"/>
        </w:rPr>
      </w:pPr>
      <w:r w:rsidRPr="3EF7FB48">
        <w:rPr>
          <w:rFonts w:eastAsia="Calibri"/>
          <w:color w:val="4472C4" w:themeColor="accent1"/>
        </w:rPr>
        <w:t>Response:</w:t>
      </w:r>
      <w:r w:rsidR="3C3E9C55" w:rsidRPr="3EF7FB48">
        <w:rPr>
          <w:rFonts w:eastAsia="Calibri"/>
          <w:color w:val="4472C4" w:themeColor="accent1"/>
        </w:rPr>
        <w:t xml:space="preserve"> As </w:t>
      </w:r>
      <w:r w:rsidR="6E96563E" w:rsidRPr="34B5B016">
        <w:rPr>
          <w:rFonts w:eastAsia="Calibri"/>
          <w:color w:val="4472C4" w:themeColor="accent1"/>
        </w:rPr>
        <w:t>included</w:t>
      </w:r>
      <w:r w:rsidR="3C3E9C55" w:rsidRPr="3EF7FB48">
        <w:rPr>
          <w:rFonts w:eastAsia="Calibri"/>
          <w:color w:val="4472C4" w:themeColor="accent1"/>
        </w:rPr>
        <w:t xml:space="preserve"> above</w:t>
      </w:r>
      <w:r w:rsidR="0148754E" w:rsidRPr="783439AE">
        <w:rPr>
          <w:rFonts w:eastAsia="Calibri"/>
          <w:color w:val="4472C4" w:themeColor="accent1"/>
        </w:rPr>
        <w:t xml:space="preserve"> (</w:t>
      </w:r>
      <w:r w:rsidR="0148754E" w:rsidRPr="3077D229">
        <w:rPr>
          <w:rFonts w:eastAsia="Calibri"/>
          <w:color w:val="4472C4" w:themeColor="accent1"/>
        </w:rPr>
        <w:t>comment</w:t>
      </w:r>
      <w:r w:rsidR="0148754E" w:rsidRPr="7A0E1092">
        <w:rPr>
          <w:rFonts w:eastAsia="Calibri"/>
          <w:color w:val="4472C4" w:themeColor="accent1"/>
        </w:rPr>
        <w:t xml:space="preserve"> #3)</w:t>
      </w:r>
      <w:r w:rsidR="3C3E9C55" w:rsidRPr="7A0E1092">
        <w:rPr>
          <w:rFonts w:eastAsia="Calibri"/>
          <w:color w:val="4472C4" w:themeColor="accent1"/>
        </w:rPr>
        <w:t>,</w:t>
      </w:r>
      <w:r w:rsidR="3C3E9C55" w:rsidRPr="3EF7FB48">
        <w:rPr>
          <w:rFonts w:eastAsia="Calibri"/>
          <w:color w:val="4472C4" w:themeColor="accent1"/>
        </w:rPr>
        <w:t xml:space="preserve"> the </w:t>
      </w:r>
      <w:r w:rsidR="1EB30514" w:rsidRPr="4F12D035">
        <w:rPr>
          <w:rFonts w:eastAsia="Calibri"/>
          <w:color w:val="4472C4" w:themeColor="accent1"/>
        </w:rPr>
        <w:t xml:space="preserve">clarifying </w:t>
      </w:r>
      <w:r w:rsidR="3C3E9C55" w:rsidRPr="4F12D035">
        <w:rPr>
          <w:rFonts w:eastAsia="Calibri"/>
          <w:color w:val="4472C4" w:themeColor="accent1"/>
        </w:rPr>
        <w:t>paragraph</w:t>
      </w:r>
      <w:r w:rsidR="3C3E9C55" w:rsidRPr="3EF7FB48">
        <w:rPr>
          <w:rFonts w:eastAsia="Calibri"/>
          <w:color w:val="4472C4" w:themeColor="accent1"/>
        </w:rPr>
        <w:t xml:space="preserve"> has been </w:t>
      </w:r>
      <w:r w:rsidR="10B68D9F" w:rsidRPr="7730CF7B">
        <w:rPr>
          <w:rFonts w:eastAsia="Calibri"/>
          <w:color w:val="4472C4" w:themeColor="accent1"/>
        </w:rPr>
        <w:t>amended.</w:t>
      </w:r>
    </w:p>
    <w:p w14:paraId="5140D4DB" w14:textId="41D3E109" w:rsidR="00960465" w:rsidRPr="00960465" w:rsidRDefault="70A3BDAF" w:rsidP="002A3A1E">
      <w:pPr>
        <w:pStyle w:val="NormalWeb"/>
        <w:spacing w:line="360" w:lineRule="auto"/>
      </w:pPr>
      <w:r w:rsidRPr="3EF7FB48">
        <w:rPr>
          <w:b/>
          <w:bCs/>
        </w:rPr>
        <w:t>Results</w:t>
      </w:r>
      <w:r w:rsidR="00F33526">
        <w:br/>
      </w:r>
      <w:r w:rsidRPr="3EF7FB48">
        <w:t>1. You mention that there were some patients who had non-prescribed/recreational cannabinoids (0.01%), it would be interesting for you to reconcile this with the drug screen. Were these just non-prescription CBD products?</w:t>
      </w:r>
    </w:p>
    <w:p w14:paraId="7678CB96" w14:textId="7CB1324B" w:rsidR="00960465" w:rsidRPr="00960465" w:rsidRDefault="00960465" w:rsidP="002A3A1E">
      <w:pPr>
        <w:pStyle w:val="NormalWeb"/>
        <w:spacing w:line="360" w:lineRule="auto"/>
      </w:pPr>
    </w:p>
    <w:p w14:paraId="56AAE262" w14:textId="4A3E8235" w:rsidR="00960465" w:rsidRPr="00960465" w:rsidRDefault="105E8DFF" w:rsidP="002A3A1E">
      <w:pPr>
        <w:pStyle w:val="NormalWeb"/>
        <w:spacing w:after="240" w:afterAutospacing="0" w:line="360" w:lineRule="auto"/>
      </w:pPr>
      <w:r w:rsidRPr="7F449148">
        <w:rPr>
          <w:rFonts w:eastAsia="Calibri"/>
          <w:color w:val="4471C4"/>
        </w:rPr>
        <w:t>Response:</w:t>
      </w:r>
      <w:r w:rsidR="0550AB46" w:rsidRPr="7F449148">
        <w:rPr>
          <w:rFonts w:eastAsia="Calibri"/>
          <w:color w:val="4471C4"/>
        </w:rPr>
        <w:t xml:space="preserve"> </w:t>
      </w:r>
      <w:r w:rsidR="7BCBE4E1" w:rsidRPr="7F449148">
        <w:rPr>
          <w:rFonts w:eastAsia="Calibri"/>
          <w:color w:val="4471C4"/>
        </w:rPr>
        <w:t xml:space="preserve">We agree that </w:t>
      </w:r>
      <w:r w:rsidR="16BF8019" w:rsidRPr="7F449148">
        <w:rPr>
          <w:rFonts w:eastAsia="Calibri"/>
          <w:color w:val="4471C4"/>
        </w:rPr>
        <w:t xml:space="preserve">this result should carefully be assessed with </w:t>
      </w:r>
      <w:r w:rsidR="2068FCDA" w:rsidRPr="7F449148">
        <w:rPr>
          <w:rFonts w:eastAsia="Calibri"/>
          <w:color w:val="4471C4"/>
        </w:rPr>
        <w:t>regards to one of the key exclusion criteria for undertaking MC treatment</w:t>
      </w:r>
      <w:r w:rsidR="1E001B2E" w:rsidRPr="7F449148">
        <w:rPr>
          <w:rFonts w:eastAsia="Calibri"/>
          <w:color w:val="4471C4"/>
        </w:rPr>
        <w:t xml:space="preserve"> </w:t>
      </w:r>
      <w:r w:rsidR="555CDFC0" w:rsidRPr="7F449148">
        <w:rPr>
          <w:rFonts w:eastAsia="Calibri"/>
          <w:color w:val="4471C4"/>
        </w:rPr>
        <w:t>(</w:t>
      </w:r>
      <w:r w:rsidR="1E001B2E" w:rsidRPr="7F449148">
        <w:rPr>
          <w:rFonts w:eastAsia="Calibri"/>
          <w:color w:val="4471C4"/>
        </w:rPr>
        <w:t xml:space="preserve">as </w:t>
      </w:r>
      <w:r w:rsidR="21FA7E92" w:rsidRPr="7F449148">
        <w:rPr>
          <w:rFonts w:eastAsia="Calibri"/>
          <w:color w:val="4471C4"/>
        </w:rPr>
        <w:t>highlighted</w:t>
      </w:r>
      <w:r w:rsidR="1E001B2E" w:rsidRPr="7F449148">
        <w:rPr>
          <w:rFonts w:eastAsia="Calibri"/>
          <w:color w:val="4471C4"/>
        </w:rPr>
        <w:t xml:space="preserve"> in the </w:t>
      </w:r>
      <w:r w:rsidR="0A65AB1C" w:rsidRPr="7F449148">
        <w:rPr>
          <w:rFonts w:eastAsia="Calibri"/>
          <w:color w:val="4471C4"/>
        </w:rPr>
        <w:t>m</w:t>
      </w:r>
      <w:r w:rsidR="1E001B2E" w:rsidRPr="7F449148">
        <w:rPr>
          <w:rFonts w:eastAsia="Calibri"/>
          <w:color w:val="4471C4"/>
        </w:rPr>
        <w:t>ethods section</w:t>
      </w:r>
      <w:r w:rsidR="327BC593" w:rsidRPr="7F449148">
        <w:rPr>
          <w:rFonts w:eastAsia="Calibri"/>
          <w:color w:val="4471C4"/>
        </w:rPr>
        <w:t>)</w:t>
      </w:r>
      <w:r w:rsidR="2068FCDA" w:rsidRPr="7F449148">
        <w:rPr>
          <w:rFonts w:eastAsia="Calibri"/>
          <w:color w:val="4471C4"/>
        </w:rPr>
        <w:t xml:space="preserve">. </w:t>
      </w:r>
      <w:r w:rsidR="157D810D" w:rsidRPr="1BB64290">
        <w:rPr>
          <w:rFonts w:eastAsia="Calibri"/>
          <w:color w:val="4471C4"/>
        </w:rPr>
        <w:t xml:space="preserve">The exclusion critera was for presence of urinary THC from any source at baseline except </w:t>
      </w:r>
      <w:r w:rsidR="55121681" w:rsidRPr="1BB64290">
        <w:rPr>
          <w:rFonts w:eastAsia="Calibri"/>
          <w:color w:val="4471C4"/>
        </w:rPr>
        <w:t xml:space="preserve">on </w:t>
      </w:r>
      <w:r w:rsidR="157D810D" w:rsidRPr="1BB64290">
        <w:rPr>
          <w:rFonts w:eastAsia="Calibri"/>
          <w:color w:val="4471C4"/>
        </w:rPr>
        <w:t>compassionate</w:t>
      </w:r>
      <w:r w:rsidR="6372AA15" w:rsidRPr="1BB64290">
        <w:rPr>
          <w:rFonts w:eastAsia="Calibri"/>
          <w:color w:val="4471C4"/>
        </w:rPr>
        <w:t xml:space="preserve"> </w:t>
      </w:r>
      <w:r w:rsidR="6372AA15" w:rsidRPr="2943919C">
        <w:rPr>
          <w:rFonts w:eastAsia="Calibri"/>
          <w:color w:val="4471C4"/>
        </w:rPr>
        <w:t xml:space="preserve">grounds such as </w:t>
      </w:r>
      <w:r w:rsidR="6372AA15" w:rsidRPr="4C95A7A3">
        <w:rPr>
          <w:rFonts w:eastAsia="Calibri"/>
          <w:color w:val="4471C4"/>
        </w:rPr>
        <w:t xml:space="preserve">metastic cancer </w:t>
      </w:r>
      <w:r w:rsidR="6372AA15" w:rsidRPr="5AF63B37">
        <w:rPr>
          <w:rFonts w:eastAsia="Calibri"/>
          <w:color w:val="4471C4"/>
        </w:rPr>
        <w:t xml:space="preserve">or motor neurone </w:t>
      </w:r>
      <w:r w:rsidR="6372AA15" w:rsidRPr="219A6746">
        <w:rPr>
          <w:rFonts w:eastAsia="Calibri"/>
          <w:color w:val="4471C4"/>
        </w:rPr>
        <w:t xml:space="preserve">disease. </w:t>
      </w:r>
      <w:r w:rsidR="157D810D" w:rsidRPr="1BB64290">
        <w:rPr>
          <w:rFonts w:eastAsia="Calibri"/>
          <w:color w:val="4471C4"/>
        </w:rPr>
        <w:t xml:space="preserve"> </w:t>
      </w:r>
      <w:r w:rsidR="4BE63FA6" w:rsidRPr="1BB64290">
        <w:rPr>
          <w:rFonts w:eastAsia="Calibri"/>
          <w:color w:val="4471C4"/>
        </w:rPr>
        <w:t>We have modified that particular sentence as follows:</w:t>
      </w:r>
    </w:p>
    <w:p w14:paraId="0A186104" w14:textId="7E45A2A8" w:rsidR="00960465" w:rsidRPr="00960465" w:rsidRDefault="23EF5504" w:rsidP="002A3A1E">
      <w:pPr>
        <w:pStyle w:val="NormalWeb"/>
        <w:spacing w:after="240" w:afterAutospacing="0" w:line="360" w:lineRule="auto"/>
        <w:ind w:firstLine="720"/>
      </w:pPr>
      <w:r w:rsidRPr="7F449148">
        <w:rPr>
          <w:color w:val="4472C4" w:themeColor="accent1"/>
        </w:rPr>
        <w:t>“</w:t>
      </w:r>
      <w:r w:rsidR="1422F3C2" w:rsidRPr="4F2AC9A2">
        <w:rPr>
          <w:rFonts w:eastAsia="Calibri"/>
          <w:color w:val="4472C4" w:themeColor="accent1"/>
        </w:rPr>
        <w:t>Note</w:t>
      </w:r>
      <w:r w:rsidR="180DE097" w:rsidRPr="7F449148">
        <w:rPr>
          <w:rFonts w:eastAsia="Calibri"/>
          <w:color w:val="4472C4" w:themeColor="accent1"/>
        </w:rPr>
        <w:t xml:space="preserve"> that the level of non-prescribed or recreational cannabinoids was low (0.7%), further highlighting not only the continued prohibition of RC in Australia but also </w:t>
      </w:r>
      <w:r w:rsidR="712D1E15" w:rsidRPr="7F449148">
        <w:rPr>
          <w:rFonts w:eastAsia="Calibri"/>
          <w:color w:val="4472C4" w:themeColor="accent1"/>
        </w:rPr>
        <w:t>the</w:t>
      </w:r>
      <w:r w:rsidR="180DE097" w:rsidRPr="7F449148">
        <w:rPr>
          <w:rFonts w:eastAsia="Calibri"/>
          <w:color w:val="4472C4" w:themeColor="accent1"/>
        </w:rPr>
        <w:t xml:space="preserve"> key inclusion requirement of returning a THC-negative urinary result before commencing treatment (with the only exception being under compassionate grounds, </w:t>
      </w:r>
      <w:r w:rsidR="09E58D4D" w:rsidRPr="7F449148">
        <w:rPr>
          <w:rFonts w:eastAsia="Calibri"/>
          <w:color w:val="4472C4" w:themeColor="accent1"/>
        </w:rPr>
        <w:t>which corresponds to</w:t>
      </w:r>
      <w:r w:rsidR="180DE097" w:rsidRPr="7F449148">
        <w:rPr>
          <w:rFonts w:eastAsia="Calibri"/>
          <w:color w:val="4472C4" w:themeColor="accent1"/>
        </w:rPr>
        <w:t xml:space="preserve"> an exceedingly small number of patients to date, i.e., 3).</w:t>
      </w:r>
      <w:r w:rsidRPr="7F449148">
        <w:rPr>
          <w:rFonts w:eastAsia="Calibri"/>
          <w:color w:val="4472C4" w:themeColor="accent1"/>
        </w:rPr>
        <w:t>”</w:t>
      </w:r>
      <w:r w:rsidR="00F33526">
        <w:br/>
      </w:r>
      <w:r w:rsidR="00F33526">
        <w:br/>
      </w:r>
      <w:r w:rsidR="12E81262" w:rsidRPr="7F449148">
        <w:t>2. You need to report the p values of the data, it is not sufficient to just say the results were significant</w:t>
      </w:r>
    </w:p>
    <w:p w14:paraId="3388B136" w14:textId="7C40D6DD" w:rsidR="0B6FB916" w:rsidRDefault="3BC64B46" w:rsidP="002A3A1E">
      <w:pPr>
        <w:pStyle w:val="NormalWeb"/>
        <w:spacing w:after="240" w:afterAutospacing="0" w:line="360" w:lineRule="auto"/>
        <w:rPr>
          <w:rFonts w:eastAsia="Calibri"/>
          <w:color w:val="4471C4"/>
        </w:rPr>
      </w:pPr>
      <w:r w:rsidRPr="7F449148">
        <w:rPr>
          <w:rFonts w:eastAsia="Calibri"/>
          <w:color w:val="4471C4"/>
        </w:rPr>
        <w:t>Response:</w:t>
      </w:r>
      <w:r w:rsidR="5E6FD866" w:rsidRPr="7F449148">
        <w:rPr>
          <w:rFonts w:eastAsia="Calibri"/>
          <w:color w:val="4471C4"/>
        </w:rPr>
        <w:t xml:space="preserve"> This is an important point which we did not </w:t>
      </w:r>
      <w:r w:rsidR="1C4B3170" w:rsidRPr="7F449148">
        <w:rPr>
          <w:rFonts w:eastAsia="Calibri"/>
          <w:color w:val="4471C4"/>
        </w:rPr>
        <w:t>emphasised</w:t>
      </w:r>
      <w:r w:rsidR="4310B10B" w:rsidRPr="7F449148">
        <w:rPr>
          <w:rFonts w:eastAsia="Calibri"/>
          <w:color w:val="4471C4"/>
        </w:rPr>
        <w:t xml:space="preserve"> sufficiently enough in our initial version, </w:t>
      </w:r>
      <w:r w:rsidR="5B31518C" w:rsidRPr="7F449148">
        <w:rPr>
          <w:rFonts w:eastAsia="Calibri"/>
          <w:color w:val="4471C4"/>
        </w:rPr>
        <w:t xml:space="preserve">particularly </w:t>
      </w:r>
      <w:r w:rsidR="4310B10B" w:rsidRPr="7F449148">
        <w:rPr>
          <w:rFonts w:eastAsia="Calibri"/>
          <w:color w:val="4471C4"/>
        </w:rPr>
        <w:t>beyond simply referring to Table 6.</w:t>
      </w:r>
      <w:r w:rsidR="3B182C0C" w:rsidRPr="7F449148">
        <w:rPr>
          <w:rFonts w:eastAsia="Calibri"/>
          <w:color w:val="4471C4"/>
        </w:rPr>
        <w:t xml:space="preserve"> We have now foll</w:t>
      </w:r>
      <w:r w:rsidR="26DFE543" w:rsidRPr="7F449148">
        <w:rPr>
          <w:rFonts w:eastAsia="Calibri"/>
          <w:color w:val="4471C4"/>
        </w:rPr>
        <w:t xml:space="preserve">owed your recommendations and </w:t>
      </w:r>
      <w:r w:rsidR="7551F634" w:rsidRPr="7F449148">
        <w:rPr>
          <w:color w:val="4471C4"/>
        </w:rPr>
        <w:t>amended the text to reinforce that the</w:t>
      </w:r>
      <w:r w:rsidR="6ACAE875" w:rsidRPr="7F449148">
        <w:rPr>
          <w:color w:val="4471C4"/>
        </w:rPr>
        <w:t xml:space="preserve"> respective</w:t>
      </w:r>
      <w:r w:rsidR="7551F634" w:rsidRPr="7F449148">
        <w:rPr>
          <w:color w:val="4471C4"/>
        </w:rPr>
        <w:t xml:space="preserve"> p</w:t>
      </w:r>
      <w:r w:rsidR="2A6C5BB8" w:rsidRPr="7F449148">
        <w:rPr>
          <w:color w:val="4471C4"/>
        </w:rPr>
        <w:t>-</w:t>
      </w:r>
      <w:r w:rsidR="7551F634" w:rsidRPr="7F449148">
        <w:rPr>
          <w:color w:val="4471C4"/>
        </w:rPr>
        <w:t>value</w:t>
      </w:r>
      <w:r w:rsidR="15009B18" w:rsidRPr="7F449148">
        <w:rPr>
          <w:color w:val="4471C4"/>
        </w:rPr>
        <w:t>s</w:t>
      </w:r>
      <w:r w:rsidR="7551F634" w:rsidRPr="7F449148">
        <w:rPr>
          <w:color w:val="4471C4"/>
        </w:rPr>
        <w:t xml:space="preserve"> for each of the outcomes w</w:t>
      </w:r>
      <w:r w:rsidR="60339718" w:rsidRPr="7F449148">
        <w:rPr>
          <w:color w:val="4471C4"/>
        </w:rPr>
        <w:t>ere indeed</w:t>
      </w:r>
      <w:r w:rsidR="7551F634" w:rsidRPr="7F449148">
        <w:rPr>
          <w:color w:val="4471C4"/>
        </w:rPr>
        <w:t xml:space="preserve"> &lt;0.001.</w:t>
      </w:r>
      <w:r w:rsidR="1EFC6F1B" w:rsidRPr="7F449148">
        <w:rPr>
          <w:color w:val="4471C4"/>
        </w:rPr>
        <w:t xml:space="preserve"> </w:t>
      </w:r>
      <w:r w:rsidR="2D649806" w:rsidRPr="7F449148">
        <w:rPr>
          <w:color w:val="4471C4"/>
        </w:rPr>
        <w:t xml:space="preserve">On this note, we would also like to draw your attention to the figures reported throughout the manuscript which all display </w:t>
      </w:r>
      <w:r w:rsidR="65905F68" w:rsidRPr="7F449148">
        <w:rPr>
          <w:color w:val="4471C4"/>
        </w:rPr>
        <w:t xml:space="preserve">95 percent confidence intervals, further highlighting the statistical relevance of our </w:t>
      </w:r>
      <w:r w:rsidR="33F3F2EE" w:rsidRPr="7F449148">
        <w:rPr>
          <w:color w:val="4471C4"/>
        </w:rPr>
        <w:t>main results.</w:t>
      </w:r>
    </w:p>
    <w:p w14:paraId="24783025" w14:textId="2102614C" w:rsidR="0B6FB916" w:rsidRDefault="0B6FB916" w:rsidP="002A3A1E">
      <w:pPr>
        <w:pStyle w:val="NormalWeb"/>
        <w:spacing w:after="240" w:afterAutospacing="0" w:line="360" w:lineRule="auto"/>
        <w:rPr>
          <w:rFonts w:eastAsia="Calibri"/>
          <w:color w:val="4472C4" w:themeColor="accent1"/>
        </w:rPr>
      </w:pPr>
      <w:r>
        <w:br/>
      </w:r>
      <w:r w:rsidR="12E81262" w:rsidRPr="7F449148">
        <w:t>3. There is no such thing as ‘highly significant’ it is significant or non-significant</w:t>
      </w:r>
    </w:p>
    <w:p w14:paraId="31A9A5F2" w14:textId="5740A3C7" w:rsidR="3EF7FB48" w:rsidRDefault="3EF7FB48" w:rsidP="002A3A1E">
      <w:pPr>
        <w:pStyle w:val="NormalWeb"/>
        <w:spacing w:line="360" w:lineRule="auto"/>
        <w:rPr>
          <w:rFonts w:eastAsia="Calibri"/>
          <w:color w:val="4472C4" w:themeColor="accent1"/>
        </w:rPr>
      </w:pPr>
    </w:p>
    <w:p w14:paraId="04650BE0" w14:textId="3461A497" w:rsidR="6FD30648" w:rsidRDefault="3EAF6DC0" w:rsidP="002A3A1E">
      <w:pPr>
        <w:pStyle w:val="NormalWeb"/>
        <w:spacing w:line="360" w:lineRule="auto"/>
        <w:rPr>
          <w:rFonts w:eastAsia="Calibri"/>
          <w:color w:val="4472C4" w:themeColor="accent1"/>
        </w:rPr>
      </w:pPr>
      <w:r w:rsidRPr="7F449148">
        <w:rPr>
          <w:rFonts w:eastAsia="Calibri"/>
          <w:color w:val="4471C4"/>
        </w:rPr>
        <w:t>Response:</w:t>
      </w:r>
      <w:r w:rsidR="5C8915DD" w:rsidRPr="7F449148">
        <w:rPr>
          <w:rFonts w:eastAsia="Calibri"/>
          <w:color w:val="4471C4"/>
        </w:rPr>
        <w:t xml:space="preserve"> Thank you</w:t>
      </w:r>
      <w:r w:rsidR="7B1DEFB3" w:rsidRPr="7F449148">
        <w:rPr>
          <w:rFonts w:eastAsia="Calibri"/>
          <w:color w:val="4471C4"/>
        </w:rPr>
        <w:t>,</w:t>
      </w:r>
      <w:r w:rsidR="5C8915DD" w:rsidRPr="7F449148">
        <w:rPr>
          <w:rFonts w:eastAsia="Calibri"/>
          <w:color w:val="4471C4"/>
        </w:rPr>
        <w:t xml:space="preserve"> </w:t>
      </w:r>
      <w:r w:rsidR="16AAB340" w:rsidRPr="7F449148">
        <w:rPr>
          <w:rFonts w:eastAsia="Calibri"/>
          <w:color w:val="4471C4"/>
        </w:rPr>
        <w:t xml:space="preserve">we have replaced “highly significant” with </w:t>
      </w:r>
      <w:r w:rsidR="4AFE8548" w:rsidRPr="7F449148">
        <w:rPr>
          <w:color w:val="4471C4"/>
        </w:rPr>
        <w:t>“</w:t>
      </w:r>
      <w:r w:rsidR="4AFE8548" w:rsidRPr="7F449148">
        <w:rPr>
          <w:rFonts w:eastAsia="Times New Roman"/>
          <w:color w:val="4471C4"/>
        </w:rPr>
        <w:t>significant at a p-value of &lt;0.001”.</w:t>
      </w:r>
    </w:p>
    <w:p w14:paraId="51C05A8D" w14:textId="3154F495" w:rsidR="3EF7FB48" w:rsidRDefault="3EF7FB48" w:rsidP="002A3A1E">
      <w:pPr>
        <w:pStyle w:val="NormalWeb"/>
        <w:spacing w:line="360" w:lineRule="auto"/>
        <w:rPr>
          <w:rFonts w:eastAsia="Calibri"/>
          <w:color w:val="4472C4" w:themeColor="accent1"/>
        </w:rPr>
      </w:pPr>
    </w:p>
    <w:p w14:paraId="685D39F1" w14:textId="715A9711" w:rsidR="00F33526" w:rsidRDefault="70A3BDAF" w:rsidP="002A3A1E">
      <w:pPr>
        <w:pStyle w:val="NormalWeb"/>
        <w:spacing w:line="360" w:lineRule="auto"/>
      </w:pPr>
      <w:r w:rsidRPr="3EF7FB48">
        <w:t>4. Please can you explain how the medication number increases at 24 months?</w:t>
      </w:r>
      <w:r w:rsidR="00F33526">
        <w:br/>
      </w:r>
    </w:p>
    <w:p w14:paraId="2DC34F49" w14:textId="19C00625" w:rsidR="47473917" w:rsidRDefault="47473917" w:rsidP="65113265">
      <w:pPr>
        <w:pStyle w:val="NormalWeb"/>
        <w:spacing w:after="240" w:afterAutospacing="0" w:line="360" w:lineRule="auto"/>
        <w:rPr>
          <w:rFonts w:eastAsia="Calibri"/>
          <w:color w:val="4471C4"/>
        </w:rPr>
      </w:pPr>
      <w:r w:rsidRPr="65113265">
        <w:rPr>
          <w:rFonts w:eastAsia="Calibri"/>
          <w:color w:val="4471C4"/>
        </w:rPr>
        <w:t>Response:</w:t>
      </w:r>
      <w:r w:rsidR="42A21CD8" w:rsidRPr="65113265">
        <w:rPr>
          <w:rFonts w:eastAsia="Calibri"/>
          <w:color w:val="4471C4"/>
        </w:rPr>
        <w:t xml:space="preserve"> This is also an interesting question that we had not add</w:t>
      </w:r>
      <w:r w:rsidR="2BF167B1" w:rsidRPr="65113265">
        <w:rPr>
          <w:rFonts w:eastAsia="Calibri"/>
          <w:color w:val="4471C4"/>
        </w:rPr>
        <w:t>ressed in our initial version</w:t>
      </w:r>
      <w:r w:rsidR="55E85061" w:rsidRPr="65113265">
        <w:rPr>
          <w:rFonts w:eastAsia="Calibri"/>
          <w:color w:val="4471C4"/>
        </w:rPr>
        <w:t xml:space="preserve"> in the discussion</w:t>
      </w:r>
      <w:r w:rsidR="2BF167B1" w:rsidRPr="65113265">
        <w:rPr>
          <w:rFonts w:eastAsia="Calibri"/>
          <w:color w:val="4471C4"/>
        </w:rPr>
        <w:t xml:space="preserve">. </w:t>
      </w:r>
      <w:r w:rsidR="02682118" w:rsidRPr="65113265">
        <w:rPr>
          <w:rFonts w:eastAsia="Calibri"/>
          <w:color w:val="4471C4"/>
        </w:rPr>
        <w:t xml:space="preserve">We have now included one possible reason, found in the </w:t>
      </w:r>
      <w:r w:rsidR="51D92B1C" w:rsidRPr="65113265">
        <w:rPr>
          <w:rFonts w:eastAsia="Calibri"/>
          <w:color w:val="4471C4"/>
        </w:rPr>
        <w:t>data, that may explain this finding:</w:t>
      </w:r>
    </w:p>
    <w:p w14:paraId="15B7A7A3" w14:textId="20A9728B" w:rsidR="3324D1BE" w:rsidRDefault="3324D1BE" w:rsidP="65113265">
      <w:pPr>
        <w:spacing w:beforeAutospacing="1" w:after="160" w:afterAutospacing="1" w:line="480" w:lineRule="auto"/>
        <w:jc w:val="both"/>
        <w:rPr>
          <w:rFonts w:eastAsia="Calibri"/>
          <w:color w:val="881798"/>
          <w:sz w:val="22"/>
          <w:szCs w:val="22"/>
        </w:rPr>
      </w:pPr>
      <w:r w:rsidRPr="65113265">
        <w:rPr>
          <w:rFonts w:eastAsia="Calibri"/>
          <w:color w:val="4472C4" w:themeColor="accent1"/>
          <w:sz w:val="22"/>
          <w:szCs w:val="22"/>
        </w:rPr>
        <w:t>“</w:t>
      </w:r>
      <w:r w:rsidR="4881EB74" w:rsidRPr="65113265">
        <w:rPr>
          <w:rFonts w:eastAsia="Calibri"/>
          <w:color w:val="4472C4" w:themeColor="accent1"/>
          <w:sz w:val="22"/>
          <w:szCs w:val="22"/>
        </w:rPr>
        <w:t>The average number of concomitant medications over time initially significantly decreased but by 2 years was not significantly lower. This may be because the cohort of patients who remain in treatment after 2 years, have initially a higher average number of medications (7.55: 95%CI 7.12-7.99) as well as throughout the intervention. In a separate analysis (data not shown), once we account for differences in initial medication use the previously insignificant comparison to the 24 months follow-up window shows a significantly (p-value &lt;0.001) lower number of average concomitant medications at 2 years.</w:t>
      </w:r>
      <w:r w:rsidRPr="65113265">
        <w:rPr>
          <w:rFonts w:eastAsia="Calibri"/>
          <w:color w:val="4472C4" w:themeColor="accent1"/>
          <w:sz w:val="22"/>
          <w:szCs w:val="22"/>
        </w:rPr>
        <w:t>”</w:t>
      </w:r>
    </w:p>
    <w:p w14:paraId="6A165828" w14:textId="1C2F0CF7" w:rsidR="7F449148" w:rsidRDefault="7F449148" w:rsidP="002A3A1E">
      <w:pPr>
        <w:spacing w:beforeAutospacing="1" w:after="160" w:afterAutospacing="1" w:line="360" w:lineRule="auto"/>
        <w:jc w:val="both"/>
        <w:rPr>
          <w:rFonts w:eastAsia="Calibri"/>
          <w:color w:val="4472C4" w:themeColor="accent1"/>
          <w:sz w:val="22"/>
          <w:szCs w:val="22"/>
        </w:rPr>
      </w:pPr>
    </w:p>
    <w:p w14:paraId="5748D007" w14:textId="7CBEC4D9" w:rsidR="00F33526" w:rsidRPr="00113FF8" w:rsidRDefault="70A3BDAF" w:rsidP="002A3A1E">
      <w:pPr>
        <w:spacing w:before="100" w:beforeAutospacing="1" w:after="100" w:afterAutospacing="1" w:line="360" w:lineRule="auto"/>
        <w:jc w:val="both"/>
        <w:textAlignment w:val="baseline"/>
        <w:rPr>
          <w:sz w:val="22"/>
          <w:szCs w:val="22"/>
        </w:rPr>
      </w:pPr>
      <w:r w:rsidRPr="3EF7FB48">
        <w:rPr>
          <w:sz w:val="22"/>
          <w:szCs w:val="22"/>
        </w:rPr>
        <w:t>Discussion</w:t>
      </w:r>
      <w:r w:rsidR="00F33526">
        <w:br/>
      </w:r>
      <w:r w:rsidRPr="3EF7FB48">
        <w:rPr>
          <w:sz w:val="22"/>
          <w:szCs w:val="22"/>
        </w:rPr>
        <w:t>1. It is important to place your results in the context of wider literature. This is the major limitation of this write up at present. Whilst I appreciate this is the largest analysis of its kind, it is important to compare these findings to those identified from other observational studies and randomised controlled trials with respect to the outcomes you sought to analyse.</w:t>
      </w:r>
    </w:p>
    <w:p w14:paraId="6856AC4C" w14:textId="256B69E2" w:rsidR="3EF7FB48" w:rsidRDefault="3EF7FB48" w:rsidP="002A3A1E">
      <w:pPr>
        <w:spacing w:beforeAutospacing="1" w:afterAutospacing="1" w:line="360" w:lineRule="auto"/>
        <w:jc w:val="both"/>
        <w:rPr>
          <w:rFonts w:eastAsia="Calibri"/>
        </w:rPr>
      </w:pPr>
    </w:p>
    <w:p w14:paraId="517869D8" w14:textId="4BCC7F72" w:rsidR="66C7FE6D" w:rsidRDefault="66C7FE6D" w:rsidP="65113265">
      <w:pPr>
        <w:pStyle w:val="NormalWeb"/>
        <w:spacing w:after="240" w:afterAutospacing="0" w:line="360" w:lineRule="auto"/>
        <w:rPr>
          <w:rFonts w:eastAsia="Calibri"/>
          <w:color w:val="4472C4" w:themeColor="accent1"/>
        </w:rPr>
      </w:pPr>
      <w:r w:rsidRPr="65113265">
        <w:rPr>
          <w:rFonts w:eastAsia="Calibri"/>
          <w:color w:val="4471C4"/>
        </w:rPr>
        <w:t>Response</w:t>
      </w:r>
      <w:r w:rsidR="00924BFD" w:rsidRPr="65113265">
        <w:rPr>
          <w:rFonts w:eastAsia="Calibri"/>
          <w:color w:val="4471C4"/>
        </w:rPr>
        <w:t>: Thank you</w:t>
      </w:r>
      <w:r w:rsidR="009342AD" w:rsidRPr="65113265">
        <w:rPr>
          <w:rFonts w:eastAsia="Calibri"/>
          <w:color w:val="4471C4"/>
        </w:rPr>
        <w:t xml:space="preserve"> for your </w:t>
      </w:r>
      <w:r w:rsidR="00996D77" w:rsidRPr="65113265">
        <w:rPr>
          <w:rFonts w:eastAsia="Calibri"/>
          <w:color w:val="4471C4"/>
        </w:rPr>
        <w:t xml:space="preserve">assessment regarding the </w:t>
      </w:r>
      <w:r w:rsidR="00EE5E68" w:rsidRPr="65113265">
        <w:rPr>
          <w:rFonts w:eastAsia="Calibri"/>
          <w:color w:val="4471C4"/>
        </w:rPr>
        <w:t>paper’s motivation and writing</w:t>
      </w:r>
      <w:r w:rsidR="00D87B5F" w:rsidRPr="65113265">
        <w:rPr>
          <w:rFonts w:eastAsia="Calibri"/>
          <w:color w:val="4471C4"/>
        </w:rPr>
        <w:t xml:space="preserve">, which we took to heart </w:t>
      </w:r>
      <w:r w:rsidR="009A2869" w:rsidRPr="65113265">
        <w:rPr>
          <w:rFonts w:eastAsia="Calibri"/>
          <w:color w:val="4471C4"/>
        </w:rPr>
        <w:t xml:space="preserve">and carefully </w:t>
      </w:r>
      <w:r w:rsidR="00F431E6" w:rsidRPr="65113265">
        <w:rPr>
          <w:rFonts w:eastAsia="Calibri"/>
          <w:color w:val="4471C4"/>
        </w:rPr>
        <w:t xml:space="preserve">pursued </w:t>
      </w:r>
      <w:r w:rsidR="004B7531" w:rsidRPr="65113265">
        <w:rPr>
          <w:rFonts w:eastAsia="Calibri"/>
          <w:color w:val="4471C4"/>
        </w:rPr>
        <w:t xml:space="preserve">to </w:t>
      </w:r>
      <w:r w:rsidR="00FD5360" w:rsidRPr="65113265">
        <w:rPr>
          <w:rFonts w:eastAsia="Calibri"/>
          <w:color w:val="4471C4"/>
        </w:rPr>
        <w:t>address</w:t>
      </w:r>
      <w:r w:rsidR="00E85358" w:rsidRPr="65113265">
        <w:rPr>
          <w:rFonts w:eastAsia="Calibri"/>
          <w:color w:val="4471C4"/>
        </w:rPr>
        <w:t xml:space="preserve"> by </w:t>
      </w:r>
      <w:r w:rsidR="001602EC" w:rsidRPr="65113265">
        <w:rPr>
          <w:rFonts w:eastAsia="Calibri"/>
          <w:color w:val="4471C4"/>
        </w:rPr>
        <w:t xml:space="preserve">revisiting the surrounding </w:t>
      </w:r>
      <w:r w:rsidR="00956924" w:rsidRPr="65113265">
        <w:rPr>
          <w:rFonts w:eastAsia="Calibri"/>
          <w:color w:val="4471C4"/>
        </w:rPr>
        <w:t xml:space="preserve">literature. </w:t>
      </w:r>
      <w:r w:rsidR="005C5234" w:rsidRPr="65113265">
        <w:rPr>
          <w:rFonts w:eastAsia="Calibri"/>
          <w:color w:val="4471C4"/>
        </w:rPr>
        <w:t xml:space="preserve">From this </w:t>
      </w:r>
      <w:r w:rsidR="00063856" w:rsidRPr="65113265">
        <w:rPr>
          <w:rFonts w:eastAsia="Calibri"/>
          <w:color w:val="4471C4"/>
        </w:rPr>
        <w:t>exercise</w:t>
      </w:r>
      <w:r w:rsidR="00D051C9" w:rsidRPr="65113265">
        <w:rPr>
          <w:rFonts w:eastAsia="Calibri"/>
          <w:color w:val="4471C4"/>
        </w:rPr>
        <w:t xml:space="preserve">, we </w:t>
      </w:r>
      <w:r w:rsidR="000A5C3B" w:rsidRPr="65113265">
        <w:rPr>
          <w:rFonts w:eastAsia="Calibri"/>
          <w:color w:val="4471C4"/>
        </w:rPr>
        <w:t xml:space="preserve">believe that </w:t>
      </w:r>
      <w:r w:rsidR="4F834759" w:rsidRPr="65113265">
        <w:rPr>
          <w:rFonts w:eastAsia="Calibri"/>
          <w:color w:val="4471C4"/>
        </w:rPr>
        <w:t>the</w:t>
      </w:r>
      <w:r w:rsidR="00400A4F" w:rsidRPr="65113265">
        <w:rPr>
          <w:rFonts w:eastAsia="Calibri"/>
          <w:color w:val="4471C4"/>
        </w:rPr>
        <w:t xml:space="preserve"> paragraph</w:t>
      </w:r>
      <w:r w:rsidR="69EEB4BE" w:rsidRPr="65113265">
        <w:rPr>
          <w:rFonts w:eastAsia="Calibri"/>
          <w:color w:val="4471C4"/>
        </w:rPr>
        <w:t xml:space="preserve"> in the discussion</w:t>
      </w:r>
      <w:r w:rsidR="00400A4F" w:rsidRPr="65113265">
        <w:rPr>
          <w:rFonts w:eastAsia="Calibri"/>
          <w:color w:val="4471C4"/>
        </w:rPr>
        <w:t xml:space="preserve"> </w:t>
      </w:r>
      <w:r w:rsidR="403B2A52" w:rsidRPr="65113265">
        <w:rPr>
          <w:rFonts w:eastAsia="Calibri"/>
          <w:color w:val="4472C4" w:themeColor="accent1"/>
        </w:rPr>
        <w:t>encapsulate</w:t>
      </w:r>
      <w:r w:rsidR="2217FD53" w:rsidRPr="65113265">
        <w:rPr>
          <w:rFonts w:eastAsia="Calibri"/>
          <w:color w:val="4472C4" w:themeColor="accent1"/>
        </w:rPr>
        <w:t>s</w:t>
      </w:r>
      <w:r w:rsidR="403B2A52" w:rsidRPr="65113265">
        <w:rPr>
          <w:rFonts w:eastAsia="Calibri"/>
          <w:color w:val="4472C4" w:themeColor="accent1"/>
        </w:rPr>
        <w:t xml:space="preserve"> th</w:t>
      </w:r>
      <w:r w:rsidR="1C19B891" w:rsidRPr="65113265">
        <w:rPr>
          <w:rFonts w:eastAsia="Calibri"/>
          <w:color w:val="4472C4" w:themeColor="accent1"/>
        </w:rPr>
        <w:t>e context of the wider literature</w:t>
      </w:r>
      <w:r w:rsidR="7E02FBE8" w:rsidRPr="65113265">
        <w:rPr>
          <w:rFonts w:eastAsia="Calibri"/>
          <w:color w:val="4472C4" w:themeColor="accent1"/>
        </w:rPr>
        <w:t>,</w:t>
      </w:r>
      <w:r w:rsidR="410ABE29" w:rsidRPr="65113265">
        <w:rPr>
          <w:rFonts w:eastAsia="Calibri"/>
          <w:color w:val="4472C4" w:themeColor="accent1"/>
        </w:rPr>
        <w:t xml:space="preserve"> referencing 9 similar observational studies.  This reviews </w:t>
      </w:r>
      <w:r w:rsidR="403B2A52" w:rsidRPr="65113265">
        <w:rPr>
          <w:rFonts w:eastAsia="Calibri"/>
          <w:color w:val="4472C4" w:themeColor="accent1"/>
        </w:rPr>
        <w:t>a wide literature list for respective outcomes from</w:t>
      </w:r>
      <w:r w:rsidR="141BBC91" w:rsidRPr="65113265">
        <w:rPr>
          <w:rFonts w:eastAsia="Calibri"/>
          <w:color w:val="4472C4" w:themeColor="accent1"/>
        </w:rPr>
        <w:t xml:space="preserve"> studies with</w:t>
      </w:r>
      <w:r w:rsidR="403B2A52" w:rsidRPr="65113265">
        <w:rPr>
          <w:rFonts w:eastAsia="Calibri"/>
          <w:color w:val="4472C4" w:themeColor="accent1"/>
        </w:rPr>
        <w:t xml:space="preserve"> shorter timeframes or mixed cannabis delivery doses and ratios </w:t>
      </w:r>
      <w:r w:rsidR="1A1A0153" w:rsidRPr="65113265">
        <w:rPr>
          <w:rFonts w:eastAsia="Calibri"/>
          <w:color w:val="4472C4" w:themeColor="accent1"/>
        </w:rPr>
        <w:t>and</w:t>
      </w:r>
      <w:r w:rsidR="1C9335F7" w:rsidRPr="65113265">
        <w:rPr>
          <w:rFonts w:eastAsia="Calibri"/>
          <w:color w:val="4472C4" w:themeColor="accent1"/>
        </w:rPr>
        <w:t xml:space="preserve"> we believe that</w:t>
      </w:r>
      <w:r w:rsidR="1A1A0153" w:rsidRPr="65113265">
        <w:rPr>
          <w:rFonts w:eastAsia="Calibri"/>
          <w:color w:val="4472C4" w:themeColor="accent1"/>
        </w:rPr>
        <w:t xml:space="preserve"> further comparisons are unlikely to</w:t>
      </w:r>
      <w:r w:rsidR="403B2A52" w:rsidRPr="65113265">
        <w:rPr>
          <w:rFonts w:eastAsia="Calibri"/>
          <w:color w:val="4472C4" w:themeColor="accent1"/>
        </w:rPr>
        <w:t xml:space="preserve"> add any further insight. </w:t>
      </w:r>
      <w:r w:rsidR="4D210953" w:rsidRPr="65113265">
        <w:rPr>
          <w:rFonts w:eastAsia="Calibri"/>
          <w:color w:val="4472C4" w:themeColor="accent1"/>
        </w:rPr>
        <w:t>We have avoided referring to</w:t>
      </w:r>
      <w:r w:rsidR="403B2A52" w:rsidRPr="65113265">
        <w:rPr>
          <w:rFonts w:eastAsia="Calibri"/>
          <w:color w:val="4472C4" w:themeColor="accent1"/>
        </w:rPr>
        <w:t xml:space="preserve"> systematic reviews, as these tend to conflate recreational and medicinal cannabis literature. Finally, and to the best of our knowledge, from a thorough review of th</w:t>
      </w:r>
      <w:r w:rsidR="734F83A1" w:rsidRPr="65113265">
        <w:rPr>
          <w:rFonts w:eastAsia="Calibri"/>
          <w:color w:val="4472C4" w:themeColor="accent1"/>
        </w:rPr>
        <w:t>e</w:t>
      </w:r>
      <w:r w:rsidR="403B2A52" w:rsidRPr="65113265">
        <w:rPr>
          <w:rFonts w:eastAsia="Calibri"/>
          <w:color w:val="4472C4" w:themeColor="accent1"/>
        </w:rPr>
        <w:t xml:space="preserve"> literature, there appear to be no comparable observational trials with oral GMP-grade medicinal cannabis oils</w:t>
      </w:r>
      <w:r w:rsidR="4865DC7F" w:rsidRPr="65113265">
        <w:rPr>
          <w:rFonts w:eastAsia="Calibri"/>
          <w:color w:val="4472C4" w:themeColor="accent1"/>
        </w:rPr>
        <w:t xml:space="preserve"> (ie not inhaled recreational or medicinal cannabis)</w:t>
      </w:r>
      <w:r w:rsidR="403B2A52" w:rsidRPr="65113265">
        <w:rPr>
          <w:rFonts w:eastAsia="Calibri"/>
          <w:color w:val="4472C4" w:themeColor="accent1"/>
        </w:rPr>
        <w:t xml:space="preserve"> </w:t>
      </w:r>
      <w:r w:rsidR="10BA1368" w:rsidRPr="65113265">
        <w:rPr>
          <w:rFonts w:eastAsia="Calibri"/>
          <w:color w:val="4472C4" w:themeColor="accent1"/>
        </w:rPr>
        <w:t xml:space="preserve">of </w:t>
      </w:r>
      <w:r w:rsidR="403B2A52" w:rsidRPr="65113265">
        <w:rPr>
          <w:rFonts w:eastAsia="Calibri"/>
          <w:color w:val="4472C4" w:themeColor="accent1"/>
        </w:rPr>
        <w:t xml:space="preserve">a comparable </w:t>
      </w:r>
      <w:r w:rsidR="2002306F" w:rsidRPr="65113265">
        <w:rPr>
          <w:rFonts w:eastAsia="Calibri"/>
          <w:color w:val="4472C4" w:themeColor="accent1"/>
        </w:rPr>
        <w:t xml:space="preserve">cohort </w:t>
      </w:r>
      <w:r w:rsidR="403B2A52" w:rsidRPr="65113265">
        <w:rPr>
          <w:rFonts w:eastAsia="Calibri"/>
          <w:color w:val="4472C4" w:themeColor="accent1"/>
        </w:rPr>
        <w:t xml:space="preserve">size or length of time. </w:t>
      </w:r>
    </w:p>
    <w:p w14:paraId="2F9F5292" w14:textId="1BA94679" w:rsidR="47A5E746" w:rsidRDefault="47A5E746" w:rsidP="65113265">
      <w:pPr>
        <w:pStyle w:val="NormalWeb"/>
        <w:spacing w:after="240" w:afterAutospacing="0" w:line="360" w:lineRule="auto"/>
        <w:rPr>
          <w:rFonts w:eastAsia="Calibri"/>
          <w:color w:val="4471C4"/>
        </w:rPr>
      </w:pPr>
      <w:r w:rsidRPr="65113265">
        <w:rPr>
          <w:rFonts w:eastAsia="Calibri"/>
          <w:color w:val="4471C4"/>
        </w:rPr>
        <w:t>Paragraph regarding literature context:</w:t>
      </w:r>
    </w:p>
    <w:p w14:paraId="0902C571" w14:textId="4EFF11D0" w:rsidR="00400A4F" w:rsidRPr="00113FF8" w:rsidRDefault="00400A4F" w:rsidP="65113265">
      <w:pPr>
        <w:spacing w:before="100" w:beforeAutospacing="1" w:after="100" w:afterAutospacing="1" w:line="360" w:lineRule="auto"/>
        <w:jc w:val="both"/>
        <w:textAlignment w:val="baseline"/>
        <w:rPr>
          <w:color w:val="4472C4" w:themeColor="accent1"/>
          <w:sz w:val="22"/>
          <w:szCs w:val="22"/>
          <w:lang w:val="en-US"/>
        </w:rPr>
      </w:pPr>
      <w:r>
        <w:rPr>
          <w:rFonts w:eastAsia="Calibri"/>
          <w:color w:val="4471C4"/>
        </w:rPr>
        <w:tab/>
      </w:r>
      <w:r w:rsidRPr="3EF7FB48">
        <w:rPr>
          <w:color w:val="4472C4" w:themeColor="accent1"/>
          <w:sz w:val="22"/>
          <w:szCs w:val="22"/>
          <w:lang w:val="en-US"/>
        </w:rPr>
        <w:t>“Previous smaller studies have demonstrated improvements in patient reported outcomes over shorter periods of time and with mixed cannabis delivery systems including inhaled and oromucosal medications [7, 22], and for specific clinical conditions in pain [23, 24], anxiety [25,26], cancer [27,28], and sleep [29].  This is the first comprehensive analysis of this magnitude and length of time for oral MC daily dosages prescribed in a cannabis naïve cohort.”</w:t>
      </w:r>
    </w:p>
    <w:p w14:paraId="46209D97" w14:textId="7AECA6CB" w:rsidR="65113265" w:rsidRDefault="65113265" w:rsidP="65113265">
      <w:pPr>
        <w:pStyle w:val="NormalWeb"/>
        <w:spacing w:line="360" w:lineRule="auto"/>
      </w:pPr>
    </w:p>
    <w:p w14:paraId="1ADC3717" w14:textId="3B6601E9" w:rsidR="000D29F5" w:rsidRPr="000032F0" w:rsidRDefault="70A3BDAF" w:rsidP="002A3A1E">
      <w:pPr>
        <w:pStyle w:val="NormalWeb"/>
        <w:spacing w:line="360" w:lineRule="auto"/>
      </w:pPr>
      <w:r w:rsidRPr="3EF7FB48">
        <w:t>Minor Issues</w:t>
      </w:r>
      <w:r w:rsidR="00F33526">
        <w:br/>
      </w:r>
      <w:r w:rsidR="00F33526">
        <w:br/>
      </w:r>
      <w:r w:rsidRPr="3EF7FB48">
        <w:t>General</w:t>
      </w:r>
      <w:r w:rsidR="00F33526">
        <w:br/>
      </w:r>
      <w:r w:rsidRPr="3EF7FB48">
        <w:t>1. You switch between real world evidence, Real World Evidence and real-world evidence. Please make sure consistent.</w:t>
      </w:r>
    </w:p>
    <w:p w14:paraId="07864744" w14:textId="173414C5" w:rsidR="3EF7FB48" w:rsidRDefault="3EF7FB48" w:rsidP="002A3A1E">
      <w:pPr>
        <w:pStyle w:val="NormalWeb"/>
        <w:spacing w:line="360" w:lineRule="auto"/>
        <w:rPr>
          <w:color w:val="4472C4" w:themeColor="accent1"/>
        </w:rPr>
      </w:pPr>
    </w:p>
    <w:p w14:paraId="01F504BA" w14:textId="48B45B09" w:rsidR="1D929C11" w:rsidRDefault="1D929C11" w:rsidP="002A3A1E">
      <w:pPr>
        <w:pStyle w:val="NormalWeb"/>
        <w:spacing w:after="240" w:afterAutospacing="0" w:line="360" w:lineRule="auto"/>
      </w:pPr>
      <w:r w:rsidRPr="3EF7FB48">
        <w:rPr>
          <w:rFonts w:eastAsia="Calibri"/>
          <w:color w:val="4472C4" w:themeColor="accent1"/>
        </w:rPr>
        <w:t>Response:</w:t>
      </w:r>
      <w:r w:rsidRPr="3EF7FB48">
        <w:rPr>
          <w:color w:val="4472C4" w:themeColor="accent1"/>
        </w:rPr>
        <w:t xml:space="preserve"> </w:t>
      </w:r>
      <w:r w:rsidR="65E7D45C" w:rsidRPr="3EF7FB48">
        <w:rPr>
          <w:color w:val="4472C4" w:themeColor="accent1"/>
        </w:rPr>
        <w:t xml:space="preserve">Thank you for </w:t>
      </w:r>
      <w:r w:rsidR="7FE108AD" w:rsidRPr="3EF7FB48">
        <w:rPr>
          <w:color w:val="4472C4" w:themeColor="accent1"/>
        </w:rPr>
        <w:t xml:space="preserve">also providing </w:t>
      </w:r>
      <w:r w:rsidR="0C5CF4F4" w:rsidRPr="3EF7FB48">
        <w:rPr>
          <w:color w:val="4472C4" w:themeColor="accent1"/>
        </w:rPr>
        <w:t>useful feedback on not only this minor issue, but also t</w:t>
      </w:r>
      <w:r w:rsidR="4B9AE558" w:rsidRPr="3EF7FB48">
        <w:rPr>
          <w:color w:val="4472C4" w:themeColor="accent1"/>
        </w:rPr>
        <w:t xml:space="preserve">hose listed below, which we have strived to address and correct (such as, in this case). </w:t>
      </w:r>
      <w:r w:rsidR="229A3808" w:rsidRPr="3EF7FB48">
        <w:rPr>
          <w:color w:val="4472C4" w:themeColor="accent1"/>
        </w:rPr>
        <w:t>Note that</w:t>
      </w:r>
      <w:r w:rsidR="68158EF7" w:rsidRPr="3EF7FB48">
        <w:rPr>
          <w:color w:val="4472C4" w:themeColor="accent1"/>
        </w:rPr>
        <w:t>,</w:t>
      </w:r>
      <w:r w:rsidR="229A3808" w:rsidRPr="3EF7FB48">
        <w:rPr>
          <w:color w:val="4472C4" w:themeColor="accent1"/>
        </w:rPr>
        <w:t xml:space="preserve"> given </w:t>
      </w:r>
      <w:r w:rsidR="2CF98C9A" w:rsidRPr="3EF7FB48">
        <w:rPr>
          <w:color w:val="4472C4" w:themeColor="accent1"/>
        </w:rPr>
        <w:t xml:space="preserve">the </w:t>
      </w:r>
      <w:r w:rsidR="02F7884E" w:rsidRPr="3EF7FB48">
        <w:rPr>
          <w:color w:val="4472C4" w:themeColor="accent1"/>
        </w:rPr>
        <w:t>large</w:t>
      </w:r>
      <w:r w:rsidR="37D7D029" w:rsidRPr="3EF7FB48">
        <w:rPr>
          <w:color w:val="4472C4" w:themeColor="accent1"/>
        </w:rPr>
        <w:t>ly</w:t>
      </w:r>
      <w:r w:rsidR="02F7884E" w:rsidRPr="3EF7FB48">
        <w:rPr>
          <w:color w:val="4472C4" w:themeColor="accent1"/>
        </w:rPr>
        <w:t xml:space="preserve"> straight-forward nature </w:t>
      </w:r>
      <w:r w:rsidR="2CF98C9A" w:rsidRPr="3EF7FB48">
        <w:rPr>
          <w:color w:val="4472C4" w:themeColor="accent1"/>
        </w:rPr>
        <w:t>of</w:t>
      </w:r>
      <w:r w:rsidR="637F7FBA" w:rsidRPr="3EF7FB48">
        <w:rPr>
          <w:color w:val="4472C4" w:themeColor="accent1"/>
        </w:rPr>
        <w:t xml:space="preserve"> the</w:t>
      </w:r>
      <w:r w:rsidR="2CF98C9A" w:rsidRPr="3EF7FB48">
        <w:rPr>
          <w:color w:val="4472C4" w:themeColor="accent1"/>
        </w:rPr>
        <w:t xml:space="preserve"> comments that follow</w:t>
      </w:r>
      <w:r w:rsidR="16D019DF" w:rsidRPr="3EF7FB48">
        <w:rPr>
          <w:color w:val="4472C4" w:themeColor="accent1"/>
        </w:rPr>
        <w:t>, from here on out we will simply respond with “Corrected”, unless of course we thought a more detailed response was w</w:t>
      </w:r>
      <w:r w:rsidR="779D8B5C" w:rsidRPr="3EF7FB48">
        <w:rPr>
          <w:color w:val="4472C4" w:themeColor="accent1"/>
        </w:rPr>
        <w:t>arranted.</w:t>
      </w:r>
      <w:r>
        <w:br/>
      </w:r>
      <w:r>
        <w:br/>
      </w:r>
      <w:r w:rsidR="70A3BDAF" w:rsidRPr="3EF7FB48">
        <w:t>Title</w:t>
      </w:r>
      <w:r>
        <w:br/>
      </w:r>
      <w:r w:rsidR="70A3BDAF" w:rsidRPr="3EF7FB48">
        <w:t>1. Title incorrectly contains the word ‘oral’ twice on submission portal</w:t>
      </w:r>
    </w:p>
    <w:p w14:paraId="4DD919F9" w14:textId="206FCBEF" w:rsidR="129456D8" w:rsidRDefault="129456D8" w:rsidP="002A3A1E">
      <w:pPr>
        <w:pStyle w:val="NormalWeb"/>
        <w:spacing w:after="240" w:afterAutospacing="0" w:line="360" w:lineRule="auto"/>
        <w:rPr>
          <w:color w:val="4472C4" w:themeColor="accent1"/>
        </w:rPr>
      </w:pPr>
      <w:r w:rsidRPr="3EF7FB48">
        <w:rPr>
          <w:rFonts w:eastAsia="Calibri"/>
          <w:color w:val="4472C4" w:themeColor="accent1"/>
        </w:rPr>
        <w:t>Response:</w:t>
      </w:r>
      <w:r w:rsidR="115A3F3A" w:rsidRPr="3EF7FB48">
        <w:rPr>
          <w:rFonts w:eastAsia="Calibri"/>
          <w:color w:val="4472C4" w:themeColor="accent1"/>
        </w:rPr>
        <w:t xml:space="preserve"> </w:t>
      </w:r>
      <w:r w:rsidR="115A3F3A" w:rsidRPr="3EF7FB48">
        <w:rPr>
          <w:color w:val="4472C4" w:themeColor="accent1"/>
        </w:rPr>
        <w:t>Corrected</w:t>
      </w:r>
      <w:r w:rsidR="0E6C164C" w:rsidRPr="3EF7FB48">
        <w:rPr>
          <w:color w:val="4472C4" w:themeColor="accent1"/>
        </w:rPr>
        <w:t>.</w:t>
      </w:r>
      <w:r>
        <w:br/>
      </w:r>
      <w:r>
        <w:br/>
      </w:r>
      <w:r w:rsidR="70A3BDAF" w:rsidRPr="3EF7FB48">
        <w:t>Abstract</w:t>
      </w:r>
      <w:r>
        <w:br/>
      </w:r>
      <w:r w:rsidR="70A3BDAF" w:rsidRPr="3EF7FB48">
        <w:t>1. P2L28-80: Missing ‘were included in this analysis’ or an equivalent change to the sentence for it to make sense</w:t>
      </w:r>
      <w:r>
        <w:br/>
      </w:r>
      <w:r>
        <w:br/>
      </w:r>
      <w:r w:rsidR="59F3DB85" w:rsidRPr="3EF7FB48">
        <w:rPr>
          <w:rFonts w:eastAsia="Calibri"/>
          <w:color w:val="4472C4" w:themeColor="accent1"/>
        </w:rPr>
        <w:t>Response:</w:t>
      </w:r>
      <w:r w:rsidR="59F3DB85" w:rsidRPr="3EF7FB48">
        <w:t xml:space="preserve"> </w:t>
      </w:r>
      <w:r w:rsidR="0647AF67" w:rsidRPr="3EF7FB48">
        <w:rPr>
          <w:color w:val="4472C4" w:themeColor="accent1"/>
        </w:rPr>
        <w:t>We have now incorporated the suggested change, with the sentence reading as follows:</w:t>
      </w:r>
    </w:p>
    <w:p w14:paraId="43FD514E" w14:textId="54075783" w:rsidR="0647AF67" w:rsidRDefault="0647AF67" w:rsidP="002A3A1E">
      <w:pPr>
        <w:pStyle w:val="NormalWeb"/>
        <w:spacing w:after="240" w:afterAutospacing="0" w:line="360" w:lineRule="auto"/>
        <w:ind w:firstLine="720"/>
      </w:pPr>
      <w:r w:rsidRPr="3EF7FB48">
        <w:rPr>
          <w:color w:val="4472C4" w:themeColor="accent1"/>
        </w:rPr>
        <w:t>“</w:t>
      </w:r>
      <w:r w:rsidRPr="3EF7FB48">
        <w:rPr>
          <w:rFonts w:eastAsia="Calibri"/>
          <w:color w:val="4472C4" w:themeColor="accent1"/>
        </w:rPr>
        <w:t>3,961 patients (mean age 56.07 years [SD 19.08], 51.0% female) with multimorbidity (mean diagnoses 5.14 [SD 4.08])</w:t>
      </w:r>
      <w:r w:rsidRPr="3EF7FB48">
        <w:rPr>
          <w:rFonts w:eastAsia="Calibri"/>
          <w:strike/>
          <w:color w:val="4472C4" w:themeColor="accent1"/>
        </w:rPr>
        <w:t>.</w:t>
      </w:r>
      <w:r w:rsidRPr="3EF7FB48">
        <w:rPr>
          <w:rFonts w:eastAsia="Calibri"/>
          <w:color w:val="4472C4" w:themeColor="accent1"/>
        </w:rPr>
        <w:t xml:space="preserve"> and polypharmacy (mean 6.26 medications [SD 4.61]) were included in this analysis.</w:t>
      </w:r>
      <w:r w:rsidRPr="3EF7FB48">
        <w:rPr>
          <w:color w:val="4472C4" w:themeColor="accent1"/>
        </w:rPr>
        <w:t>”</w:t>
      </w:r>
      <w:r>
        <w:br/>
      </w:r>
      <w:r>
        <w:br/>
      </w:r>
      <w:r w:rsidR="70A3BDAF" w:rsidRPr="3EF7FB48">
        <w:t>2. P2L32-34: This sentence doesn’t quite make sense. You can’t determine severity of adverse events by the type of adverse event, only by graded severity by a CTCAE or equivalent, similar for dose-related. You have the total number of adverse events, and their severity why don’t insert here the proportion of overall adverse events that were mild?</w:t>
      </w:r>
    </w:p>
    <w:p w14:paraId="200FDF94" w14:textId="20FDFF9C" w:rsidR="73CAE16D" w:rsidRDefault="73CAE16D" w:rsidP="002A3A1E">
      <w:pPr>
        <w:pStyle w:val="NormalWeb"/>
        <w:spacing w:after="240" w:afterAutospacing="0" w:line="360" w:lineRule="auto"/>
        <w:rPr>
          <w:color w:val="4472C4" w:themeColor="accent1"/>
        </w:rPr>
      </w:pPr>
      <w:r w:rsidRPr="3EF7FB48">
        <w:rPr>
          <w:rFonts w:eastAsia="Calibri"/>
          <w:color w:val="4472C4" w:themeColor="accent1"/>
        </w:rPr>
        <w:t>Response:</w:t>
      </w:r>
      <w:r w:rsidRPr="3EF7FB48">
        <w:rPr>
          <w:color w:val="4472C4" w:themeColor="accent1"/>
        </w:rPr>
        <w:t xml:space="preserve"> </w:t>
      </w:r>
      <w:r w:rsidR="558DA21C" w:rsidRPr="3EF7FB48">
        <w:rPr>
          <w:color w:val="4472C4" w:themeColor="accent1"/>
        </w:rPr>
        <w:t xml:space="preserve">Thank you for </w:t>
      </w:r>
      <w:r w:rsidR="6E5C637D" w:rsidRPr="3EF7FB48">
        <w:rPr>
          <w:color w:val="4472C4" w:themeColor="accent1"/>
        </w:rPr>
        <w:t>this interesting suggestion, which we have now included in the following sentences:</w:t>
      </w:r>
    </w:p>
    <w:p w14:paraId="72D4B31D" w14:textId="3500F632" w:rsidR="00F33526" w:rsidRDefault="6D7FDCA4" w:rsidP="002A3A1E">
      <w:pPr>
        <w:pStyle w:val="NormalWeb"/>
        <w:spacing w:after="240" w:afterAutospacing="0" w:line="360" w:lineRule="auto"/>
        <w:ind w:firstLine="720"/>
      </w:pPr>
      <w:r w:rsidRPr="3EF7FB48">
        <w:rPr>
          <w:color w:val="4472C4" w:themeColor="accent1"/>
        </w:rPr>
        <w:t>“</w:t>
      </w:r>
      <w:bookmarkStart w:id="0" w:name="_Hlk114820945"/>
      <w:r w:rsidR="47B0667D" w:rsidRPr="3EF7FB48">
        <w:rPr>
          <w:rFonts w:eastAsia="Times New Roman" w:cstheme="minorBidi"/>
          <w:color w:val="4472C4" w:themeColor="accent1"/>
        </w:rPr>
        <w:t>37.3% experienced treatment related adverse events.  These were graded mild (67%), moderate (31%), severe (&lt;2%, n=23) and two (0.1%) serious adverse events</w:t>
      </w:r>
      <w:bookmarkEnd w:id="0"/>
      <w:r w:rsidRPr="3EF7FB48">
        <w:rPr>
          <w:rFonts w:eastAsia="Times New Roman" w:cstheme="minorBidi"/>
          <w:color w:val="4472C4" w:themeColor="accent1"/>
        </w:rPr>
        <w:t>.</w:t>
      </w:r>
      <w:r w:rsidRPr="3EF7FB48">
        <w:rPr>
          <w:color w:val="4472C4" w:themeColor="accent1"/>
        </w:rPr>
        <w:t xml:space="preserve">” </w:t>
      </w:r>
      <w:r w:rsidR="00F33526">
        <w:br/>
      </w:r>
      <w:r w:rsidR="00F33526">
        <w:br/>
      </w:r>
      <w:r w:rsidR="70A3BDAF" w:rsidRPr="3EF7FB48">
        <w:t>3. P2L34 Report % for serious adverse events</w:t>
      </w:r>
      <w:r w:rsidR="00F33526">
        <w:br/>
      </w:r>
      <w:r w:rsidR="00F33526">
        <w:br/>
      </w:r>
      <w:r w:rsidR="50D5D21E" w:rsidRPr="3EF7FB48">
        <w:rPr>
          <w:rFonts w:eastAsia="Calibri"/>
          <w:color w:val="4472C4" w:themeColor="accent1"/>
        </w:rPr>
        <w:t>Response:</w:t>
      </w:r>
      <w:r w:rsidR="50D5D21E" w:rsidRPr="3EF7FB48">
        <w:rPr>
          <w:color w:val="4472C4" w:themeColor="accent1"/>
        </w:rPr>
        <w:t xml:space="preserve"> </w:t>
      </w:r>
      <w:r w:rsidR="5AE23FBC" w:rsidRPr="3EF7FB48">
        <w:rPr>
          <w:color w:val="4472C4" w:themeColor="accent1"/>
        </w:rPr>
        <w:t>Corrected</w:t>
      </w:r>
      <w:r w:rsidR="5D6512D4" w:rsidRPr="3EF7FB48">
        <w:rPr>
          <w:color w:val="4472C4" w:themeColor="accent1"/>
        </w:rPr>
        <w:t>.</w:t>
      </w:r>
      <w:r w:rsidR="00F33526">
        <w:br/>
      </w:r>
      <w:r w:rsidR="00F33526">
        <w:br/>
      </w:r>
      <w:r w:rsidR="70A3BDAF" w:rsidRPr="3EF7FB48">
        <w:t>4. P2L35 Remove the term ‘highly’, results are either significant or not significant</w:t>
      </w:r>
    </w:p>
    <w:p w14:paraId="540C64E6" w14:textId="30F80B87" w:rsidR="00F33526" w:rsidRDefault="46CE34A7" w:rsidP="002A3A1E">
      <w:pPr>
        <w:pStyle w:val="NormalWeb"/>
        <w:spacing w:after="240" w:afterAutospacing="0" w:line="360" w:lineRule="auto"/>
      </w:pPr>
      <w:r w:rsidRPr="3EF7FB48">
        <w:rPr>
          <w:rFonts w:eastAsia="Calibri"/>
          <w:color w:val="4472C4" w:themeColor="accent1"/>
        </w:rPr>
        <w:t>Response:</w:t>
      </w:r>
      <w:r w:rsidR="425D87D4" w:rsidRPr="3EF7FB48">
        <w:rPr>
          <w:rFonts w:eastAsia="Calibri"/>
          <w:color w:val="4472C4" w:themeColor="accent1"/>
        </w:rPr>
        <w:t xml:space="preserve"> Corrected.</w:t>
      </w:r>
      <w:r w:rsidR="00F33526">
        <w:br/>
      </w:r>
      <w:r w:rsidR="00F33526">
        <w:br/>
      </w:r>
      <w:r w:rsidR="70A3BDAF" w:rsidRPr="3EF7FB48">
        <w:t>5. P2L36-38 The acronyms need introducing the introduction</w:t>
      </w:r>
    </w:p>
    <w:p w14:paraId="2321E57A" w14:textId="029CB593" w:rsidR="00F33526" w:rsidRDefault="3F212CFF" w:rsidP="002A3A1E">
      <w:pPr>
        <w:pStyle w:val="NormalWeb"/>
        <w:spacing w:after="240" w:afterAutospacing="0" w:line="360" w:lineRule="auto"/>
      </w:pPr>
      <w:r w:rsidRPr="7F449148">
        <w:rPr>
          <w:rFonts w:eastAsia="Calibri"/>
          <w:color w:val="4471C4"/>
        </w:rPr>
        <w:t>Response:</w:t>
      </w:r>
      <w:r w:rsidR="52A98A60" w:rsidRPr="7F449148">
        <w:rPr>
          <w:rFonts w:eastAsia="Calibri"/>
          <w:color w:val="4471C4"/>
        </w:rPr>
        <w:t xml:space="preserve"> This is a </w:t>
      </w:r>
      <w:r w:rsidR="111C8AB5" w:rsidRPr="7F449148">
        <w:rPr>
          <w:rFonts w:eastAsia="Calibri"/>
          <w:color w:val="4471C4"/>
        </w:rPr>
        <w:t>valid</w:t>
      </w:r>
      <w:r w:rsidR="52A98A60" w:rsidRPr="7F449148">
        <w:rPr>
          <w:rFonts w:eastAsia="Calibri"/>
          <w:color w:val="4471C4"/>
        </w:rPr>
        <w:t xml:space="preserve"> point, and in fact</w:t>
      </w:r>
      <w:r w:rsidR="4BD20D97" w:rsidRPr="7F449148">
        <w:rPr>
          <w:rFonts w:eastAsia="Calibri"/>
          <w:color w:val="4471C4"/>
        </w:rPr>
        <w:t>,</w:t>
      </w:r>
      <w:r w:rsidR="52A98A60" w:rsidRPr="7F449148">
        <w:rPr>
          <w:rFonts w:eastAsia="Calibri"/>
          <w:color w:val="4471C4"/>
        </w:rPr>
        <w:t xml:space="preserve"> </w:t>
      </w:r>
      <w:r w:rsidR="440A67A0" w:rsidRPr="7F449148">
        <w:rPr>
          <w:rFonts w:eastAsia="Calibri"/>
          <w:color w:val="4471C4"/>
        </w:rPr>
        <w:t xml:space="preserve">in an earlier version of the manuscript </w:t>
      </w:r>
      <w:r w:rsidR="3352E7F9" w:rsidRPr="7F449148">
        <w:rPr>
          <w:rFonts w:eastAsia="Calibri"/>
          <w:color w:val="4471C4"/>
        </w:rPr>
        <w:t xml:space="preserve">we introduced all terms in full </w:t>
      </w:r>
      <w:r w:rsidR="30C077CB" w:rsidRPr="7F449148">
        <w:rPr>
          <w:rFonts w:eastAsia="Calibri"/>
          <w:color w:val="4471C4"/>
        </w:rPr>
        <w:t>in the introduction portion of the abstract. However, due to brevity (</w:t>
      </w:r>
      <w:r w:rsidR="5800D280" w:rsidRPr="7F449148">
        <w:rPr>
          <w:rFonts w:eastAsia="Calibri"/>
          <w:color w:val="4471C4"/>
        </w:rPr>
        <w:t xml:space="preserve">and more importantly, word count) we reluctantly </w:t>
      </w:r>
      <w:r w:rsidR="38C86FFC" w:rsidRPr="7F449148">
        <w:rPr>
          <w:rFonts w:eastAsia="Calibri"/>
          <w:color w:val="4471C4"/>
        </w:rPr>
        <w:t>reserved</w:t>
      </w:r>
      <w:r w:rsidR="5800D280" w:rsidRPr="7F449148">
        <w:rPr>
          <w:rFonts w:eastAsia="Calibri"/>
          <w:color w:val="4471C4"/>
        </w:rPr>
        <w:t xml:space="preserve"> the </w:t>
      </w:r>
      <w:r w:rsidR="352D3C72" w:rsidRPr="7F449148">
        <w:rPr>
          <w:rFonts w:eastAsia="Calibri"/>
          <w:color w:val="4471C4"/>
        </w:rPr>
        <w:t xml:space="preserve">main </w:t>
      </w:r>
      <w:r w:rsidR="5800D280" w:rsidRPr="7F449148">
        <w:rPr>
          <w:rFonts w:eastAsia="Calibri"/>
          <w:color w:val="4471C4"/>
        </w:rPr>
        <w:t>descriptio</w:t>
      </w:r>
      <w:r w:rsidR="4A387F39" w:rsidRPr="7F449148">
        <w:rPr>
          <w:rFonts w:eastAsia="Calibri"/>
          <w:color w:val="4471C4"/>
        </w:rPr>
        <w:t xml:space="preserve">n of these acronyms </w:t>
      </w:r>
      <w:r w:rsidR="54EBFF9E" w:rsidRPr="7F449148">
        <w:rPr>
          <w:rFonts w:eastAsia="Calibri"/>
          <w:color w:val="4471C4"/>
        </w:rPr>
        <w:t>for</w:t>
      </w:r>
      <w:r w:rsidR="4A387F39" w:rsidRPr="7F449148">
        <w:rPr>
          <w:rFonts w:eastAsia="Calibri"/>
          <w:color w:val="4471C4"/>
        </w:rPr>
        <w:t xml:space="preserve"> </w:t>
      </w:r>
      <w:r w:rsidR="216D89E4" w:rsidRPr="7F449148">
        <w:rPr>
          <w:rFonts w:eastAsia="Calibri"/>
          <w:color w:val="4471C4"/>
        </w:rPr>
        <w:t xml:space="preserve">the </w:t>
      </w:r>
      <w:r w:rsidR="359E1464" w:rsidRPr="7F449148">
        <w:rPr>
          <w:rFonts w:eastAsia="Calibri"/>
          <w:color w:val="4471C4"/>
        </w:rPr>
        <w:t>m</w:t>
      </w:r>
      <w:r w:rsidR="216D89E4" w:rsidRPr="7F449148">
        <w:rPr>
          <w:rFonts w:eastAsia="Calibri"/>
          <w:color w:val="4471C4"/>
        </w:rPr>
        <w:t>ethods section</w:t>
      </w:r>
      <w:r w:rsidR="7393BF75" w:rsidRPr="7F449148">
        <w:rPr>
          <w:rFonts w:eastAsia="Calibri"/>
          <w:color w:val="4471C4"/>
        </w:rPr>
        <w:t xml:space="preserve"> instead</w:t>
      </w:r>
      <w:r w:rsidR="216D89E4" w:rsidRPr="7F449148">
        <w:rPr>
          <w:rFonts w:eastAsia="Calibri"/>
          <w:color w:val="4471C4"/>
        </w:rPr>
        <w:t>.</w:t>
      </w:r>
      <w:r w:rsidR="00F33526">
        <w:br/>
      </w:r>
      <w:r w:rsidR="00F33526">
        <w:br/>
      </w:r>
      <w:r w:rsidR="12E81262" w:rsidRPr="7F449148">
        <w:t>6. P3L40: Report p value please</w:t>
      </w:r>
    </w:p>
    <w:p w14:paraId="3EF23403" w14:textId="3AA1DDC8" w:rsidR="00F33526" w:rsidRDefault="0FA9258C" w:rsidP="002A3A1E">
      <w:pPr>
        <w:pStyle w:val="NormalWeb"/>
        <w:spacing w:after="240" w:afterAutospacing="0" w:line="360" w:lineRule="auto"/>
        <w:rPr>
          <w:b/>
          <w:bCs/>
        </w:rPr>
      </w:pPr>
      <w:r w:rsidRPr="3EF7FB48">
        <w:rPr>
          <w:rFonts w:eastAsia="Calibri"/>
          <w:color w:val="4472C4" w:themeColor="accent1"/>
        </w:rPr>
        <w:t>Response:</w:t>
      </w:r>
      <w:r w:rsidR="0C6EC49A" w:rsidRPr="3EF7FB48">
        <w:rPr>
          <w:rFonts w:eastAsia="Calibri"/>
          <w:color w:val="4472C4" w:themeColor="accent1"/>
        </w:rPr>
        <w:t xml:space="preserve"> Corrected</w:t>
      </w:r>
      <w:r w:rsidR="2DB8D2CD" w:rsidRPr="3EF7FB48">
        <w:rPr>
          <w:rFonts w:eastAsia="Calibri"/>
          <w:color w:val="4472C4" w:themeColor="accent1"/>
        </w:rPr>
        <w:t>.</w:t>
      </w:r>
      <w:r w:rsidR="00F33526">
        <w:br/>
      </w:r>
      <w:r w:rsidR="00F33526">
        <w:br/>
      </w:r>
      <w:r w:rsidR="70A3BDAF" w:rsidRPr="3EF7FB48">
        <w:t>7. P3L42: Remove term ‘highly’ as above</w:t>
      </w:r>
    </w:p>
    <w:p w14:paraId="781EB560" w14:textId="6AD9778C" w:rsidR="00F33526" w:rsidRDefault="34DB65AB" w:rsidP="002A3A1E">
      <w:pPr>
        <w:pStyle w:val="NormalWeb"/>
        <w:spacing w:after="240" w:afterAutospacing="0" w:line="360" w:lineRule="auto"/>
      </w:pPr>
      <w:r w:rsidRPr="3EF7FB48">
        <w:rPr>
          <w:rFonts w:eastAsia="Calibri"/>
          <w:color w:val="4472C4" w:themeColor="accent1"/>
        </w:rPr>
        <w:t>Response:</w:t>
      </w:r>
      <w:r w:rsidR="5EDBF7B0" w:rsidRPr="3EF7FB48">
        <w:rPr>
          <w:rFonts w:eastAsia="Calibri"/>
          <w:color w:val="4472C4" w:themeColor="accent1"/>
        </w:rPr>
        <w:t xml:space="preserve"> Corrected.</w:t>
      </w:r>
      <w:r w:rsidR="00F33526">
        <w:br/>
      </w:r>
      <w:r w:rsidR="00F33526">
        <w:br/>
      </w:r>
      <w:r w:rsidR="70A3BDAF" w:rsidRPr="3EF7FB48">
        <w:t>Introduction</w:t>
      </w:r>
    </w:p>
    <w:p w14:paraId="6DAC8B22" w14:textId="7563EE16" w:rsidR="00F33526" w:rsidRDefault="00F33526" w:rsidP="002A3A1E">
      <w:pPr>
        <w:pStyle w:val="NormalWeb"/>
        <w:spacing w:after="240" w:afterAutospacing="0" w:line="360" w:lineRule="auto"/>
      </w:pPr>
      <w:r>
        <w:br/>
      </w:r>
      <w:r w:rsidR="70A3BDAF" w:rsidRPr="3EF7FB48">
        <w:t>1. P4L52-55: I am not aware of any Australian specific data – however there is data from other jurisdictions that suggests that there is still recreational/illicit cannabis use amongst individuals with MC prescriptions. Therefore would suggest providing citation to back up statement with respect to Australia or amendment to statement that is less definitive that there is no conflation from recreational cannabis.</w:t>
      </w:r>
    </w:p>
    <w:p w14:paraId="0D64CFEB" w14:textId="77A52F44" w:rsidR="00F33526" w:rsidRDefault="7FB3BF56" w:rsidP="002A3A1E">
      <w:pPr>
        <w:pStyle w:val="NormalWeb"/>
        <w:spacing w:after="240" w:afterAutospacing="0" w:line="360" w:lineRule="auto"/>
        <w:rPr>
          <w:rFonts w:eastAsia="Calibri"/>
          <w:color w:val="4472C4" w:themeColor="accent1"/>
        </w:rPr>
      </w:pPr>
      <w:r w:rsidRPr="3EF7FB48">
        <w:rPr>
          <w:rFonts w:eastAsia="Calibri"/>
          <w:color w:val="4472C4" w:themeColor="accent1"/>
        </w:rPr>
        <w:t>Response: We agree that this statement was likely too definitive</w:t>
      </w:r>
      <w:r w:rsidR="000D9A83" w:rsidRPr="3EF7FB48">
        <w:rPr>
          <w:rFonts w:eastAsia="Calibri"/>
          <w:color w:val="4472C4" w:themeColor="accent1"/>
        </w:rPr>
        <w:t>, and has now been amended as follows:</w:t>
      </w:r>
    </w:p>
    <w:p w14:paraId="3A361B89" w14:textId="265D928A" w:rsidR="00F33526" w:rsidRDefault="00F33526" w:rsidP="65113265">
      <w:pPr>
        <w:pStyle w:val="NormalWeb"/>
        <w:spacing w:after="240" w:afterAutospacing="0" w:line="360" w:lineRule="auto"/>
        <w:rPr>
          <w:rFonts w:eastAsia="Calibri"/>
          <w:color w:val="4472C4" w:themeColor="accent1"/>
        </w:rPr>
      </w:pPr>
      <w:r>
        <w:br/>
      </w:r>
      <w:r>
        <w:tab/>
      </w:r>
      <w:r w:rsidR="3F4803D6" w:rsidRPr="65113265">
        <w:rPr>
          <w:rFonts w:eastAsia="Times New Roman" w:cstheme="minorBidi"/>
          <w:color w:val="4472C4" w:themeColor="accent1"/>
        </w:rPr>
        <w:t>“</w:t>
      </w:r>
      <w:r w:rsidR="7DAFE217" w:rsidRPr="65113265">
        <w:rPr>
          <w:rFonts w:eastAsia="Times New Roman" w:cstheme="minorBidi"/>
          <w:color w:val="4472C4" w:themeColor="accent1"/>
        </w:rPr>
        <w:t>The continuing proscription of RC</w:t>
      </w:r>
      <w:r w:rsidR="4F67645C" w:rsidRPr="65113265">
        <w:rPr>
          <w:rFonts w:eastAsia="Times New Roman" w:cstheme="minorBidi"/>
          <w:color w:val="4472C4" w:themeColor="accent1"/>
        </w:rPr>
        <w:t>,</w:t>
      </w:r>
      <w:r w:rsidR="7DAFE217" w:rsidRPr="65113265">
        <w:rPr>
          <w:rFonts w:eastAsia="Times New Roman" w:cstheme="minorBidi"/>
          <w:color w:val="4472C4" w:themeColor="accent1"/>
        </w:rPr>
        <w:t xml:space="preserve"> and initial cannabis negative urinary screen of our cohort</w:t>
      </w:r>
      <w:r w:rsidR="6CA8C08C" w:rsidRPr="65113265">
        <w:rPr>
          <w:rFonts w:eastAsia="Times New Roman" w:cstheme="minorBidi"/>
          <w:color w:val="4472C4" w:themeColor="accent1"/>
        </w:rPr>
        <w:t xml:space="preserve"> at baseline</w:t>
      </w:r>
      <w:r w:rsidR="7DAFE217" w:rsidRPr="65113265">
        <w:rPr>
          <w:rFonts w:eastAsia="Times New Roman" w:cstheme="minorBidi"/>
          <w:color w:val="4472C4" w:themeColor="accent1"/>
        </w:rPr>
        <w:t>, provides a unique environment to evaluate oral MC where efficacy and safety can be assessed by Real World Data (RWD)</w:t>
      </w:r>
      <w:r w:rsidR="2F363893" w:rsidRPr="65113265">
        <w:rPr>
          <w:rFonts w:eastAsia="Times New Roman" w:cstheme="minorBidi"/>
          <w:color w:val="4472C4" w:themeColor="accent1"/>
        </w:rPr>
        <w:t>,</w:t>
      </w:r>
      <w:r w:rsidR="7DAFE217" w:rsidRPr="65113265">
        <w:rPr>
          <w:rFonts w:eastAsia="Times New Roman" w:cstheme="minorBidi"/>
          <w:color w:val="4472C4" w:themeColor="accent1"/>
        </w:rPr>
        <w:t xml:space="preserve"> with</w:t>
      </w:r>
      <w:r w:rsidR="7867F7B7" w:rsidRPr="65113265">
        <w:rPr>
          <w:rFonts w:eastAsia="Times New Roman" w:cstheme="minorBidi"/>
          <w:color w:val="4472C4" w:themeColor="accent1"/>
        </w:rPr>
        <w:t xml:space="preserve"> likely</w:t>
      </w:r>
      <w:r w:rsidR="7DAFE217" w:rsidRPr="65113265">
        <w:rPr>
          <w:rFonts w:eastAsia="Times New Roman" w:cstheme="minorBidi"/>
          <w:color w:val="4472C4" w:themeColor="accent1"/>
        </w:rPr>
        <w:t xml:space="preserve"> less conflation </w:t>
      </w:r>
      <w:r w:rsidR="3830A230" w:rsidRPr="65113265">
        <w:rPr>
          <w:rFonts w:eastAsia="Times New Roman" w:cstheme="minorBidi"/>
          <w:color w:val="4472C4" w:themeColor="accent1"/>
        </w:rPr>
        <w:t>of</w:t>
      </w:r>
      <w:r w:rsidR="7DAFE217" w:rsidRPr="65113265">
        <w:rPr>
          <w:rFonts w:eastAsia="Times New Roman" w:cstheme="minorBidi"/>
          <w:color w:val="4472C4" w:themeColor="accent1"/>
        </w:rPr>
        <w:t xml:space="preserve"> privately consumed unregulated and indeterminate dosed RC or inhaled MC.</w:t>
      </w:r>
      <w:r w:rsidR="3B8722D5" w:rsidRPr="65113265">
        <w:rPr>
          <w:rFonts w:eastAsia="Times New Roman" w:cstheme="minorBidi"/>
          <w:color w:val="4472C4" w:themeColor="accent1"/>
        </w:rPr>
        <w:t>”</w:t>
      </w:r>
      <w:r>
        <w:br/>
      </w:r>
      <w:r>
        <w:br/>
      </w:r>
      <w:r w:rsidR="70A3BDAF">
        <w:t>a. Of note the fact that you have to complete urinary drug screening to take part in the registry is more suggestive of this fact</w:t>
      </w:r>
      <w:r>
        <w:br/>
      </w:r>
      <w:r>
        <w:br/>
      </w:r>
      <w:r w:rsidR="70B8A59B" w:rsidRPr="65113265">
        <w:rPr>
          <w:rFonts w:eastAsia="Calibri"/>
          <w:color w:val="4472C4" w:themeColor="accent1"/>
        </w:rPr>
        <w:t xml:space="preserve">Response: Corrected (see </w:t>
      </w:r>
      <w:r w:rsidR="45352533" w:rsidRPr="65113265">
        <w:rPr>
          <w:rFonts w:eastAsia="Calibri"/>
          <w:color w:val="4472C4" w:themeColor="accent1"/>
        </w:rPr>
        <w:t xml:space="preserve">also </w:t>
      </w:r>
      <w:r w:rsidR="70B8A59B" w:rsidRPr="65113265">
        <w:rPr>
          <w:rFonts w:eastAsia="Calibri"/>
          <w:color w:val="4472C4" w:themeColor="accent1"/>
        </w:rPr>
        <w:t>response to comment above).</w:t>
      </w:r>
      <w:r>
        <w:br/>
      </w:r>
      <w:r>
        <w:br/>
      </w:r>
      <w:r w:rsidR="70A3BDAF">
        <w:t>2. P4L48: More recent data is available on medical cannabis prescribing in Australia suggesting in excess of 150,000 SAS-B approvals have been issued</w:t>
      </w:r>
      <w:r>
        <w:br/>
      </w:r>
      <w:r>
        <w:br/>
      </w:r>
      <w:r w:rsidR="21475A50" w:rsidRPr="65113265">
        <w:rPr>
          <w:rFonts w:eastAsia="Calibri"/>
          <w:color w:val="4472C4" w:themeColor="accent1"/>
        </w:rPr>
        <w:t xml:space="preserve">Response: We agree </w:t>
      </w:r>
      <w:r w:rsidR="6A9C04C5" w:rsidRPr="65113265">
        <w:rPr>
          <w:rFonts w:eastAsia="Calibri"/>
          <w:color w:val="4472C4" w:themeColor="accent1"/>
        </w:rPr>
        <w:t xml:space="preserve">with this statement </w:t>
      </w:r>
      <w:r w:rsidR="21475A50" w:rsidRPr="65113265">
        <w:rPr>
          <w:rFonts w:eastAsia="Calibri"/>
          <w:color w:val="4472C4" w:themeColor="accent1"/>
        </w:rPr>
        <w:t xml:space="preserve">regarding the </w:t>
      </w:r>
      <w:r w:rsidR="3C3BB877" w:rsidRPr="65113265">
        <w:rPr>
          <w:rFonts w:eastAsia="Calibri"/>
          <w:color w:val="4472C4" w:themeColor="accent1"/>
        </w:rPr>
        <w:t xml:space="preserve">total </w:t>
      </w:r>
      <w:r w:rsidR="21475A50" w:rsidRPr="65113265">
        <w:rPr>
          <w:rFonts w:eastAsia="Calibri"/>
          <w:color w:val="4472C4" w:themeColor="accent1"/>
        </w:rPr>
        <w:t xml:space="preserve">number of </w:t>
      </w:r>
      <w:r w:rsidR="02FC2337" w:rsidRPr="65113265">
        <w:rPr>
          <w:rFonts w:eastAsia="Calibri"/>
          <w:color w:val="4472C4" w:themeColor="accent1"/>
        </w:rPr>
        <w:t xml:space="preserve">SAS-B </w:t>
      </w:r>
      <w:r w:rsidR="21475A50" w:rsidRPr="65113265">
        <w:rPr>
          <w:rFonts w:eastAsia="Calibri"/>
          <w:color w:val="4472C4" w:themeColor="accent1"/>
        </w:rPr>
        <w:t>approvals for MC</w:t>
      </w:r>
      <w:r w:rsidR="34F64E69" w:rsidRPr="65113265">
        <w:rPr>
          <w:rFonts w:eastAsia="Calibri"/>
          <w:color w:val="4472C4" w:themeColor="accent1"/>
        </w:rPr>
        <w:t xml:space="preserve"> prescriptions</w:t>
      </w:r>
      <w:r w:rsidR="7D7BC698" w:rsidRPr="65113265">
        <w:rPr>
          <w:rFonts w:eastAsia="Calibri"/>
          <w:color w:val="4472C4" w:themeColor="accent1"/>
        </w:rPr>
        <w:t>; however, in this instance</w:t>
      </w:r>
      <w:r w:rsidR="4CB62902" w:rsidRPr="65113265">
        <w:rPr>
          <w:rFonts w:eastAsia="Calibri"/>
          <w:color w:val="4472C4" w:themeColor="accent1"/>
        </w:rPr>
        <w:t xml:space="preserve"> </w:t>
      </w:r>
      <w:r w:rsidR="133D20BB" w:rsidRPr="65113265">
        <w:rPr>
          <w:color w:val="4472C4" w:themeColor="accent1"/>
        </w:rPr>
        <w:t>our</w:t>
      </w:r>
      <w:r w:rsidR="4CB62902" w:rsidRPr="65113265">
        <w:rPr>
          <w:color w:val="4472C4" w:themeColor="accent1"/>
        </w:rPr>
        <w:t xml:space="preserve"> manuscript </w:t>
      </w:r>
      <w:r w:rsidR="6E40E765" w:rsidRPr="65113265">
        <w:rPr>
          <w:color w:val="4472C4" w:themeColor="accent1"/>
        </w:rPr>
        <w:t>was actually</w:t>
      </w:r>
      <w:r w:rsidR="4CB62902" w:rsidRPr="65113265">
        <w:rPr>
          <w:color w:val="4472C4" w:themeColor="accent1"/>
        </w:rPr>
        <w:t xml:space="preserve"> referring </w:t>
      </w:r>
      <w:r w:rsidR="785BAC75" w:rsidRPr="65113265">
        <w:rPr>
          <w:color w:val="4472C4" w:themeColor="accent1"/>
        </w:rPr>
        <w:t xml:space="preserve">to </w:t>
      </w:r>
      <w:r w:rsidR="049BB13B" w:rsidRPr="65113265">
        <w:rPr>
          <w:color w:val="4472C4" w:themeColor="accent1"/>
        </w:rPr>
        <w:t xml:space="preserve">the estimated number of </w:t>
      </w:r>
      <w:r w:rsidR="77BEC489" w:rsidRPr="65113265">
        <w:rPr>
          <w:color w:val="4472C4" w:themeColor="accent1"/>
        </w:rPr>
        <w:t>“active</w:t>
      </w:r>
      <w:r w:rsidR="3AD9A678" w:rsidRPr="65113265">
        <w:rPr>
          <w:color w:val="4472C4" w:themeColor="accent1"/>
        </w:rPr>
        <w:t>”</w:t>
      </w:r>
      <w:r w:rsidR="77BEC489" w:rsidRPr="65113265">
        <w:rPr>
          <w:color w:val="4472C4" w:themeColor="accent1"/>
        </w:rPr>
        <w:t xml:space="preserve"> </w:t>
      </w:r>
      <w:r w:rsidR="0FAF961B" w:rsidRPr="65113265">
        <w:rPr>
          <w:color w:val="4472C4" w:themeColor="accent1"/>
        </w:rPr>
        <w:t xml:space="preserve">on-going </w:t>
      </w:r>
      <w:r w:rsidR="3AD9A678" w:rsidRPr="65113265">
        <w:rPr>
          <w:color w:val="4472C4" w:themeColor="accent1"/>
        </w:rPr>
        <w:t>users of medicinal cannabis</w:t>
      </w:r>
      <w:r w:rsidR="751F741B" w:rsidRPr="65113265">
        <w:rPr>
          <w:color w:val="4472C4" w:themeColor="accent1"/>
        </w:rPr>
        <w:t xml:space="preserve"> –</w:t>
      </w:r>
      <w:r w:rsidR="41A35D46" w:rsidRPr="65113265">
        <w:rPr>
          <w:color w:val="4472C4" w:themeColor="accent1"/>
        </w:rPr>
        <w:t xml:space="preserve"> as </w:t>
      </w:r>
      <w:r w:rsidR="34F0D62A" w:rsidRPr="65113265">
        <w:rPr>
          <w:color w:val="4472C4" w:themeColor="accent1"/>
        </w:rPr>
        <w:t>highlighted within the associated</w:t>
      </w:r>
      <w:r w:rsidR="5F4A8A6C" w:rsidRPr="65113265">
        <w:rPr>
          <w:color w:val="4472C4" w:themeColor="accent1"/>
        </w:rPr>
        <w:t xml:space="preserve"> </w:t>
      </w:r>
      <w:r w:rsidR="5DD6B718" w:rsidRPr="65113265">
        <w:rPr>
          <w:color w:val="4472C4" w:themeColor="accent1"/>
        </w:rPr>
        <w:t xml:space="preserve">reference </w:t>
      </w:r>
      <w:r w:rsidR="3B41A1E3" w:rsidRPr="65113265">
        <w:rPr>
          <w:color w:val="4472C4" w:themeColor="accent1"/>
        </w:rPr>
        <w:t xml:space="preserve">[i.e., </w:t>
      </w:r>
      <w:hyperlink r:id="rId15">
        <w:r w:rsidR="5DD6B718" w:rsidRPr="65113265">
          <w:rPr>
            <w:rFonts w:eastAsia="Times New Roman" w:cstheme="minorBidi"/>
            <w:color w:val="4472C4" w:themeColor="accent1"/>
          </w:rPr>
          <w:t>Report H2 2021 | Medicinal Cannabis Industry in Australia (freshleafanalytics.com.au)</w:t>
        </w:r>
        <w:r w:rsidR="231CFF51" w:rsidRPr="65113265">
          <w:rPr>
            <w:rFonts w:eastAsia="Times New Roman" w:cstheme="minorBidi"/>
            <w:color w:val="4472C4" w:themeColor="accent1"/>
            <w:u w:val="single"/>
          </w:rPr>
          <w:t>]</w:t>
        </w:r>
      </w:hyperlink>
      <w:r w:rsidR="2606DA11" w:rsidRPr="65113265">
        <w:rPr>
          <w:color w:val="4472C4" w:themeColor="accent1"/>
        </w:rPr>
        <w:t xml:space="preserve"> – </w:t>
      </w:r>
      <w:r w:rsidR="7E891B23" w:rsidRPr="65113265">
        <w:rPr>
          <w:rFonts w:eastAsia="Times New Roman" w:cstheme="minorBidi"/>
          <w:color w:val="4472C4" w:themeColor="accent1"/>
        </w:rPr>
        <w:t xml:space="preserve">and </w:t>
      </w:r>
      <w:r w:rsidR="785BAC75" w:rsidRPr="65113265">
        <w:rPr>
          <w:rFonts w:eastAsia="Times New Roman" w:cstheme="minorBidi"/>
          <w:color w:val="4472C4" w:themeColor="accent1"/>
        </w:rPr>
        <w:t xml:space="preserve">not </w:t>
      </w:r>
      <w:r w:rsidR="785BAC75" w:rsidRPr="65113265">
        <w:rPr>
          <w:color w:val="4472C4" w:themeColor="accent1"/>
        </w:rPr>
        <w:t>the number of SAS-B approvals</w:t>
      </w:r>
      <w:r w:rsidR="471A7550" w:rsidRPr="65113265">
        <w:rPr>
          <w:color w:val="4472C4" w:themeColor="accent1"/>
        </w:rPr>
        <w:t xml:space="preserve"> for prescription.</w:t>
      </w:r>
      <w:r>
        <w:br/>
      </w:r>
      <w:r w:rsidR="3AD9A678">
        <w:t xml:space="preserve"> </w:t>
      </w:r>
      <w:r>
        <w:br/>
      </w:r>
      <w:r w:rsidR="70A3BDAF">
        <w:t>a. MacPhail SL, Bedoya-Pérez MA, Cohen R, Kotsirilos V, McGregor IS, Cairns EA. Medicinal cannabis prescribing in Australia: an analysis of trends over the first five years. Frontiers in pharmacology. 2022;13.</w:t>
      </w:r>
      <w:r>
        <w:br/>
      </w:r>
      <w:r>
        <w:br/>
      </w:r>
      <w:r w:rsidR="424FED51" w:rsidRPr="65113265">
        <w:rPr>
          <w:rFonts w:eastAsia="Calibri"/>
          <w:color w:val="4472C4" w:themeColor="accent1"/>
        </w:rPr>
        <w:t xml:space="preserve">Response: </w:t>
      </w:r>
      <w:r w:rsidR="0DFD937E" w:rsidRPr="65113265">
        <w:rPr>
          <w:rFonts w:eastAsia="Calibri"/>
          <w:color w:val="4472C4" w:themeColor="accent1"/>
        </w:rPr>
        <w:t xml:space="preserve">Following on from the </w:t>
      </w:r>
      <w:r w:rsidR="7B1405B9" w:rsidRPr="65113265">
        <w:rPr>
          <w:rFonts w:eastAsia="Calibri"/>
          <w:color w:val="4472C4" w:themeColor="accent1"/>
        </w:rPr>
        <w:t xml:space="preserve">previous </w:t>
      </w:r>
      <w:r w:rsidR="0DFD937E" w:rsidRPr="65113265">
        <w:rPr>
          <w:rFonts w:eastAsia="Calibri"/>
          <w:color w:val="4472C4" w:themeColor="accent1"/>
        </w:rPr>
        <w:t>response</w:t>
      </w:r>
      <w:r w:rsidR="424FED51" w:rsidRPr="65113265">
        <w:rPr>
          <w:rFonts w:eastAsia="Calibri"/>
          <w:color w:val="4472C4" w:themeColor="accent1"/>
        </w:rPr>
        <w:t xml:space="preserve">, </w:t>
      </w:r>
      <w:r w:rsidR="191974A0" w:rsidRPr="65113265">
        <w:rPr>
          <w:rFonts w:eastAsia="Calibri"/>
          <w:color w:val="4472C4" w:themeColor="accent1"/>
        </w:rPr>
        <w:t>it is worth noting that</w:t>
      </w:r>
      <w:r w:rsidR="342B94C7">
        <w:t xml:space="preserve"> </w:t>
      </w:r>
      <w:r w:rsidR="1CB3E36A" w:rsidRPr="65113265">
        <w:rPr>
          <w:color w:val="4472C4" w:themeColor="accent1"/>
        </w:rPr>
        <w:t xml:space="preserve">the data </w:t>
      </w:r>
      <w:r w:rsidR="12BE7774" w:rsidRPr="65113265">
        <w:rPr>
          <w:color w:val="4472C4" w:themeColor="accent1"/>
        </w:rPr>
        <w:t xml:space="preserve">used </w:t>
      </w:r>
      <w:r w:rsidR="1CB3E36A" w:rsidRPr="65113265">
        <w:rPr>
          <w:color w:val="4472C4" w:themeColor="accent1"/>
        </w:rPr>
        <w:t xml:space="preserve">in the </w:t>
      </w:r>
      <w:r w:rsidR="1590ADE5" w:rsidRPr="65113265">
        <w:rPr>
          <w:color w:val="4472C4" w:themeColor="accent1"/>
        </w:rPr>
        <w:t>paper mentioned above</w:t>
      </w:r>
      <w:r w:rsidR="1CB3E36A" w:rsidRPr="65113265">
        <w:rPr>
          <w:color w:val="4472C4" w:themeColor="accent1"/>
        </w:rPr>
        <w:t xml:space="preserve"> </w:t>
      </w:r>
      <w:r w:rsidR="15397652" w:rsidRPr="65113265">
        <w:rPr>
          <w:color w:val="4472C4" w:themeColor="accent1"/>
        </w:rPr>
        <w:t xml:space="preserve">(MacPhail 2022) </w:t>
      </w:r>
      <w:r w:rsidR="1CB3E36A" w:rsidRPr="65113265">
        <w:rPr>
          <w:color w:val="4472C4" w:themeColor="accent1"/>
        </w:rPr>
        <w:t>only includes SAS-B prescriptions</w:t>
      </w:r>
      <w:r w:rsidR="616AD87F" w:rsidRPr="65113265">
        <w:rPr>
          <w:color w:val="4472C4" w:themeColor="accent1"/>
        </w:rPr>
        <w:t xml:space="preserve"> from January 202</w:t>
      </w:r>
      <w:r w:rsidR="180B4CFE" w:rsidRPr="65113265">
        <w:rPr>
          <w:color w:val="4472C4" w:themeColor="accent1"/>
        </w:rPr>
        <w:t>0</w:t>
      </w:r>
      <w:r w:rsidR="7A77F27B" w:rsidRPr="65113265">
        <w:rPr>
          <w:color w:val="4472C4" w:themeColor="accent1"/>
        </w:rPr>
        <w:t xml:space="preserve">.  </w:t>
      </w:r>
      <w:r w:rsidR="1EB05ADB" w:rsidRPr="65113265">
        <w:rPr>
          <w:color w:val="4472C4" w:themeColor="accent1"/>
        </w:rPr>
        <w:t>N</w:t>
      </w:r>
      <w:r w:rsidR="4BF31617" w:rsidRPr="65113265">
        <w:rPr>
          <w:color w:val="4472C4" w:themeColor="accent1"/>
        </w:rPr>
        <w:t>early 50% of prescription</w:t>
      </w:r>
      <w:r w:rsidR="10E029D7" w:rsidRPr="65113265">
        <w:rPr>
          <w:color w:val="4472C4" w:themeColor="accent1"/>
        </w:rPr>
        <w:t>s</w:t>
      </w:r>
      <w:r w:rsidR="3600C72C" w:rsidRPr="65113265">
        <w:rPr>
          <w:color w:val="4472C4" w:themeColor="accent1"/>
        </w:rPr>
        <w:t xml:space="preserve"> </w:t>
      </w:r>
      <w:r w:rsidR="2803D86F" w:rsidRPr="65113265">
        <w:rPr>
          <w:color w:val="4472C4" w:themeColor="accent1"/>
        </w:rPr>
        <w:t xml:space="preserve">in Australia for medicinal cannabis are derived from </w:t>
      </w:r>
      <w:r w:rsidR="4BF31617" w:rsidRPr="65113265">
        <w:rPr>
          <w:color w:val="4472C4" w:themeColor="accent1"/>
        </w:rPr>
        <w:t xml:space="preserve">the </w:t>
      </w:r>
      <w:r w:rsidR="122D5EF3" w:rsidRPr="65113265">
        <w:rPr>
          <w:color w:val="4472C4" w:themeColor="accent1"/>
        </w:rPr>
        <w:t xml:space="preserve">TGA </w:t>
      </w:r>
      <w:r w:rsidR="4BF31617" w:rsidRPr="65113265">
        <w:rPr>
          <w:color w:val="4472C4" w:themeColor="accent1"/>
        </w:rPr>
        <w:t>Authorised prescriber</w:t>
      </w:r>
      <w:r w:rsidR="122D5EF3" w:rsidRPr="65113265">
        <w:rPr>
          <w:color w:val="4472C4" w:themeColor="accent1"/>
        </w:rPr>
        <w:t xml:space="preserve"> pathway</w:t>
      </w:r>
      <w:r w:rsidR="7552E6DF" w:rsidRPr="65113265">
        <w:rPr>
          <w:color w:val="4472C4" w:themeColor="accent1"/>
        </w:rPr>
        <w:t xml:space="preserve"> which are not included in the SAS-B pathway</w:t>
      </w:r>
      <w:r w:rsidR="3FB89B97" w:rsidRPr="65113265">
        <w:rPr>
          <w:color w:val="4472C4" w:themeColor="accent1"/>
        </w:rPr>
        <w:t xml:space="preserve">. </w:t>
      </w:r>
      <w:r w:rsidR="216AA7B4" w:rsidRPr="65113265">
        <w:rPr>
          <w:color w:val="4472C4" w:themeColor="accent1"/>
        </w:rPr>
        <w:t>Further, i</w:t>
      </w:r>
      <w:r w:rsidR="1A7BB212" w:rsidRPr="65113265">
        <w:rPr>
          <w:color w:val="4472C4" w:themeColor="accent1"/>
        </w:rPr>
        <w:t>n our setting,</w:t>
      </w:r>
      <w:r w:rsidR="3FB89B97" w:rsidRPr="65113265">
        <w:rPr>
          <w:color w:val="4472C4" w:themeColor="accent1"/>
        </w:rPr>
        <w:t xml:space="preserve"> </w:t>
      </w:r>
      <w:r w:rsidR="469A7E45" w:rsidRPr="65113265">
        <w:rPr>
          <w:color w:val="4472C4" w:themeColor="accent1"/>
        </w:rPr>
        <w:t>the</w:t>
      </w:r>
      <w:r w:rsidR="3FB89B97" w:rsidRPr="65113265">
        <w:rPr>
          <w:color w:val="4472C4" w:themeColor="accent1"/>
        </w:rPr>
        <w:t xml:space="preserve"> data</w:t>
      </w:r>
      <w:r w:rsidR="66804B3A" w:rsidRPr="65113265">
        <w:rPr>
          <w:color w:val="4472C4" w:themeColor="accent1"/>
        </w:rPr>
        <w:t xml:space="preserve"> used in the manuscript</w:t>
      </w:r>
      <w:r w:rsidR="3FB89B97" w:rsidRPr="65113265">
        <w:rPr>
          <w:color w:val="4472C4" w:themeColor="accent1"/>
        </w:rPr>
        <w:t xml:space="preserve"> includ</w:t>
      </w:r>
      <w:r w:rsidR="7B180E1B" w:rsidRPr="65113265">
        <w:rPr>
          <w:color w:val="4472C4" w:themeColor="accent1"/>
        </w:rPr>
        <w:t>es</w:t>
      </w:r>
      <w:r w:rsidR="3FB89B97" w:rsidRPr="65113265">
        <w:rPr>
          <w:color w:val="4472C4" w:themeColor="accent1"/>
        </w:rPr>
        <w:t xml:space="preserve"> patients who have been taking medicinal cannabis since December 2018</w:t>
      </w:r>
      <w:r w:rsidR="084ED5F9" w:rsidRPr="65113265">
        <w:rPr>
          <w:color w:val="4472C4" w:themeColor="accent1"/>
        </w:rPr>
        <w:t>.</w:t>
      </w:r>
      <w:r>
        <w:br/>
      </w:r>
      <w:r>
        <w:br/>
      </w:r>
      <w:r w:rsidR="70A3BDAF">
        <w:t>3. P4L63-65: You don’t use ODC, S4 or S8 again in manuscript so suggest removal for clarity</w:t>
      </w:r>
      <w:r>
        <w:br/>
      </w:r>
      <w:r>
        <w:br/>
      </w:r>
      <w:r w:rsidR="7DE495DF" w:rsidRPr="65113265">
        <w:rPr>
          <w:rFonts w:eastAsia="Calibri"/>
          <w:color w:val="4472C4" w:themeColor="accent1"/>
        </w:rPr>
        <w:t xml:space="preserve">Response: </w:t>
      </w:r>
      <w:r w:rsidR="27506C16" w:rsidRPr="65113265">
        <w:rPr>
          <w:rFonts w:eastAsia="Calibri"/>
          <w:color w:val="4472C4" w:themeColor="accent1"/>
        </w:rPr>
        <w:t xml:space="preserve">Thank you. </w:t>
      </w:r>
      <w:r w:rsidR="7DE495DF" w:rsidRPr="65113265">
        <w:rPr>
          <w:rFonts w:eastAsia="Calibri"/>
          <w:color w:val="4472C4" w:themeColor="accent1"/>
        </w:rPr>
        <w:t>Corrected.</w:t>
      </w:r>
      <w:r>
        <w:br/>
      </w:r>
      <w:r>
        <w:br/>
      </w:r>
      <w:r w:rsidR="70A3BDAF">
        <w:t>4. P4L64-65: Repetition that CBD is a schedule 4 product.</w:t>
      </w:r>
      <w:r>
        <w:br/>
      </w:r>
      <w:r>
        <w:br/>
      </w:r>
      <w:r w:rsidR="2F986DBB" w:rsidRPr="65113265">
        <w:rPr>
          <w:rFonts w:eastAsia="Calibri"/>
          <w:color w:val="4472C4" w:themeColor="accent1"/>
        </w:rPr>
        <w:t xml:space="preserve">Response: Thank you for pointing out this slight oversight. The </w:t>
      </w:r>
      <w:r w:rsidR="08906DFC" w:rsidRPr="65113265">
        <w:rPr>
          <w:rFonts w:eastAsia="Calibri"/>
          <w:color w:val="4472C4" w:themeColor="accent1"/>
        </w:rPr>
        <w:t xml:space="preserve">respective </w:t>
      </w:r>
      <w:r w:rsidR="2F986DBB" w:rsidRPr="65113265">
        <w:rPr>
          <w:rFonts w:eastAsia="Calibri"/>
          <w:color w:val="4472C4" w:themeColor="accent1"/>
        </w:rPr>
        <w:t>paragraph now reads:</w:t>
      </w:r>
    </w:p>
    <w:p w14:paraId="60A2C126" w14:textId="583FAB76" w:rsidR="00F33526" w:rsidRDefault="0DC40716" w:rsidP="002A3A1E">
      <w:pPr>
        <w:pStyle w:val="NormalWeb"/>
        <w:spacing w:after="240" w:afterAutospacing="0" w:line="360" w:lineRule="auto"/>
        <w:ind w:firstLine="720"/>
        <w:rPr>
          <w:rFonts w:eastAsia="Calibri"/>
        </w:rPr>
      </w:pPr>
      <w:r w:rsidRPr="3EF7FB48">
        <w:rPr>
          <w:color w:val="4472C4" w:themeColor="accent1"/>
        </w:rPr>
        <w:t>“</w:t>
      </w:r>
      <w:r w:rsidRPr="3EF7FB48">
        <w:rPr>
          <w:rFonts w:eastAsia="Times New Roman" w:cstheme="minorBidi"/>
          <w:color w:val="4472C4" w:themeColor="accent1"/>
        </w:rPr>
        <w:t>THC is a 'Controlled Drug' under Schedule 8 of the Poisons Standard.  CBD products are Schedule 4 and must be prescribed by a registered medical practitioner and contain at least 98% CBD and 2% or less of other minor cannabinoids including THC</w:t>
      </w:r>
      <w:r w:rsidRPr="3EF7FB48">
        <w:rPr>
          <w:color w:val="4472C4" w:themeColor="accent1"/>
        </w:rPr>
        <w:t>”</w:t>
      </w:r>
      <w:r w:rsidR="00F33526">
        <w:br/>
      </w:r>
      <w:r w:rsidR="00F33526">
        <w:br/>
      </w:r>
      <w:r w:rsidR="70A3BDAF" w:rsidRPr="3EF7FB48">
        <w:t>5. P4L71: Please change RCT to RCTs</w:t>
      </w:r>
      <w:r w:rsidR="00F33526">
        <w:br/>
      </w:r>
      <w:r w:rsidR="00F33526">
        <w:br/>
      </w:r>
      <w:r w:rsidR="37B7EA62" w:rsidRPr="3EF7FB48">
        <w:rPr>
          <w:rFonts w:eastAsia="Calibri"/>
          <w:color w:val="4472C4" w:themeColor="accent1"/>
        </w:rPr>
        <w:t>Response: Corrected.</w:t>
      </w:r>
      <w:r w:rsidR="00F33526">
        <w:br/>
      </w:r>
      <w:r w:rsidR="00F33526">
        <w:br/>
      </w:r>
      <w:r w:rsidR="70A3BDAF" w:rsidRPr="3EF7FB48">
        <w:t>6. P4L71: You have already introduced RWD as an acronym earlier in introduction – can just use.</w:t>
      </w:r>
      <w:r w:rsidR="00F33526">
        <w:br/>
      </w:r>
      <w:r w:rsidR="00F33526">
        <w:br/>
      </w:r>
      <w:r w:rsidR="4FEBAE26" w:rsidRPr="3EF7FB48">
        <w:rPr>
          <w:rFonts w:eastAsia="Calibri"/>
          <w:color w:val="4472C4" w:themeColor="accent1"/>
        </w:rPr>
        <w:t>Response: Corrected.</w:t>
      </w:r>
      <w:r w:rsidR="00F33526">
        <w:br/>
      </w:r>
      <w:r w:rsidR="00F33526">
        <w:br/>
      </w:r>
      <w:r w:rsidR="70A3BDAF" w:rsidRPr="3EF7FB48">
        <w:t>7. P5L88/89: The term oral MCs doesn’t quite make sense as using the acronym is like saying oral medicinal cannabises, would keep as oral MC or oral MC products.</w:t>
      </w:r>
      <w:r w:rsidR="00F33526">
        <w:br/>
      </w:r>
      <w:r w:rsidR="00F33526">
        <w:br/>
      </w:r>
      <w:r w:rsidR="1A91409F" w:rsidRPr="3EF7FB48">
        <w:rPr>
          <w:rFonts w:eastAsia="Calibri"/>
          <w:color w:val="4472C4" w:themeColor="accent1"/>
        </w:rPr>
        <w:t>Response: Corrected.</w:t>
      </w:r>
      <w:r w:rsidR="00F33526">
        <w:br/>
      </w:r>
      <w:r w:rsidR="00F33526">
        <w:br/>
      </w:r>
      <w:r w:rsidR="70A3BDAF" w:rsidRPr="3EF7FB48">
        <w:rPr>
          <w:rFonts w:eastAsia="Calibri"/>
        </w:rPr>
        <w:t>Methods</w:t>
      </w:r>
    </w:p>
    <w:p w14:paraId="440A6437" w14:textId="32D6BA25" w:rsidR="00F33526" w:rsidRDefault="00F33526" w:rsidP="002A3A1E">
      <w:pPr>
        <w:pStyle w:val="NormalWeb"/>
        <w:spacing w:after="240" w:afterAutospacing="0" w:line="360" w:lineRule="auto"/>
        <w:rPr>
          <w:rFonts w:eastAsia="Calibri"/>
        </w:rPr>
      </w:pPr>
      <w:r>
        <w:br/>
      </w:r>
      <w:r w:rsidR="70A3BDAF" w:rsidRPr="3EF7FB48">
        <w:t>1. There is switching throughout of the past and present tense, please make sure to keep consistent throughout.</w:t>
      </w:r>
      <w:r>
        <w:br/>
      </w:r>
      <w:r>
        <w:br/>
      </w:r>
      <w:r w:rsidR="7CEF004C" w:rsidRPr="3EF7FB48">
        <w:rPr>
          <w:rFonts w:eastAsia="Calibri"/>
          <w:color w:val="4472C4" w:themeColor="accent1"/>
        </w:rPr>
        <w:t>Response: Corrected.</w:t>
      </w:r>
      <w:r w:rsidR="2FF03653" w:rsidRPr="3EF7FB48">
        <w:rPr>
          <w:rFonts w:eastAsia="Calibri"/>
          <w:color w:val="4472C4" w:themeColor="accent1"/>
        </w:rPr>
        <w:t xml:space="preserve"> Thank you.  The switching confusion relates to the difference between the description of the AECeR, which is an ongoing continuing contemporary registry of patients (present tense), and the cohort for analysis which is described in the past tense in the analysis.  Apologies for the confusion and this has been made consistent in the past tense throughout.</w:t>
      </w:r>
      <w:r>
        <w:br/>
      </w:r>
      <w:r>
        <w:br/>
      </w:r>
      <w:r w:rsidR="70A3BDAF" w:rsidRPr="3EF7FB48">
        <w:t>2. P6L112-114: Please make clear that listed contraindications are reasons to not prescribe medical cannabis, and this is why they were excluded, rather than these patients otherwise being prescribed medical cannabis but their data just not being captured by the registry.</w:t>
      </w:r>
      <w:r>
        <w:br/>
      </w:r>
      <w:r>
        <w:br/>
      </w:r>
      <w:r w:rsidR="186A2384" w:rsidRPr="3EF7FB48">
        <w:rPr>
          <w:rFonts w:eastAsia="Calibri"/>
          <w:color w:val="4472C4" w:themeColor="accent1"/>
        </w:rPr>
        <w:t xml:space="preserve">Response: </w:t>
      </w:r>
      <w:r w:rsidR="4AB1CB8A" w:rsidRPr="3EF7FB48">
        <w:rPr>
          <w:rFonts w:eastAsia="Calibri"/>
          <w:color w:val="4472C4" w:themeColor="accent1"/>
        </w:rPr>
        <w:t xml:space="preserve">We agree that the original </w:t>
      </w:r>
      <w:r w:rsidR="46AC0A0F" w:rsidRPr="3EF7FB48">
        <w:rPr>
          <w:rFonts w:eastAsia="Calibri"/>
          <w:color w:val="4472C4" w:themeColor="accent1"/>
        </w:rPr>
        <w:t xml:space="preserve">description </w:t>
      </w:r>
      <w:r w:rsidR="4AB1CB8A" w:rsidRPr="3EF7FB48">
        <w:rPr>
          <w:rFonts w:eastAsia="Calibri"/>
          <w:color w:val="4472C4" w:themeColor="accent1"/>
        </w:rPr>
        <w:t xml:space="preserve">may have come across as </w:t>
      </w:r>
      <w:r w:rsidR="5A2CE4FF" w:rsidRPr="3EF7FB48">
        <w:rPr>
          <w:rFonts w:eastAsia="Calibri"/>
          <w:color w:val="4472C4" w:themeColor="accent1"/>
        </w:rPr>
        <w:t xml:space="preserve">less clear and have amended the </w:t>
      </w:r>
      <w:r w:rsidR="284C1774" w:rsidRPr="3EF7FB48">
        <w:rPr>
          <w:rFonts w:eastAsia="Calibri"/>
          <w:color w:val="4472C4" w:themeColor="accent1"/>
        </w:rPr>
        <w:t xml:space="preserve">corresponding </w:t>
      </w:r>
      <w:r w:rsidR="5A2CE4FF" w:rsidRPr="3EF7FB48">
        <w:rPr>
          <w:rFonts w:eastAsia="Calibri"/>
          <w:color w:val="4472C4" w:themeColor="accent1"/>
        </w:rPr>
        <w:t xml:space="preserve">statement </w:t>
      </w:r>
      <w:r w:rsidR="2E3E24F9" w:rsidRPr="3EF7FB48">
        <w:rPr>
          <w:rFonts w:eastAsia="Calibri"/>
          <w:color w:val="4472C4" w:themeColor="accent1"/>
        </w:rPr>
        <w:t>as follows:</w:t>
      </w:r>
    </w:p>
    <w:p w14:paraId="3351B3D8" w14:textId="3DD0AC50" w:rsidR="00F33526" w:rsidRDefault="0267C0DF" w:rsidP="002A3A1E">
      <w:pPr>
        <w:pStyle w:val="NormalWeb"/>
        <w:spacing w:after="240" w:afterAutospacing="0" w:line="360" w:lineRule="auto"/>
        <w:ind w:firstLine="720"/>
        <w:rPr>
          <w:rFonts w:eastAsia="Times New Roman" w:cstheme="minorBidi"/>
          <w:color w:val="4472C4" w:themeColor="accent1"/>
        </w:rPr>
      </w:pPr>
      <w:r w:rsidRPr="3EF7FB48">
        <w:rPr>
          <w:color w:val="4472C4" w:themeColor="accent1"/>
        </w:rPr>
        <w:t>“</w:t>
      </w:r>
      <w:r w:rsidR="339CB462" w:rsidRPr="3EF7FB48">
        <w:rPr>
          <w:rFonts w:eastAsia="Times New Roman" w:cstheme="minorBidi"/>
          <w:color w:val="4472C4" w:themeColor="accent1"/>
        </w:rPr>
        <w:t xml:space="preserve">Presence of urinary-THC was an exclusion for AECeR except in compassionate use (e.g., palliative care). </w:t>
      </w:r>
      <w:r w:rsidR="5F118BF3" w:rsidRPr="3EF7FB48">
        <w:rPr>
          <w:rFonts w:eastAsia="Times New Roman" w:cstheme="minorBidi"/>
          <w:color w:val="4472C4" w:themeColor="accent1"/>
        </w:rPr>
        <w:t xml:space="preserve">Moreover, </w:t>
      </w:r>
      <w:r w:rsidR="518D03FB" w:rsidRPr="3EF7FB48">
        <w:rPr>
          <w:rFonts w:eastAsia="Times New Roman" w:cstheme="minorBidi"/>
          <w:color w:val="4472C4" w:themeColor="accent1"/>
        </w:rPr>
        <w:t>p</w:t>
      </w:r>
      <w:r w:rsidR="339CB462" w:rsidRPr="3EF7FB48">
        <w:rPr>
          <w:rFonts w:eastAsia="Times New Roman" w:cstheme="minorBidi"/>
          <w:color w:val="4472C4" w:themeColor="accent1"/>
        </w:rPr>
        <w:t xml:space="preserve">regnancy and breast feeding, serious cardiac disease, and serious mental health conditions (including past history of psychosis and suicidality) </w:t>
      </w:r>
      <w:r w:rsidR="659D3501" w:rsidRPr="3EF7FB48">
        <w:rPr>
          <w:rFonts w:eastAsia="Times New Roman" w:cstheme="minorBidi"/>
          <w:color w:val="4472C4" w:themeColor="accent1"/>
        </w:rPr>
        <w:t>were all precluded from any</w:t>
      </w:r>
      <w:r w:rsidR="339CB462" w:rsidRPr="3EF7FB48">
        <w:rPr>
          <w:rFonts w:eastAsia="Times New Roman" w:cstheme="minorBidi"/>
          <w:color w:val="4472C4" w:themeColor="accent1"/>
        </w:rPr>
        <w:t xml:space="preserve"> prescription</w:t>
      </w:r>
      <w:r w:rsidR="6F0B0355" w:rsidRPr="3EF7FB48">
        <w:rPr>
          <w:rFonts w:eastAsia="Times New Roman" w:cstheme="minorBidi"/>
          <w:color w:val="4472C4" w:themeColor="accent1"/>
        </w:rPr>
        <w:t>s</w:t>
      </w:r>
      <w:r w:rsidR="339CB462" w:rsidRPr="3EF7FB48">
        <w:rPr>
          <w:rFonts w:eastAsia="Times New Roman" w:cstheme="minorBidi"/>
          <w:color w:val="4472C4" w:themeColor="accent1"/>
        </w:rPr>
        <w:t xml:space="preserve"> of oral MC and</w:t>
      </w:r>
      <w:r w:rsidR="1653EC0A" w:rsidRPr="3EF7FB48">
        <w:rPr>
          <w:rFonts w:eastAsia="Times New Roman" w:cstheme="minorBidi"/>
          <w:color w:val="4472C4" w:themeColor="accent1"/>
        </w:rPr>
        <w:t xml:space="preserve"> thus,</w:t>
      </w:r>
      <w:r w:rsidR="339CB462" w:rsidRPr="3EF7FB48">
        <w:rPr>
          <w:rFonts w:eastAsia="Times New Roman" w:cstheme="minorBidi"/>
          <w:color w:val="4472C4" w:themeColor="accent1"/>
        </w:rPr>
        <w:t xml:space="preserve"> were also </w:t>
      </w:r>
      <w:r w:rsidR="22CE597A" w:rsidRPr="3EF7FB48">
        <w:rPr>
          <w:rFonts w:eastAsia="Times New Roman" w:cstheme="minorBidi"/>
          <w:color w:val="4472C4" w:themeColor="accent1"/>
        </w:rPr>
        <w:t>omitted</w:t>
      </w:r>
      <w:r w:rsidR="339CB462" w:rsidRPr="3EF7FB48">
        <w:rPr>
          <w:rFonts w:eastAsia="Times New Roman" w:cstheme="minorBidi"/>
          <w:color w:val="4472C4" w:themeColor="accent1"/>
        </w:rPr>
        <w:t>.</w:t>
      </w:r>
      <w:r w:rsidR="3623F64C" w:rsidRPr="3EF7FB48">
        <w:rPr>
          <w:rFonts w:eastAsia="Times New Roman" w:cstheme="minorBidi"/>
          <w:color w:val="4472C4" w:themeColor="accent1"/>
        </w:rPr>
        <w:t>”</w:t>
      </w:r>
    </w:p>
    <w:p w14:paraId="1720978E" w14:textId="13F904E7" w:rsidR="00F33526" w:rsidRDefault="5A7763CC" w:rsidP="65113265">
      <w:pPr>
        <w:pStyle w:val="NormalWeb"/>
        <w:spacing w:after="240" w:afterAutospacing="0" w:line="360" w:lineRule="auto"/>
        <w:rPr>
          <w:rFonts w:eastAsia="Calibri"/>
        </w:rPr>
      </w:pPr>
      <w:r>
        <w:br/>
      </w:r>
      <w:r w:rsidR="70A3BDAF">
        <w:t>3. P10L178: You have put the citation in a different position here compared to rest of document. Just need to make sure consistent throughout.</w:t>
      </w:r>
      <w:r>
        <w:br/>
      </w:r>
      <w:r>
        <w:br/>
      </w:r>
      <w:r w:rsidR="292C5E04" w:rsidRPr="65113265">
        <w:rPr>
          <w:rFonts w:eastAsia="Calibri"/>
          <w:color w:val="4472C4" w:themeColor="accent1"/>
        </w:rPr>
        <w:t>Response: Corrected</w:t>
      </w:r>
      <w:r>
        <w:br/>
      </w:r>
      <w:r>
        <w:br/>
      </w:r>
      <w:r w:rsidR="70A3BDAF">
        <w:t>4. P10L186-P11L207: Would move this section to beginning of methods section after L114</w:t>
      </w:r>
      <w:r>
        <w:br/>
      </w:r>
      <w:r>
        <w:br/>
      </w:r>
      <w:r w:rsidR="30C3336F" w:rsidRPr="65113265">
        <w:rPr>
          <w:rFonts w:eastAsia="Calibri"/>
          <w:color w:val="4472C4" w:themeColor="accent1"/>
        </w:rPr>
        <w:t>Response: Corrected.</w:t>
      </w:r>
      <w:r>
        <w:br/>
      </w:r>
      <w:r>
        <w:br/>
      </w:r>
      <w:r w:rsidR="70A3BDAF">
        <w:t>5. P11L196: Please outline what your independent advice was?</w:t>
      </w:r>
      <w:r>
        <w:br/>
      </w:r>
      <w:r>
        <w:br/>
      </w:r>
      <w:r w:rsidR="7EF00EFD" w:rsidRPr="65113265">
        <w:rPr>
          <w:rFonts w:eastAsia="Calibri"/>
          <w:color w:val="4472C4" w:themeColor="accent1"/>
        </w:rPr>
        <w:t xml:space="preserve">Response: </w:t>
      </w:r>
      <w:r w:rsidR="38354AF3" w:rsidRPr="65113265">
        <w:rPr>
          <w:rFonts w:eastAsia="Calibri"/>
          <w:color w:val="4472C4" w:themeColor="accent1"/>
        </w:rPr>
        <w:t xml:space="preserve">As regarding our ethics statement (comment#3) </w:t>
      </w:r>
      <w:r w:rsidR="3A011758" w:rsidRPr="65113265">
        <w:rPr>
          <w:rFonts w:asciiTheme="minorHAnsi" w:eastAsia="MS Mincho" w:hAnsiTheme="minorHAnsi" w:cstheme="minorBidi"/>
          <w:color w:val="4472C4" w:themeColor="accent1"/>
          <w:lang w:val="en-US" w:eastAsia="en-US"/>
        </w:rPr>
        <w:t xml:space="preserve">independent </w:t>
      </w:r>
      <w:r w:rsidR="3A011758" w:rsidRPr="65113265">
        <w:rPr>
          <w:rFonts w:eastAsia="MS Mincho" w:cstheme="minorBidi"/>
          <w:color w:val="4472C4" w:themeColor="accent1"/>
          <w:lang w:val="en-US"/>
        </w:rPr>
        <w:t>advice was provided by</w:t>
      </w:r>
      <w:r w:rsidR="3A011758" w:rsidRPr="65113265">
        <w:rPr>
          <w:rFonts w:asciiTheme="minorHAnsi" w:eastAsia="MS Mincho" w:hAnsiTheme="minorHAnsi" w:cstheme="minorBidi"/>
          <w:color w:val="4472C4" w:themeColor="accent1"/>
          <w:lang w:val="en-US" w:eastAsia="en-US"/>
        </w:rPr>
        <w:t xml:space="preserve"> Prof</w:t>
      </w:r>
      <w:r w:rsidR="3A011758" w:rsidRPr="65113265">
        <w:rPr>
          <w:rFonts w:eastAsia="MS Mincho" w:cstheme="minorBidi"/>
          <w:color w:val="4472C4" w:themeColor="accent1"/>
          <w:lang w:val="en-US"/>
        </w:rPr>
        <w:t>essor</w:t>
      </w:r>
      <w:r w:rsidR="3A011758" w:rsidRPr="65113265">
        <w:rPr>
          <w:rFonts w:asciiTheme="minorHAnsi" w:eastAsia="MS Mincho" w:hAnsiTheme="minorHAnsi" w:cstheme="minorBidi"/>
          <w:color w:val="4472C4" w:themeColor="accent1"/>
          <w:lang w:val="en-US" w:eastAsia="en-US"/>
        </w:rPr>
        <w:t xml:space="preserve"> Nik Zeps </w:t>
      </w:r>
      <w:r w:rsidR="3A011758" w:rsidRPr="65113265">
        <w:rPr>
          <w:color w:val="4472C4" w:themeColor="accent1"/>
        </w:rPr>
        <w:t>inaugural Group Director of Research for Epworth HealthCare,</w:t>
      </w:r>
      <w:r w:rsidR="3A011758" w:rsidRPr="65113265">
        <w:rPr>
          <w:rFonts w:asciiTheme="minorHAnsi" w:eastAsia="MS Mincho" w:hAnsiTheme="minorHAnsi" w:cstheme="minorBidi"/>
          <w:color w:val="4472C4" w:themeColor="accent1"/>
          <w:lang w:val="en-US" w:eastAsia="en-US"/>
        </w:rPr>
        <w:t xml:space="preserve"> to ensure</w:t>
      </w:r>
      <w:r w:rsidR="1018FD9E" w:rsidRPr="65113265">
        <w:rPr>
          <w:rFonts w:asciiTheme="minorHAnsi" w:eastAsia="MS Mincho" w:hAnsiTheme="minorHAnsi" w:cstheme="minorBidi"/>
          <w:color w:val="4472C4" w:themeColor="accent1"/>
          <w:lang w:val="en-US" w:eastAsia="en-US"/>
        </w:rPr>
        <w:t xml:space="preserve"> that</w:t>
      </w:r>
      <w:r w:rsidR="3A011758" w:rsidRPr="65113265">
        <w:rPr>
          <w:rFonts w:asciiTheme="minorHAnsi" w:eastAsia="MS Mincho" w:hAnsiTheme="minorHAnsi" w:cstheme="minorBidi"/>
          <w:color w:val="4472C4" w:themeColor="accent1"/>
          <w:lang w:val="en-US" w:eastAsia="en-US"/>
        </w:rPr>
        <w:t xml:space="preserve"> it met all ethical standards.</w:t>
      </w:r>
      <w:r>
        <w:br/>
      </w:r>
      <w:r w:rsidR="70A3BDAF">
        <w:t>6. P11L196: Missing full stop at end of paragraph.</w:t>
      </w:r>
      <w:r>
        <w:br/>
      </w:r>
      <w:r>
        <w:br/>
      </w:r>
      <w:r w:rsidR="4B7B97FE" w:rsidRPr="65113265">
        <w:rPr>
          <w:rFonts w:eastAsia="Calibri"/>
          <w:color w:val="4472C4" w:themeColor="accent1"/>
        </w:rPr>
        <w:t>Response: Corrected.</w:t>
      </w:r>
      <w:r>
        <w:br/>
      </w:r>
      <w:r>
        <w:br/>
      </w:r>
      <w:r w:rsidR="70A3BDAF">
        <w:t>7. P12L219: How did you decide your data was parametric</w:t>
      </w:r>
      <w:r>
        <w:br/>
      </w:r>
      <w:r w:rsidRPr="65113265">
        <w:rPr>
          <w:rFonts w:eastAsia="Calibri"/>
          <w:color w:val="4471C4"/>
        </w:rPr>
        <w:t xml:space="preserve">Response: </w:t>
      </w:r>
      <w:r w:rsidR="1059392C" w:rsidRPr="65113265">
        <w:rPr>
          <w:rFonts w:eastAsia="Calibri"/>
          <w:color w:val="4471C4"/>
        </w:rPr>
        <w:t xml:space="preserve">This is another key question that </w:t>
      </w:r>
      <w:r w:rsidR="4E9E7337" w:rsidRPr="65113265">
        <w:rPr>
          <w:rFonts w:eastAsia="Calibri"/>
          <w:color w:val="4471C4"/>
        </w:rPr>
        <w:t>may have been less clear</w:t>
      </w:r>
      <w:r w:rsidR="6C7AFCF7" w:rsidRPr="65113265">
        <w:rPr>
          <w:rFonts w:eastAsia="Calibri"/>
          <w:color w:val="4471C4"/>
        </w:rPr>
        <w:t>ly pointed out</w:t>
      </w:r>
      <w:r w:rsidR="7BB2655B" w:rsidRPr="65113265">
        <w:rPr>
          <w:rFonts w:eastAsia="Calibri"/>
          <w:color w:val="4471C4"/>
        </w:rPr>
        <w:t xml:space="preserve"> </w:t>
      </w:r>
      <w:r w:rsidR="0E64C31A" w:rsidRPr="65113265">
        <w:rPr>
          <w:rFonts w:eastAsia="Calibri"/>
          <w:color w:val="4471C4"/>
        </w:rPr>
        <w:t xml:space="preserve">in our initial version of the manuscript. </w:t>
      </w:r>
      <w:r w:rsidR="1696721E" w:rsidRPr="65113265">
        <w:rPr>
          <w:rFonts w:eastAsia="Calibri"/>
          <w:color w:val="4471C4"/>
        </w:rPr>
        <w:t>In particular,</w:t>
      </w:r>
      <w:r w:rsidR="20E2C195" w:rsidRPr="65113265">
        <w:rPr>
          <w:rFonts w:eastAsia="Calibri"/>
          <w:color w:val="4471C4"/>
        </w:rPr>
        <w:t xml:space="preserve"> analysis does not</w:t>
      </w:r>
      <w:r w:rsidR="72EC08BA" w:rsidRPr="65113265">
        <w:rPr>
          <w:rFonts w:eastAsia="Calibri"/>
          <w:color w:val="4471C4"/>
        </w:rPr>
        <w:t xml:space="preserve"> </w:t>
      </w:r>
      <w:r w:rsidR="1696721E" w:rsidRPr="65113265">
        <w:rPr>
          <w:rFonts w:eastAsia="Calibri"/>
          <w:color w:val="4471C4"/>
        </w:rPr>
        <w:t>assum</w:t>
      </w:r>
      <w:r w:rsidR="0945394D" w:rsidRPr="65113265">
        <w:rPr>
          <w:rFonts w:eastAsia="Calibri"/>
          <w:color w:val="4471C4"/>
        </w:rPr>
        <w:t>e</w:t>
      </w:r>
      <w:r w:rsidR="1696721E" w:rsidRPr="65113265">
        <w:rPr>
          <w:rFonts w:eastAsia="Calibri"/>
          <w:color w:val="4471C4"/>
        </w:rPr>
        <w:t xml:space="preserve"> that our data </w:t>
      </w:r>
      <w:r w:rsidR="683559D8" w:rsidRPr="65113265">
        <w:rPr>
          <w:rFonts w:eastAsia="Calibri"/>
          <w:color w:val="4471C4"/>
        </w:rPr>
        <w:t>were</w:t>
      </w:r>
      <w:r w:rsidR="1696721E" w:rsidRPr="65113265">
        <w:rPr>
          <w:rFonts w:eastAsia="Calibri"/>
          <w:color w:val="4471C4"/>
        </w:rPr>
        <w:t xml:space="preserve"> following any </w:t>
      </w:r>
      <w:r w:rsidR="69FDA6CE" w:rsidRPr="65113265">
        <w:rPr>
          <w:rFonts w:eastAsia="Calibri"/>
          <w:color w:val="4471C4"/>
        </w:rPr>
        <w:t>certain distribution</w:t>
      </w:r>
      <w:r w:rsidR="661BFCE2" w:rsidRPr="65113265">
        <w:rPr>
          <w:rFonts w:eastAsia="Calibri"/>
          <w:color w:val="4471C4"/>
        </w:rPr>
        <w:t xml:space="preserve"> </w:t>
      </w:r>
      <w:r w:rsidR="07DD7A51" w:rsidRPr="65113265">
        <w:rPr>
          <w:rFonts w:eastAsia="Calibri"/>
          <w:color w:val="4471C4"/>
        </w:rPr>
        <w:t>(</w:t>
      </w:r>
      <w:r w:rsidR="69FDA6CE" w:rsidRPr="65113265">
        <w:rPr>
          <w:rFonts w:eastAsia="Calibri"/>
          <w:color w:val="4471C4"/>
        </w:rPr>
        <w:t>such as a</w:t>
      </w:r>
      <w:r w:rsidR="749C45E3" w:rsidRPr="65113265">
        <w:rPr>
          <w:rFonts w:eastAsia="Calibri"/>
          <w:color w:val="4471C4"/>
        </w:rPr>
        <w:t xml:space="preserve"> non-skewed,</w:t>
      </w:r>
      <w:r w:rsidR="69FDA6CE" w:rsidRPr="65113265">
        <w:rPr>
          <w:rFonts w:eastAsia="Calibri"/>
          <w:color w:val="4471C4"/>
        </w:rPr>
        <w:t xml:space="preserve"> normal one</w:t>
      </w:r>
      <w:r w:rsidR="2CDEADEB" w:rsidRPr="65113265">
        <w:rPr>
          <w:rFonts w:eastAsia="Calibri"/>
          <w:color w:val="4471C4"/>
        </w:rPr>
        <w:t>)</w:t>
      </w:r>
      <w:r w:rsidR="1EAC4821" w:rsidRPr="65113265">
        <w:rPr>
          <w:rFonts w:eastAsia="Calibri"/>
          <w:color w:val="4471C4"/>
        </w:rPr>
        <w:t xml:space="preserve"> or displaying </w:t>
      </w:r>
      <w:r w:rsidR="15AD7349" w:rsidRPr="65113265">
        <w:rPr>
          <w:rFonts w:eastAsia="Calibri"/>
          <w:color w:val="4471C4"/>
        </w:rPr>
        <w:t xml:space="preserve">the same variability/dispersion between </w:t>
      </w:r>
      <w:r w:rsidR="5380F6F1" w:rsidRPr="65113265">
        <w:rPr>
          <w:rFonts w:eastAsia="Calibri"/>
          <w:color w:val="4471C4"/>
        </w:rPr>
        <w:t>group</w:t>
      </w:r>
      <w:r w:rsidR="42903891" w:rsidRPr="65113265">
        <w:rPr>
          <w:rFonts w:eastAsia="Calibri"/>
          <w:color w:val="4471C4"/>
        </w:rPr>
        <w:t>s</w:t>
      </w:r>
      <w:r w:rsidR="15AD7349" w:rsidRPr="65113265">
        <w:rPr>
          <w:rFonts w:eastAsia="Calibri"/>
          <w:color w:val="4471C4"/>
        </w:rPr>
        <w:t>,</w:t>
      </w:r>
      <w:r w:rsidR="37F20CD2" w:rsidRPr="65113265">
        <w:rPr>
          <w:rFonts w:eastAsia="Calibri"/>
          <w:color w:val="4471C4"/>
        </w:rPr>
        <w:t xml:space="preserve"> which in our case would be between baseline and follow-up.</w:t>
      </w:r>
      <w:r w:rsidR="15AD7349" w:rsidRPr="65113265">
        <w:rPr>
          <w:rFonts w:eastAsia="Calibri"/>
          <w:color w:val="4471C4"/>
        </w:rPr>
        <w:t xml:space="preserve"> </w:t>
      </w:r>
      <w:r w:rsidR="69FDA6CE" w:rsidRPr="65113265">
        <w:rPr>
          <w:rFonts w:eastAsia="Calibri"/>
          <w:color w:val="4471C4"/>
        </w:rPr>
        <w:t xml:space="preserve">Instead, </w:t>
      </w:r>
      <w:r w:rsidR="6BB7E19C" w:rsidRPr="65113265">
        <w:rPr>
          <w:rFonts w:eastAsia="Calibri"/>
          <w:color w:val="4471C4"/>
        </w:rPr>
        <w:t>our main approach, for both the sample selection as well as the analysis, was to</w:t>
      </w:r>
      <w:r w:rsidR="53EABCCB" w:rsidRPr="65113265">
        <w:rPr>
          <w:rFonts w:eastAsia="Calibri"/>
          <w:color w:val="4471C4"/>
        </w:rPr>
        <w:t xml:space="preserve"> e</w:t>
      </w:r>
      <w:r w:rsidR="2DED867B" w:rsidRPr="65113265">
        <w:rPr>
          <w:rFonts w:eastAsia="Calibri"/>
          <w:color w:val="4471C4"/>
        </w:rPr>
        <w:t>xamine</w:t>
      </w:r>
      <w:r w:rsidR="53EABCCB" w:rsidRPr="65113265">
        <w:rPr>
          <w:rFonts w:eastAsia="Calibri"/>
          <w:color w:val="4471C4"/>
        </w:rPr>
        <w:t xml:space="preserve"> data which</w:t>
      </w:r>
      <w:r w:rsidR="6BB7E19C" w:rsidRPr="65113265">
        <w:rPr>
          <w:rFonts w:eastAsia="Calibri"/>
          <w:color w:val="4471C4"/>
        </w:rPr>
        <w:t xml:space="preserve"> inc</w:t>
      </w:r>
      <w:r w:rsidR="7F06A07D" w:rsidRPr="65113265">
        <w:rPr>
          <w:rFonts w:eastAsia="Calibri"/>
          <w:color w:val="4471C4"/>
        </w:rPr>
        <w:t>orporated</w:t>
      </w:r>
      <w:r w:rsidR="6BB7E19C" w:rsidRPr="65113265">
        <w:rPr>
          <w:rFonts w:eastAsia="Calibri"/>
          <w:color w:val="4471C4"/>
        </w:rPr>
        <w:t xml:space="preserve"> a</w:t>
      </w:r>
      <w:r w:rsidR="09C796D0" w:rsidRPr="65113265">
        <w:rPr>
          <w:rFonts w:eastAsia="Calibri"/>
          <w:color w:val="4471C4"/>
        </w:rPr>
        <w:t xml:space="preserve">ll observations on patients where available. </w:t>
      </w:r>
      <w:r w:rsidR="08454F28" w:rsidRPr="65113265">
        <w:rPr>
          <w:rFonts w:eastAsia="Calibri"/>
          <w:color w:val="4471C4"/>
        </w:rPr>
        <w:t xml:space="preserve">To this end, </w:t>
      </w:r>
      <w:r w:rsidR="00C02291" w:rsidRPr="65113265">
        <w:rPr>
          <w:rFonts w:eastAsia="Calibri"/>
          <w:color w:val="4471C4"/>
        </w:rPr>
        <w:t xml:space="preserve">and </w:t>
      </w:r>
      <w:r w:rsidR="00AF57B2" w:rsidRPr="65113265">
        <w:rPr>
          <w:rFonts w:eastAsia="Calibri"/>
          <w:color w:val="4471C4"/>
        </w:rPr>
        <w:t xml:space="preserve">in line with the literature </w:t>
      </w:r>
      <w:r w:rsidR="00FD1747" w:rsidRPr="65113265">
        <w:rPr>
          <w:rFonts w:eastAsia="Calibri"/>
          <w:color w:val="4471C4"/>
        </w:rPr>
        <w:t xml:space="preserve">when </w:t>
      </w:r>
      <w:r w:rsidR="00FD1747" w:rsidRPr="65113265">
        <w:rPr>
          <w:rFonts w:eastAsia="Calibri"/>
          <w:i/>
          <w:iCs/>
          <w:color w:val="4471C4"/>
        </w:rPr>
        <w:t>N</w:t>
      </w:r>
      <w:r w:rsidR="00FD1747" w:rsidRPr="65113265">
        <w:rPr>
          <w:rFonts w:eastAsia="Calibri"/>
          <w:color w:val="4471C4"/>
        </w:rPr>
        <w:t xml:space="preserve"> &gt; 30</w:t>
      </w:r>
      <w:r w:rsidR="00942646" w:rsidRPr="65113265">
        <w:rPr>
          <w:rFonts w:eastAsia="Calibri"/>
          <w:color w:val="4471C4"/>
        </w:rPr>
        <w:t xml:space="preserve"> and </w:t>
      </w:r>
      <w:r w:rsidR="00C93478" w:rsidRPr="65113265">
        <w:rPr>
          <w:rFonts w:eastAsia="Calibri"/>
          <w:color w:val="4471C4"/>
        </w:rPr>
        <w:t>the normal assumption can be dropped</w:t>
      </w:r>
      <w:r w:rsidR="00FD1747" w:rsidRPr="65113265">
        <w:rPr>
          <w:rFonts w:eastAsia="Calibri"/>
          <w:color w:val="4471C4"/>
        </w:rPr>
        <w:t xml:space="preserve">, </w:t>
      </w:r>
      <w:r w:rsidR="00F14BBD" w:rsidRPr="65113265">
        <w:rPr>
          <w:rFonts w:eastAsia="Calibri"/>
          <w:color w:val="4471C4"/>
        </w:rPr>
        <w:t xml:space="preserve">our </w:t>
      </w:r>
      <w:r w:rsidR="00C2263E" w:rsidRPr="65113265">
        <w:rPr>
          <w:rFonts w:eastAsia="Calibri"/>
          <w:color w:val="4471C4"/>
        </w:rPr>
        <w:t xml:space="preserve">analysis moved to </w:t>
      </w:r>
      <w:r w:rsidR="00AA5F53" w:rsidRPr="65113265">
        <w:rPr>
          <w:rFonts w:eastAsia="Calibri"/>
          <w:color w:val="4471C4"/>
        </w:rPr>
        <w:t xml:space="preserve">the conventional strategy of employing </w:t>
      </w:r>
      <w:r w:rsidR="000B5CAA" w:rsidRPr="65113265">
        <w:rPr>
          <w:rFonts w:eastAsia="Calibri"/>
          <w:color w:val="4471C4"/>
        </w:rPr>
        <w:t>a</w:t>
      </w:r>
      <w:r w:rsidR="009074CA" w:rsidRPr="65113265">
        <w:rPr>
          <w:rFonts w:eastAsia="Calibri"/>
          <w:color w:val="4471C4"/>
        </w:rPr>
        <w:t xml:space="preserve"> </w:t>
      </w:r>
      <w:r w:rsidR="00CA105F" w:rsidRPr="65113265">
        <w:rPr>
          <w:rFonts w:eastAsia="Calibri"/>
          <w:color w:val="4471C4"/>
        </w:rPr>
        <w:t>two-sided</w:t>
      </w:r>
      <w:r w:rsidR="009074CA" w:rsidRPr="65113265">
        <w:rPr>
          <w:rFonts w:eastAsia="Calibri"/>
          <w:color w:val="4471C4"/>
        </w:rPr>
        <w:t xml:space="preserve"> t-test</w:t>
      </w:r>
      <w:r w:rsidR="000B5CAA" w:rsidRPr="65113265">
        <w:rPr>
          <w:rFonts w:eastAsia="Calibri"/>
          <w:color w:val="4471C4"/>
        </w:rPr>
        <w:t xml:space="preserve"> framework</w:t>
      </w:r>
      <w:r w:rsidR="00F14BBD" w:rsidRPr="65113265">
        <w:rPr>
          <w:rFonts w:eastAsia="Calibri"/>
          <w:color w:val="4471C4"/>
        </w:rPr>
        <w:t>.</w:t>
      </w:r>
      <w:r w:rsidR="00926D14">
        <w:t xml:space="preserve"> </w:t>
      </w:r>
      <w:r>
        <w:br/>
      </w:r>
      <w:r>
        <w:br/>
      </w:r>
      <w:r w:rsidR="70A3BDAF">
        <w:t>8. P12L219: Should use paired t-tests if you are comparing same patients data against baseline</w:t>
      </w:r>
      <w:r>
        <w:br/>
      </w:r>
      <w:r>
        <w:br/>
      </w:r>
      <w:r w:rsidR="6C910AF3" w:rsidRPr="65113265">
        <w:rPr>
          <w:rFonts w:eastAsia="Calibri"/>
          <w:color w:val="4472C4" w:themeColor="accent1"/>
        </w:rPr>
        <w:t xml:space="preserve">Response: </w:t>
      </w:r>
      <w:r w:rsidR="22CA6BB4" w:rsidRPr="65113265">
        <w:rPr>
          <w:rFonts w:eastAsia="Calibri"/>
          <w:color w:val="4472C4" w:themeColor="accent1"/>
        </w:rPr>
        <w:t>We</w:t>
      </w:r>
      <w:r w:rsidR="6C910AF3" w:rsidRPr="65113265">
        <w:rPr>
          <w:rFonts w:eastAsia="Calibri"/>
          <w:color w:val="4472C4" w:themeColor="accent1"/>
        </w:rPr>
        <w:t xml:space="preserve"> </w:t>
      </w:r>
      <w:r w:rsidR="22CA6BB4" w:rsidRPr="65113265">
        <w:rPr>
          <w:rFonts w:eastAsia="Calibri"/>
          <w:color w:val="4472C4" w:themeColor="accent1"/>
        </w:rPr>
        <w:t xml:space="preserve">fully agree that </w:t>
      </w:r>
      <w:r w:rsidR="740B960F" w:rsidRPr="65113265">
        <w:rPr>
          <w:rFonts w:eastAsia="Calibri"/>
          <w:color w:val="4472C4" w:themeColor="accent1"/>
        </w:rPr>
        <w:t xml:space="preserve">the </w:t>
      </w:r>
      <w:r w:rsidR="4C8E6192" w:rsidRPr="65113265">
        <w:rPr>
          <w:rFonts w:eastAsia="Calibri"/>
          <w:color w:val="4472C4" w:themeColor="accent1"/>
        </w:rPr>
        <w:t>standard</w:t>
      </w:r>
      <w:r w:rsidR="740B960F" w:rsidRPr="65113265">
        <w:rPr>
          <w:rFonts w:eastAsia="Calibri"/>
          <w:color w:val="4472C4" w:themeColor="accent1"/>
        </w:rPr>
        <w:t xml:space="preserve"> approach when comparing before and after data of the same individuals </w:t>
      </w:r>
      <w:r w:rsidR="31D813D7" w:rsidRPr="65113265">
        <w:rPr>
          <w:rFonts w:eastAsia="Calibri"/>
          <w:color w:val="4472C4" w:themeColor="accent1"/>
        </w:rPr>
        <w:t xml:space="preserve">is to perform a paired t-tests. However, because we </w:t>
      </w:r>
      <w:r w:rsidR="53A3CF7B" w:rsidRPr="65113265">
        <w:rPr>
          <w:rFonts w:eastAsia="Calibri"/>
          <w:color w:val="4472C4" w:themeColor="accent1"/>
        </w:rPr>
        <w:t xml:space="preserve">included </w:t>
      </w:r>
      <w:r w:rsidR="31D813D7" w:rsidRPr="65113265">
        <w:rPr>
          <w:rFonts w:eastAsia="Calibri"/>
          <w:color w:val="4472C4" w:themeColor="accent1"/>
        </w:rPr>
        <w:t xml:space="preserve">all available observations on </w:t>
      </w:r>
      <w:r w:rsidR="232D3000" w:rsidRPr="65113265">
        <w:rPr>
          <w:rFonts w:eastAsia="Calibri"/>
          <w:color w:val="4472C4" w:themeColor="accent1"/>
        </w:rPr>
        <w:t xml:space="preserve">patients where possible, this was not possible </w:t>
      </w:r>
      <w:r w:rsidR="274A2208" w:rsidRPr="65113265">
        <w:rPr>
          <w:rFonts w:eastAsia="Calibri"/>
          <w:color w:val="4472C4" w:themeColor="accent1"/>
        </w:rPr>
        <w:t>(as not every patient was observed in each follow-up window</w:t>
      </w:r>
      <w:r w:rsidR="06AAD77C" w:rsidRPr="65113265">
        <w:rPr>
          <w:rFonts w:eastAsia="Calibri"/>
          <w:color w:val="4472C4" w:themeColor="accent1"/>
        </w:rPr>
        <w:t xml:space="preserve"> and the continuing </w:t>
      </w:r>
      <w:r w:rsidR="27E41D7A" w:rsidRPr="65113265">
        <w:rPr>
          <w:rFonts w:eastAsia="Calibri"/>
          <w:color w:val="4472C4" w:themeColor="accent1"/>
        </w:rPr>
        <w:t xml:space="preserve">enrolment registry </w:t>
      </w:r>
      <w:r w:rsidR="06AAD77C" w:rsidRPr="65113265">
        <w:rPr>
          <w:rFonts w:eastAsia="Calibri"/>
          <w:color w:val="4472C4" w:themeColor="accent1"/>
        </w:rPr>
        <w:t>means that the cohort in each time window were not the same individuals</w:t>
      </w:r>
      <w:r w:rsidR="5B4201AB" w:rsidRPr="65113265">
        <w:rPr>
          <w:rFonts w:eastAsia="Calibri"/>
          <w:color w:val="4472C4" w:themeColor="accent1"/>
        </w:rPr>
        <w:t>)</w:t>
      </w:r>
      <w:r w:rsidR="6C910AF3" w:rsidRPr="65113265">
        <w:rPr>
          <w:rFonts w:eastAsia="Calibri"/>
          <w:color w:val="4472C4" w:themeColor="accent1"/>
        </w:rPr>
        <w:t>.</w:t>
      </w:r>
      <w:r w:rsidR="23E551FC" w:rsidRPr="65113265">
        <w:rPr>
          <w:rFonts w:eastAsia="Calibri"/>
          <w:color w:val="4472C4" w:themeColor="accent1"/>
        </w:rPr>
        <w:t xml:space="preserve"> Thus, we </w:t>
      </w:r>
      <w:r w:rsidR="3F5A0DCD" w:rsidRPr="65113265">
        <w:rPr>
          <w:rFonts w:eastAsia="Calibri"/>
          <w:color w:val="4472C4" w:themeColor="accent1"/>
        </w:rPr>
        <w:t>employed</w:t>
      </w:r>
      <w:r w:rsidR="23E551FC" w:rsidRPr="65113265">
        <w:rPr>
          <w:rFonts w:eastAsia="Calibri"/>
          <w:color w:val="4472C4" w:themeColor="accent1"/>
        </w:rPr>
        <w:t xml:space="preserve"> a two sample t-test instead. </w:t>
      </w:r>
      <w:r w:rsidR="7A0FEE97" w:rsidRPr="65113265">
        <w:rPr>
          <w:rFonts w:eastAsia="Calibri"/>
          <w:color w:val="4472C4" w:themeColor="accent1"/>
        </w:rPr>
        <w:t xml:space="preserve">Nevertheless, </w:t>
      </w:r>
      <w:r w:rsidR="713B5F45" w:rsidRPr="65113265">
        <w:rPr>
          <w:rFonts w:eastAsia="Calibri"/>
          <w:color w:val="4472C4" w:themeColor="accent1"/>
        </w:rPr>
        <w:t>we</w:t>
      </w:r>
      <w:r w:rsidR="67DC6E32" w:rsidRPr="65113265">
        <w:rPr>
          <w:rFonts w:eastAsia="Calibri"/>
          <w:color w:val="4472C4" w:themeColor="accent1"/>
        </w:rPr>
        <w:t xml:space="preserve"> have also conducted separate analysis (available upon request)</w:t>
      </w:r>
      <w:r w:rsidR="6A85B95C" w:rsidRPr="65113265">
        <w:rPr>
          <w:rFonts w:eastAsia="Calibri"/>
          <w:color w:val="4472C4" w:themeColor="accent1"/>
        </w:rPr>
        <w:t xml:space="preserve">, </w:t>
      </w:r>
      <w:r w:rsidR="1FC94B1F" w:rsidRPr="65113265">
        <w:rPr>
          <w:rFonts w:eastAsia="Calibri"/>
          <w:color w:val="4472C4" w:themeColor="accent1"/>
        </w:rPr>
        <w:t>where we restricted the sample to patients with full information from baseline to 24 months after</w:t>
      </w:r>
      <w:r w:rsidR="5C5B8382" w:rsidRPr="65113265">
        <w:rPr>
          <w:rFonts w:eastAsia="Calibri"/>
          <w:color w:val="4472C4" w:themeColor="accent1"/>
        </w:rPr>
        <w:t xml:space="preserve"> commencing oral MC</w:t>
      </w:r>
      <w:r w:rsidR="1FC94B1F" w:rsidRPr="65113265">
        <w:rPr>
          <w:rFonts w:eastAsia="Calibri"/>
          <w:color w:val="4472C4" w:themeColor="accent1"/>
        </w:rPr>
        <w:t xml:space="preserve">, </w:t>
      </w:r>
      <w:r w:rsidR="7F1BBDB7" w:rsidRPr="65113265">
        <w:rPr>
          <w:rFonts w:eastAsia="Calibri"/>
          <w:color w:val="4472C4" w:themeColor="accent1"/>
        </w:rPr>
        <w:t>thereby permitting us to perform a paired t-test. Notably, the corresponding</w:t>
      </w:r>
      <w:r w:rsidR="191BE6D1" w:rsidRPr="65113265">
        <w:rPr>
          <w:rFonts w:eastAsia="Calibri"/>
          <w:color w:val="4472C4" w:themeColor="accent1"/>
        </w:rPr>
        <w:t xml:space="preserve"> results</w:t>
      </w:r>
      <w:r w:rsidR="588BCC0E" w:rsidRPr="65113265">
        <w:rPr>
          <w:rFonts w:eastAsia="Calibri"/>
          <w:color w:val="4472C4" w:themeColor="accent1"/>
        </w:rPr>
        <w:t xml:space="preserve"> remained</w:t>
      </w:r>
      <w:r w:rsidR="191BE6D1" w:rsidRPr="65113265">
        <w:rPr>
          <w:rFonts w:eastAsia="Calibri"/>
          <w:color w:val="4472C4" w:themeColor="accent1"/>
        </w:rPr>
        <w:t xml:space="preserve"> </w:t>
      </w:r>
      <w:r w:rsidR="1EB406DB" w:rsidRPr="65113265">
        <w:rPr>
          <w:rFonts w:eastAsia="Calibri"/>
          <w:color w:val="4472C4" w:themeColor="accent1"/>
        </w:rPr>
        <w:t xml:space="preserve">significant and </w:t>
      </w:r>
      <w:r w:rsidR="191BE6D1" w:rsidRPr="65113265">
        <w:rPr>
          <w:rFonts w:eastAsia="Calibri"/>
          <w:color w:val="4472C4" w:themeColor="accent1"/>
        </w:rPr>
        <w:t>consistent with our main findings in the paper</w:t>
      </w:r>
      <w:r w:rsidR="4F2101C5" w:rsidRPr="65113265">
        <w:rPr>
          <w:rFonts w:eastAsia="Calibri"/>
          <w:color w:val="4472C4" w:themeColor="accent1"/>
        </w:rPr>
        <w:t>.</w:t>
      </w:r>
      <w:r>
        <w:br/>
      </w:r>
      <w:r>
        <w:br/>
      </w:r>
      <w:r w:rsidR="70A3BDAF">
        <w:t>9. P12L221: Should be p&lt;0.05, and also throughout all results, not just tables and figures</w:t>
      </w:r>
      <w:r>
        <w:br/>
      </w:r>
      <w:r>
        <w:br/>
      </w:r>
      <w:r w:rsidR="3BE3BA11" w:rsidRPr="65113265">
        <w:rPr>
          <w:rFonts w:eastAsia="Calibri"/>
          <w:color w:val="4472C4" w:themeColor="accent1"/>
        </w:rPr>
        <w:t>Response: Corrected.</w:t>
      </w:r>
      <w:r>
        <w:br/>
      </w:r>
      <w:r>
        <w:br/>
      </w:r>
      <w:r w:rsidR="70A3BDAF" w:rsidRPr="65113265">
        <w:rPr>
          <w:b/>
          <w:bCs/>
        </w:rPr>
        <w:t>Results</w:t>
      </w:r>
      <w:r>
        <w:br/>
      </w:r>
      <w:r w:rsidR="70A3BDAF">
        <w:t>1. You switch between the number of decimal places you report to throughout – please make sure you are consistent throughout</w:t>
      </w:r>
      <w:r>
        <w:br/>
      </w:r>
      <w:r>
        <w:br/>
      </w:r>
      <w:r w:rsidR="6F6D1F16" w:rsidRPr="65113265">
        <w:rPr>
          <w:rFonts w:eastAsia="Calibri"/>
          <w:color w:val="4472C4" w:themeColor="accent1"/>
        </w:rPr>
        <w:t>Response: Corrected.</w:t>
      </w:r>
      <w:r>
        <w:br/>
      </w:r>
      <w:r>
        <w:br/>
      </w:r>
      <w:r w:rsidR="70A3BDAF">
        <w:t>2. P13L232-233: Please avoid comparison with other studies in your results, this should be in the discussion</w:t>
      </w:r>
      <w:r>
        <w:br/>
      </w:r>
      <w:r>
        <w:br/>
      </w:r>
      <w:r w:rsidR="4D372720" w:rsidRPr="65113265">
        <w:rPr>
          <w:rFonts w:eastAsia="Calibri"/>
          <w:color w:val="4472C4" w:themeColor="accent1"/>
        </w:rPr>
        <w:t>Response: Corrected.</w:t>
      </w:r>
      <w:r>
        <w:br/>
      </w:r>
      <w:r>
        <w:br/>
      </w:r>
      <w:r w:rsidR="70A3BDAF">
        <w:t>3. P15L244-255: Please report raw figures</w:t>
      </w:r>
      <w:r>
        <w:br/>
      </w:r>
      <w:r>
        <w:br/>
      </w:r>
      <w:r w:rsidR="6A5EE181" w:rsidRPr="65113265">
        <w:rPr>
          <w:rFonts w:eastAsia="Calibri"/>
          <w:color w:val="4472C4" w:themeColor="accent1"/>
        </w:rPr>
        <w:t>Response: Corrected.</w:t>
      </w:r>
    </w:p>
    <w:p w14:paraId="5862DE14" w14:textId="72CD9E3A" w:rsidR="00F33526" w:rsidRDefault="70A3BDAF" w:rsidP="002A3A1E">
      <w:pPr>
        <w:pStyle w:val="NormalWeb"/>
        <w:spacing w:line="360" w:lineRule="auto"/>
        <w:rPr>
          <w:color w:val="000000" w:themeColor="text1"/>
        </w:rPr>
      </w:pPr>
      <w:r w:rsidRPr="3EF7FB48">
        <w:rPr>
          <w:color w:val="000000" w:themeColor="text1"/>
        </w:rPr>
        <w:t>6. PLOS authors have the option to publish the peer review history of their article (</w:t>
      </w:r>
      <w:hyperlink r:id="rId16" w:anchor="loc-peer-review-history">
        <w:r w:rsidRPr="3EF7FB48">
          <w:rPr>
            <w:rStyle w:val="Hyperlink"/>
          </w:rPr>
          <w:t>what does this mean?</w:t>
        </w:r>
      </w:hyperlink>
      <w:r w:rsidRPr="3EF7FB48">
        <w:rPr>
          <w:color w:val="000000" w:themeColor="text1"/>
        </w:rPr>
        <w:t>). If published, this will include your full peer review and any attached files.</w:t>
      </w:r>
      <w:r w:rsidR="00F33526">
        <w:br/>
      </w:r>
      <w:r w:rsidR="00F33526">
        <w:br/>
      </w:r>
      <w:r w:rsidRPr="3EF7FB48">
        <w:rPr>
          <w:color w:val="000000" w:themeColor="text1"/>
        </w:rPr>
        <w:t>If you choose “no”, your identity will remain anonymous but your review may still be made public.</w:t>
      </w:r>
      <w:r w:rsidR="00F33526">
        <w:br/>
      </w:r>
      <w:r w:rsidR="00F33526">
        <w:br/>
      </w:r>
      <w:r w:rsidRPr="3EF7FB48">
        <w:rPr>
          <w:b/>
          <w:bCs/>
          <w:color w:val="000000" w:themeColor="text1"/>
        </w:rPr>
        <w:t>Do you want your identity to be public for this peer review?</w:t>
      </w:r>
      <w:r w:rsidRPr="3EF7FB48">
        <w:rPr>
          <w:color w:val="000000" w:themeColor="text1"/>
        </w:rPr>
        <w:t xml:space="preserve"> For information about this choice, including consent withdrawal, please see our </w:t>
      </w:r>
      <w:hyperlink r:id="rId17">
        <w:r w:rsidRPr="3EF7FB48">
          <w:rPr>
            <w:rStyle w:val="Hyperlink"/>
          </w:rPr>
          <w:t>Privacy Policy</w:t>
        </w:r>
      </w:hyperlink>
      <w:r w:rsidRPr="3EF7FB48">
        <w:rPr>
          <w:color w:val="000000" w:themeColor="text1"/>
        </w:rPr>
        <w:t>.</w:t>
      </w:r>
    </w:p>
    <w:p w14:paraId="63EE87A5" w14:textId="77777777" w:rsidR="00F33526" w:rsidRDefault="70A3BDAF" w:rsidP="002A3A1E">
      <w:pPr>
        <w:pStyle w:val="NormalWeb"/>
        <w:spacing w:line="360" w:lineRule="auto"/>
      </w:pPr>
      <w:r w:rsidRPr="3EF7FB48">
        <w:t> </w:t>
      </w:r>
    </w:p>
    <w:p w14:paraId="576D6F9C" w14:textId="408A59AE" w:rsidR="00F33526" w:rsidRDefault="70A3BDAF" w:rsidP="002A3A1E">
      <w:pPr>
        <w:pStyle w:val="NormalWeb"/>
        <w:spacing w:line="360" w:lineRule="auto"/>
      </w:pPr>
      <w:r w:rsidRPr="3EF7FB48">
        <w:t>Reviewer #1: </w:t>
      </w:r>
      <w:r w:rsidRPr="3EF7FB48">
        <w:rPr>
          <w:b/>
          <w:bCs/>
        </w:rPr>
        <w:t>Yes: </w:t>
      </w:r>
      <w:r w:rsidRPr="3EF7FB48">
        <w:t>Simon Erridge</w:t>
      </w:r>
    </w:p>
    <w:p w14:paraId="013681EE" w14:textId="1A965CE0" w:rsidR="3EF7FB48" w:rsidRDefault="3EF7FB48" w:rsidP="002A3A1E">
      <w:pPr>
        <w:pStyle w:val="NormalWeb"/>
        <w:spacing w:line="360" w:lineRule="auto"/>
        <w:rPr>
          <w:rFonts w:eastAsia="Calibri"/>
        </w:rPr>
      </w:pPr>
    </w:p>
    <w:p w14:paraId="7F923EBA" w14:textId="2D2E8A15" w:rsidR="00B47E29" w:rsidRPr="00F33526" w:rsidRDefault="70A3BDAF" w:rsidP="002A3A1E">
      <w:pPr>
        <w:pStyle w:val="NormalWeb"/>
        <w:spacing w:line="360" w:lineRule="auto"/>
      </w:pPr>
      <w:r w:rsidRPr="3EF7FB48">
        <w:t>[NOTE: If reviewer comments were submitted as an attachment file, they will be attached to this email and accessible via the submission site. Please log into your account, locate the manuscript record, and check for the action link "View Attachments". If this link does not appear, there are no attachment files.]</w:t>
      </w:r>
      <w:r w:rsidR="00B47E29">
        <w:br/>
      </w:r>
      <w:r w:rsidR="00B47E29">
        <w:br/>
      </w:r>
      <w:r w:rsidRPr="3EF7FB48">
        <w:t>While revising your submission, please upload your figure files to the Preflight Analysis and Conversion Engine (PACE) digital diagnostic tool, </w:t>
      </w:r>
      <w:hyperlink r:id="rId18">
        <w:r w:rsidRPr="3EF7FB48">
          <w:rPr>
            <w:rStyle w:val="Hyperlink"/>
          </w:rPr>
          <w:t>https://pacev2.apexcovantage.com/</w:t>
        </w:r>
      </w:hyperlink>
      <w:r w:rsidRPr="3EF7FB48">
        <w:t>. PACE helps ensure that figures meet PLOS requirements. To use PACE, you must first register as a user. Registration is free. Then, login and navigate to the UPLOAD tab, where you will find detailed instructions on how to use the tool. If you encounter any issues or have any questions when using PACE, please email PLOS at </w:t>
      </w:r>
      <w:hyperlink r:id="rId19">
        <w:r w:rsidRPr="3EF7FB48">
          <w:rPr>
            <w:rStyle w:val="Hyperlink"/>
          </w:rPr>
          <w:t>figures@plos.org</w:t>
        </w:r>
      </w:hyperlink>
      <w:r w:rsidRPr="3EF7FB48">
        <w:t>. Please note that Supporting Information files do not need this step.</w:t>
      </w:r>
    </w:p>
    <w:sectPr w:rsidR="00B47E29" w:rsidRPr="00F33526">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4953" w14:textId="77777777" w:rsidR="00842978" w:rsidRDefault="00842978">
      <w:r>
        <w:separator/>
      </w:r>
    </w:p>
  </w:endnote>
  <w:endnote w:type="continuationSeparator" w:id="0">
    <w:p w14:paraId="0B684A0E" w14:textId="77777777" w:rsidR="00842978" w:rsidRDefault="00842978">
      <w:r>
        <w:continuationSeparator/>
      </w:r>
    </w:p>
  </w:endnote>
  <w:endnote w:type="continuationNotice" w:id="1">
    <w:p w14:paraId="4B7C99EA" w14:textId="77777777" w:rsidR="00842978" w:rsidRDefault="00842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F7FB48" w14:paraId="61F45B43" w14:textId="77777777" w:rsidTr="3EF7FB48">
      <w:tc>
        <w:tcPr>
          <w:tcW w:w="3005" w:type="dxa"/>
        </w:tcPr>
        <w:p w14:paraId="7AD946B7" w14:textId="59F87C85" w:rsidR="3EF7FB48" w:rsidRDefault="3EF7FB48" w:rsidP="3EF7FB48">
          <w:pPr>
            <w:pStyle w:val="Header"/>
            <w:ind w:left="-115"/>
            <w:rPr>
              <w:rFonts w:eastAsia="Calibri"/>
            </w:rPr>
          </w:pPr>
        </w:p>
      </w:tc>
      <w:tc>
        <w:tcPr>
          <w:tcW w:w="3005" w:type="dxa"/>
        </w:tcPr>
        <w:p w14:paraId="36F48419" w14:textId="06294BA7" w:rsidR="3EF7FB48" w:rsidRDefault="3EF7FB48" w:rsidP="3EF7FB48">
          <w:pPr>
            <w:pStyle w:val="Header"/>
            <w:jc w:val="center"/>
            <w:rPr>
              <w:rFonts w:eastAsia="Calibri"/>
            </w:rPr>
          </w:pPr>
        </w:p>
      </w:tc>
      <w:tc>
        <w:tcPr>
          <w:tcW w:w="3005" w:type="dxa"/>
        </w:tcPr>
        <w:p w14:paraId="33CD632F" w14:textId="53E9AE85" w:rsidR="3EF7FB48" w:rsidRDefault="3EF7FB48" w:rsidP="3EF7FB48">
          <w:pPr>
            <w:pStyle w:val="Header"/>
            <w:ind w:right="-115"/>
            <w:jc w:val="right"/>
            <w:rPr>
              <w:rFonts w:eastAsia="Calibri"/>
            </w:rPr>
          </w:pPr>
        </w:p>
      </w:tc>
    </w:tr>
  </w:tbl>
  <w:p w14:paraId="532B5D29" w14:textId="632A6249" w:rsidR="3EF7FB48" w:rsidRDefault="3EF7FB48" w:rsidP="3EF7FB4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EAC4" w14:textId="77777777" w:rsidR="00842978" w:rsidRDefault="00842978">
      <w:r>
        <w:separator/>
      </w:r>
    </w:p>
  </w:footnote>
  <w:footnote w:type="continuationSeparator" w:id="0">
    <w:p w14:paraId="30F15FF2" w14:textId="77777777" w:rsidR="00842978" w:rsidRDefault="00842978">
      <w:r>
        <w:continuationSeparator/>
      </w:r>
    </w:p>
  </w:footnote>
  <w:footnote w:type="continuationNotice" w:id="1">
    <w:p w14:paraId="4486455C" w14:textId="77777777" w:rsidR="00842978" w:rsidRDefault="00842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F7FB48" w14:paraId="2F37AA1B" w14:textId="77777777" w:rsidTr="3EF7FB48">
      <w:tc>
        <w:tcPr>
          <w:tcW w:w="3005" w:type="dxa"/>
        </w:tcPr>
        <w:p w14:paraId="0FEF0100" w14:textId="0312FDD1" w:rsidR="3EF7FB48" w:rsidRDefault="3EF7FB48" w:rsidP="3EF7FB48">
          <w:pPr>
            <w:pStyle w:val="Header"/>
            <w:ind w:left="-115"/>
            <w:rPr>
              <w:rFonts w:eastAsia="Calibri"/>
            </w:rPr>
          </w:pPr>
        </w:p>
      </w:tc>
      <w:tc>
        <w:tcPr>
          <w:tcW w:w="3005" w:type="dxa"/>
        </w:tcPr>
        <w:p w14:paraId="31E715CB" w14:textId="2CB72194" w:rsidR="3EF7FB48" w:rsidRDefault="3EF7FB48" w:rsidP="3EF7FB48">
          <w:pPr>
            <w:pStyle w:val="Header"/>
            <w:jc w:val="center"/>
            <w:rPr>
              <w:rFonts w:eastAsia="Calibri"/>
            </w:rPr>
          </w:pPr>
        </w:p>
      </w:tc>
      <w:tc>
        <w:tcPr>
          <w:tcW w:w="3005" w:type="dxa"/>
        </w:tcPr>
        <w:p w14:paraId="4F077D0B" w14:textId="7B3061A5" w:rsidR="3EF7FB48" w:rsidRDefault="3EF7FB48" w:rsidP="3EF7FB48">
          <w:pPr>
            <w:pStyle w:val="Header"/>
            <w:ind w:right="-115"/>
            <w:jc w:val="right"/>
            <w:rPr>
              <w:rFonts w:eastAsia="Calibri"/>
            </w:rPr>
          </w:pPr>
        </w:p>
      </w:tc>
    </w:tr>
  </w:tbl>
  <w:p w14:paraId="46EF5EFE" w14:textId="0018CD09" w:rsidR="3EF7FB48" w:rsidRDefault="3EF7FB48" w:rsidP="3EF7FB48">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37CE4"/>
    <w:multiLevelType w:val="multilevel"/>
    <w:tmpl w:val="36CEE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6417F"/>
    <w:multiLevelType w:val="multilevel"/>
    <w:tmpl w:val="601C76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9370437">
    <w:abstractNumId w:val="0"/>
  </w:num>
  <w:num w:numId="2" w16cid:durableId="87315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26"/>
    <w:rsid w:val="00001F28"/>
    <w:rsid w:val="000032F0"/>
    <w:rsid w:val="00005A2D"/>
    <w:rsid w:val="00005CA8"/>
    <w:rsid w:val="0001075B"/>
    <w:rsid w:val="00030D7C"/>
    <w:rsid w:val="00031451"/>
    <w:rsid w:val="0003441E"/>
    <w:rsid w:val="00041B89"/>
    <w:rsid w:val="00044AA7"/>
    <w:rsid w:val="000568D4"/>
    <w:rsid w:val="00063856"/>
    <w:rsid w:val="00066F0B"/>
    <w:rsid w:val="0006731D"/>
    <w:rsid w:val="0007793A"/>
    <w:rsid w:val="00084512"/>
    <w:rsid w:val="00088DF3"/>
    <w:rsid w:val="00092DB5"/>
    <w:rsid w:val="000975D3"/>
    <w:rsid w:val="000A013F"/>
    <w:rsid w:val="000A37E8"/>
    <w:rsid w:val="000A5C3B"/>
    <w:rsid w:val="000B1A01"/>
    <w:rsid w:val="000B47A4"/>
    <w:rsid w:val="000B5CAA"/>
    <w:rsid w:val="000B7280"/>
    <w:rsid w:val="000B7C19"/>
    <w:rsid w:val="000C16EE"/>
    <w:rsid w:val="000C21DA"/>
    <w:rsid w:val="000C2E23"/>
    <w:rsid w:val="000C584E"/>
    <w:rsid w:val="000C5B46"/>
    <w:rsid w:val="000C7568"/>
    <w:rsid w:val="000D0233"/>
    <w:rsid w:val="000D29F5"/>
    <w:rsid w:val="000D9A83"/>
    <w:rsid w:val="000E34B5"/>
    <w:rsid w:val="000E3576"/>
    <w:rsid w:val="000E4981"/>
    <w:rsid w:val="000F2347"/>
    <w:rsid w:val="000F514B"/>
    <w:rsid w:val="00102375"/>
    <w:rsid w:val="00104959"/>
    <w:rsid w:val="001116B2"/>
    <w:rsid w:val="00113FF8"/>
    <w:rsid w:val="00115751"/>
    <w:rsid w:val="001160F3"/>
    <w:rsid w:val="00117E32"/>
    <w:rsid w:val="00122501"/>
    <w:rsid w:val="001226A6"/>
    <w:rsid w:val="00124C37"/>
    <w:rsid w:val="0013163C"/>
    <w:rsid w:val="00133F26"/>
    <w:rsid w:val="0013637A"/>
    <w:rsid w:val="00140CB2"/>
    <w:rsid w:val="001425D7"/>
    <w:rsid w:val="00144926"/>
    <w:rsid w:val="00146F0B"/>
    <w:rsid w:val="00155C47"/>
    <w:rsid w:val="001602EC"/>
    <w:rsid w:val="00167C01"/>
    <w:rsid w:val="00172108"/>
    <w:rsid w:val="00174876"/>
    <w:rsid w:val="0017762E"/>
    <w:rsid w:val="001804AD"/>
    <w:rsid w:val="00180A30"/>
    <w:rsid w:val="0018284A"/>
    <w:rsid w:val="00190D5B"/>
    <w:rsid w:val="0019244B"/>
    <w:rsid w:val="001930CB"/>
    <w:rsid w:val="0019511D"/>
    <w:rsid w:val="001955CC"/>
    <w:rsid w:val="00197AB3"/>
    <w:rsid w:val="001A6740"/>
    <w:rsid w:val="001B0F6B"/>
    <w:rsid w:val="001B2D6C"/>
    <w:rsid w:val="001C0288"/>
    <w:rsid w:val="001C2A40"/>
    <w:rsid w:val="001C5E2B"/>
    <w:rsid w:val="001CC3FF"/>
    <w:rsid w:val="001D27F8"/>
    <w:rsid w:val="001D5268"/>
    <w:rsid w:val="001D53B3"/>
    <w:rsid w:val="001E0AAD"/>
    <w:rsid w:val="001E1F8D"/>
    <w:rsid w:val="001E2777"/>
    <w:rsid w:val="001E35A6"/>
    <w:rsid w:val="001E4601"/>
    <w:rsid w:val="001E4A7A"/>
    <w:rsid w:val="001E775A"/>
    <w:rsid w:val="001E7EFC"/>
    <w:rsid w:val="001F03E0"/>
    <w:rsid w:val="001F265A"/>
    <w:rsid w:val="001F26E9"/>
    <w:rsid w:val="001F4BC4"/>
    <w:rsid w:val="00201DD3"/>
    <w:rsid w:val="00214B77"/>
    <w:rsid w:val="00224C39"/>
    <w:rsid w:val="00233097"/>
    <w:rsid w:val="0024621B"/>
    <w:rsid w:val="00246557"/>
    <w:rsid w:val="00251347"/>
    <w:rsid w:val="00255DA9"/>
    <w:rsid w:val="00257FE6"/>
    <w:rsid w:val="00262ACD"/>
    <w:rsid w:val="0026429F"/>
    <w:rsid w:val="0026549E"/>
    <w:rsid w:val="00266433"/>
    <w:rsid w:val="00266723"/>
    <w:rsid w:val="0028346A"/>
    <w:rsid w:val="00287EB4"/>
    <w:rsid w:val="00293581"/>
    <w:rsid w:val="002974C7"/>
    <w:rsid w:val="002976A8"/>
    <w:rsid w:val="00297DB1"/>
    <w:rsid w:val="002A0929"/>
    <w:rsid w:val="002A3A1E"/>
    <w:rsid w:val="002B0CB3"/>
    <w:rsid w:val="002B10C7"/>
    <w:rsid w:val="002B6D08"/>
    <w:rsid w:val="002C04F1"/>
    <w:rsid w:val="002D2F8D"/>
    <w:rsid w:val="002D35B3"/>
    <w:rsid w:val="002D5C04"/>
    <w:rsid w:val="002D66A4"/>
    <w:rsid w:val="002E2625"/>
    <w:rsid w:val="002F4E7E"/>
    <w:rsid w:val="00304695"/>
    <w:rsid w:val="00306AB4"/>
    <w:rsid w:val="0031161A"/>
    <w:rsid w:val="003142E5"/>
    <w:rsid w:val="003175F5"/>
    <w:rsid w:val="00320A05"/>
    <w:rsid w:val="0032442F"/>
    <w:rsid w:val="00325620"/>
    <w:rsid w:val="00326E07"/>
    <w:rsid w:val="00331901"/>
    <w:rsid w:val="0033501F"/>
    <w:rsid w:val="00343924"/>
    <w:rsid w:val="003462F0"/>
    <w:rsid w:val="00364330"/>
    <w:rsid w:val="00364D0A"/>
    <w:rsid w:val="003775E8"/>
    <w:rsid w:val="003917FF"/>
    <w:rsid w:val="0039358D"/>
    <w:rsid w:val="003945BC"/>
    <w:rsid w:val="00397E93"/>
    <w:rsid w:val="003A1A17"/>
    <w:rsid w:val="003B0402"/>
    <w:rsid w:val="003B66BC"/>
    <w:rsid w:val="003C09FF"/>
    <w:rsid w:val="003C12DB"/>
    <w:rsid w:val="003C1FBE"/>
    <w:rsid w:val="003C2BCF"/>
    <w:rsid w:val="003D5C23"/>
    <w:rsid w:val="003D610F"/>
    <w:rsid w:val="003E088F"/>
    <w:rsid w:val="003E2AE2"/>
    <w:rsid w:val="003E62DA"/>
    <w:rsid w:val="003F1DFB"/>
    <w:rsid w:val="003F7639"/>
    <w:rsid w:val="00400A4F"/>
    <w:rsid w:val="00412582"/>
    <w:rsid w:val="00413B29"/>
    <w:rsid w:val="004201F7"/>
    <w:rsid w:val="004221AD"/>
    <w:rsid w:val="00422C4E"/>
    <w:rsid w:val="00431425"/>
    <w:rsid w:val="00432483"/>
    <w:rsid w:val="00433DBE"/>
    <w:rsid w:val="00442656"/>
    <w:rsid w:val="0044283C"/>
    <w:rsid w:val="00446320"/>
    <w:rsid w:val="00452DAD"/>
    <w:rsid w:val="00454A06"/>
    <w:rsid w:val="00456D4A"/>
    <w:rsid w:val="00457095"/>
    <w:rsid w:val="004650D2"/>
    <w:rsid w:val="0047015C"/>
    <w:rsid w:val="00470714"/>
    <w:rsid w:val="0047349A"/>
    <w:rsid w:val="00482925"/>
    <w:rsid w:val="00491B2B"/>
    <w:rsid w:val="00492F5B"/>
    <w:rsid w:val="004941D6"/>
    <w:rsid w:val="004A3860"/>
    <w:rsid w:val="004B3636"/>
    <w:rsid w:val="004B5BA3"/>
    <w:rsid w:val="004B6662"/>
    <w:rsid w:val="004B7531"/>
    <w:rsid w:val="004C5D29"/>
    <w:rsid w:val="004C6C77"/>
    <w:rsid w:val="004D0931"/>
    <w:rsid w:val="004D796C"/>
    <w:rsid w:val="004E3432"/>
    <w:rsid w:val="004E6962"/>
    <w:rsid w:val="00501644"/>
    <w:rsid w:val="005042CD"/>
    <w:rsid w:val="00511A82"/>
    <w:rsid w:val="00513953"/>
    <w:rsid w:val="0051524A"/>
    <w:rsid w:val="00522164"/>
    <w:rsid w:val="005244A5"/>
    <w:rsid w:val="00524EB9"/>
    <w:rsid w:val="005337FA"/>
    <w:rsid w:val="00535D83"/>
    <w:rsid w:val="00542A55"/>
    <w:rsid w:val="00546DF4"/>
    <w:rsid w:val="0054752E"/>
    <w:rsid w:val="00547C09"/>
    <w:rsid w:val="00547DE0"/>
    <w:rsid w:val="00547F58"/>
    <w:rsid w:val="005513F9"/>
    <w:rsid w:val="00557F8C"/>
    <w:rsid w:val="0056150E"/>
    <w:rsid w:val="00565892"/>
    <w:rsid w:val="0057140F"/>
    <w:rsid w:val="00571914"/>
    <w:rsid w:val="005727F6"/>
    <w:rsid w:val="00574F52"/>
    <w:rsid w:val="0057565C"/>
    <w:rsid w:val="005802B2"/>
    <w:rsid w:val="00582726"/>
    <w:rsid w:val="005828C0"/>
    <w:rsid w:val="0059095B"/>
    <w:rsid w:val="00592D49"/>
    <w:rsid w:val="0059457E"/>
    <w:rsid w:val="005A09F4"/>
    <w:rsid w:val="005A10F2"/>
    <w:rsid w:val="005A290A"/>
    <w:rsid w:val="005A3867"/>
    <w:rsid w:val="005A3E20"/>
    <w:rsid w:val="005A56A7"/>
    <w:rsid w:val="005A7106"/>
    <w:rsid w:val="005A7574"/>
    <w:rsid w:val="005B41BF"/>
    <w:rsid w:val="005C23EC"/>
    <w:rsid w:val="005C5234"/>
    <w:rsid w:val="005E17CB"/>
    <w:rsid w:val="005E67A4"/>
    <w:rsid w:val="005E7C7F"/>
    <w:rsid w:val="005F2577"/>
    <w:rsid w:val="005F49AE"/>
    <w:rsid w:val="005F72E5"/>
    <w:rsid w:val="006000FD"/>
    <w:rsid w:val="006065BC"/>
    <w:rsid w:val="00613EEF"/>
    <w:rsid w:val="00621D2B"/>
    <w:rsid w:val="00621E46"/>
    <w:rsid w:val="00626864"/>
    <w:rsid w:val="00642BE9"/>
    <w:rsid w:val="006448E3"/>
    <w:rsid w:val="0064516A"/>
    <w:rsid w:val="00645BC5"/>
    <w:rsid w:val="006528A8"/>
    <w:rsid w:val="006533B0"/>
    <w:rsid w:val="00656430"/>
    <w:rsid w:val="0065C4DD"/>
    <w:rsid w:val="00664521"/>
    <w:rsid w:val="00664D6C"/>
    <w:rsid w:val="00665A8F"/>
    <w:rsid w:val="00666E9A"/>
    <w:rsid w:val="00672C50"/>
    <w:rsid w:val="00675F39"/>
    <w:rsid w:val="00680017"/>
    <w:rsid w:val="0068759C"/>
    <w:rsid w:val="00694BB7"/>
    <w:rsid w:val="006A2B82"/>
    <w:rsid w:val="006C659D"/>
    <w:rsid w:val="006D107C"/>
    <w:rsid w:val="006D211F"/>
    <w:rsid w:val="006D4997"/>
    <w:rsid w:val="006D5026"/>
    <w:rsid w:val="006D5228"/>
    <w:rsid w:val="006E0345"/>
    <w:rsid w:val="006E6742"/>
    <w:rsid w:val="006F07FD"/>
    <w:rsid w:val="006F2AB6"/>
    <w:rsid w:val="00701999"/>
    <w:rsid w:val="007045D2"/>
    <w:rsid w:val="00704AE1"/>
    <w:rsid w:val="00704E91"/>
    <w:rsid w:val="00711F83"/>
    <w:rsid w:val="00720D76"/>
    <w:rsid w:val="0072304A"/>
    <w:rsid w:val="007329AF"/>
    <w:rsid w:val="007336CB"/>
    <w:rsid w:val="00734AAF"/>
    <w:rsid w:val="00744354"/>
    <w:rsid w:val="00752945"/>
    <w:rsid w:val="007559F9"/>
    <w:rsid w:val="007565D6"/>
    <w:rsid w:val="007569F0"/>
    <w:rsid w:val="00757A7D"/>
    <w:rsid w:val="00770A55"/>
    <w:rsid w:val="007737C8"/>
    <w:rsid w:val="00774B9B"/>
    <w:rsid w:val="007809E8"/>
    <w:rsid w:val="0078590B"/>
    <w:rsid w:val="00785A0D"/>
    <w:rsid w:val="00791E33"/>
    <w:rsid w:val="007958FE"/>
    <w:rsid w:val="007A056C"/>
    <w:rsid w:val="007A6FFB"/>
    <w:rsid w:val="007B2A96"/>
    <w:rsid w:val="007B787D"/>
    <w:rsid w:val="007C54D9"/>
    <w:rsid w:val="007C7DBF"/>
    <w:rsid w:val="007D0775"/>
    <w:rsid w:val="007D0BD2"/>
    <w:rsid w:val="007E0227"/>
    <w:rsid w:val="007E54BE"/>
    <w:rsid w:val="007E6355"/>
    <w:rsid w:val="007F584B"/>
    <w:rsid w:val="00812C09"/>
    <w:rsid w:val="008144BF"/>
    <w:rsid w:val="0081485A"/>
    <w:rsid w:val="00815AD5"/>
    <w:rsid w:val="00817C05"/>
    <w:rsid w:val="008203FD"/>
    <w:rsid w:val="00821E0C"/>
    <w:rsid w:val="00835C1C"/>
    <w:rsid w:val="00836047"/>
    <w:rsid w:val="008401D8"/>
    <w:rsid w:val="00840D2A"/>
    <w:rsid w:val="00842978"/>
    <w:rsid w:val="00851CDD"/>
    <w:rsid w:val="0085467A"/>
    <w:rsid w:val="00854C57"/>
    <w:rsid w:val="008635E6"/>
    <w:rsid w:val="00863A46"/>
    <w:rsid w:val="00866E28"/>
    <w:rsid w:val="008760B1"/>
    <w:rsid w:val="0087767E"/>
    <w:rsid w:val="00884C0B"/>
    <w:rsid w:val="00890BCB"/>
    <w:rsid w:val="0089784F"/>
    <w:rsid w:val="008A00E7"/>
    <w:rsid w:val="008A1527"/>
    <w:rsid w:val="008A1867"/>
    <w:rsid w:val="008A1BC2"/>
    <w:rsid w:val="008A43E0"/>
    <w:rsid w:val="008B2C1A"/>
    <w:rsid w:val="008B3AA7"/>
    <w:rsid w:val="008B76F5"/>
    <w:rsid w:val="008C0908"/>
    <w:rsid w:val="008C1067"/>
    <w:rsid w:val="008C2414"/>
    <w:rsid w:val="008C3AAD"/>
    <w:rsid w:val="008C6B83"/>
    <w:rsid w:val="008E2136"/>
    <w:rsid w:val="008E674B"/>
    <w:rsid w:val="008F0942"/>
    <w:rsid w:val="008F0AAE"/>
    <w:rsid w:val="008F3B60"/>
    <w:rsid w:val="008F4FBC"/>
    <w:rsid w:val="009036AE"/>
    <w:rsid w:val="00905DD8"/>
    <w:rsid w:val="00906948"/>
    <w:rsid w:val="009074CA"/>
    <w:rsid w:val="00907E3E"/>
    <w:rsid w:val="00911E79"/>
    <w:rsid w:val="00912A5B"/>
    <w:rsid w:val="00920869"/>
    <w:rsid w:val="009209CA"/>
    <w:rsid w:val="00921434"/>
    <w:rsid w:val="00923A7F"/>
    <w:rsid w:val="00924BFD"/>
    <w:rsid w:val="009253E0"/>
    <w:rsid w:val="00926D14"/>
    <w:rsid w:val="00932A09"/>
    <w:rsid w:val="009334FF"/>
    <w:rsid w:val="009342AD"/>
    <w:rsid w:val="00934521"/>
    <w:rsid w:val="00934580"/>
    <w:rsid w:val="00937930"/>
    <w:rsid w:val="00942646"/>
    <w:rsid w:val="009430B1"/>
    <w:rsid w:val="009463D8"/>
    <w:rsid w:val="00946502"/>
    <w:rsid w:val="00954463"/>
    <w:rsid w:val="009547E1"/>
    <w:rsid w:val="00955A3C"/>
    <w:rsid w:val="00956924"/>
    <w:rsid w:val="00960465"/>
    <w:rsid w:val="009627DA"/>
    <w:rsid w:val="009668BA"/>
    <w:rsid w:val="00966F4A"/>
    <w:rsid w:val="00971B25"/>
    <w:rsid w:val="00974D86"/>
    <w:rsid w:val="009804FB"/>
    <w:rsid w:val="0099687D"/>
    <w:rsid w:val="00996D77"/>
    <w:rsid w:val="009A1C54"/>
    <w:rsid w:val="009A2869"/>
    <w:rsid w:val="009B540A"/>
    <w:rsid w:val="009B75A2"/>
    <w:rsid w:val="009B789F"/>
    <w:rsid w:val="009B7D78"/>
    <w:rsid w:val="009C0FF7"/>
    <w:rsid w:val="009C15E0"/>
    <w:rsid w:val="009C6182"/>
    <w:rsid w:val="009C6C6B"/>
    <w:rsid w:val="009C6CB7"/>
    <w:rsid w:val="009D7EAF"/>
    <w:rsid w:val="009E24BF"/>
    <w:rsid w:val="009E3538"/>
    <w:rsid w:val="009F25AA"/>
    <w:rsid w:val="009F78EE"/>
    <w:rsid w:val="00A00BB8"/>
    <w:rsid w:val="00A0383A"/>
    <w:rsid w:val="00A038AE"/>
    <w:rsid w:val="00A21324"/>
    <w:rsid w:val="00A22492"/>
    <w:rsid w:val="00A36DF4"/>
    <w:rsid w:val="00A36EC4"/>
    <w:rsid w:val="00A56650"/>
    <w:rsid w:val="00A6185F"/>
    <w:rsid w:val="00A63743"/>
    <w:rsid w:val="00A774C4"/>
    <w:rsid w:val="00A8101A"/>
    <w:rsid w:val="00A8296D"/>
    <w:rsid w:val="00A85EC2"/>
    <w:rsid w:val="00A871BD"/>
    <w:rsid w:val="00A9082D"/>
    <w:rsid w:val="00A929E5"/>
    <w:rsid w:val="00A931D8"/>
    <w:rsid w:val="00A9448F"/>
    <w:rsid w:val="00A95390"/>
    <w:rsid w:val="00A9556B"/>
    <w:rsid w:val="00A95ED3"/>
    <w:rsid w:val="00A97084"/>
    <w:rsid w:val="00AA0FF1"/>
    <w:rsid w:val="00AA2332"/>
    <w:rsid w:val="00AA5F53"/>
    <w:rsid w:val="00AB2619"/>
    <w:rsid w:val="00AB428F"/>
    <w:rsid w:val="00AB5A5E"/>
    <w:rsid w:val="00AB6B7E"/>
    <w:rsid w:val="00AC4224"/>
    <w:rsid w:val="00AD59F8"/>
    <w:rsid w:val="00AE4836"/>
    <w:rsid w:val="00AF1791"/>
    <w:rsid w:val="00AF36F8"/>
    <w:rsid w:val="00AF57B2"/>
    <w:rsid w:val="00AF6C92"/>
    <w:rsid w:val="00B128ED"/>
    <w:rsid w:val="00B15130"/>
    <w:rsid w:val="00B1681B"/>
    <w:rsid w:val="00B17B59"/>
    <w:rsid w:val="00B21783"/>
    <w:rsid w:val="00B2282A"/>
    <w:rsid w:val="00B34D8C"/>
    <w:rsid w:val="00B357C9"/>
    <w:rsid w:val="00B36FE4"/>
    <w:rsid w:val="00B4448A"/>
    <w:rsid w:val="00B4764D"/>
    <w:rsid w:val="00B47E29"/>
    <w:rsid w:val="00B50E70"/>
    <w:rsid w:val="00B52BF9"/>
    <w:rsid w:val="00B6065D"/>
    <w:rsid w:val="00B616C5"/>
    <w:rsid w:val="00B62554"/>
    <w:rsid w:val="00B71F38"/>
    <w:rsid w:val="00B73DCB"/>
    <w:rsid w:val="00B74C41"/>
    <w:rsid w:val="00B8127A"/>
    <w:rsid w:val="00B84303"/>
    <w:rsid w:val="00B85AD7"/>
    <w:rsid w:val="00B90B6A"/>
    <w:rsid w:val="00B923EF"/>
    <w:rsid w:val="00BA2EE6"/>
    <w:rsid w:val="00BA3331"/>
    <w:rsid w:val="00BA3942"/>
    <w:rsid w:val="00BB0337"/>
    <w:rsid w:val="00BB39A8"/>
    <w:rsid w:val="00BB6624"/>
    <w:rsid w:val="00BB68A0"/>
    <w:rsid w:val="00BC0495"/>
    <w:rsid w:val="00BC09B9"/>
    <w:rsid w:val="00BC0DBB"/>
    <w:rsid w:val="00BC3988"/>
    <w:rsid w:val="00BC692A"/>
    <w:rsid w:val="00BC7C80"/>
    <w:rsid w:val="00BD4FBF"/>
    <w:rsid w:val="00BE24A2"/>
    <w:rsid w:val="00BE3BA2"/>
    <w:rsid w:val="00BE64B3"/>
    <w:rsid w:val="00BE6BE0"/>
    <w:rsid w:val="00BEEE2C"/>
    <w:rsid w:val="00BF29B7"/>
    <w:rsid w:val="00BF2ED6"/>
    <w:rsid w:val="00C02291"/>
    <w:rsid w:val="00C03847"/>
    <w:rsid w:val="00C07193"/>
    <w:rsid w:val="00C14154"/>
    <w:rsid w:val="00C165BF"/>
    <w:rsid w:val="00C17AD7"/>
    <w:rsid w:val="00C2263E"/>
    <w:rsid w:val="00C23483"/>
    <w:rsid w:val="00C253BC"/>
    <w:rsid w:val="00C26B51"/>
    <w:rsid w:val="00C34281"/>
    <w:rsid w:val="00C342E2"/>
    <w:rsid w:val="00C3606C"/>
    <w:rsid w:val="00C37569"/>
    <w:rsid w:val="00C42768"/>
    <w:rsid w:val="00C43F2B"/>
    <w:rsid w:val="00C455B6"/>
    <w:rsid w:val="00C500C9"/>
    <w:rsid w:val="00C528ED"/>
    <w:rsid w:val="00C55826"/>
    <w:rsid w:val="00C5779D"/>
    <w:rsid w:val="00C654B0"/>
    <w:rsid w:val="00C71A72"/>
    <w:rsid w:val="00C74A32"/>
    <w:rsid w:val="00C8097C"/>
    <w:rsid w:val="00C86816"/>
    <w:rsid w:val="00C90232"/>
    <w:rsid w:val="00C90751"/>
    <w:rsid w:val="00C9076C"/>
    <w:rsid w:val="00C90EB0"/>
    <w:rsid w:val="00C92909"/>
    <w:rsid w:val="00C93478"/>
    <w:rsid w:val="00CA105F"/>
    <w:rsid w:val="00CB05E2"/>
    <w:rsid w:val="00CB0FDB"/>
    <w:rsid w:val="00CC1087"/>
    <w:rsid w:val="00CC38B0"/>
    <w:rsid w:val="00CC4DC0"/>
    <w:rsid w:val="00CC53F7"/>
    <w:rsid w:val="00CD148B"/>
    <w:rsid w:val="00CE1CE9"/>
    <w:rsid w:val="00CE5AE3"/>
    <w:rsid w:val="00CF2B32"/>
    <w:rsid w:val="00CF3067"/>
    <w:rsid w:val="00CF6049"/>
    <w:rsid w:val="00CF70E8"/>
    <w:rsid w:val="00D0167F"/>
    <w:rsid w:val="00D051C9"/>
    <w:rsid w:val="00D1224C"/>
    <w:rsid w:val="00D134A2"/>
    <w:rsid w:val="00D1603C"/>
    <w:rsid w:val="00D16F70"/>
    <w:rsid w:val="00D202C9"/>
    <w:rsid w:val="00D20382"/>
    <w:rsid w:val="00D32451"/>
    <w:rsid w:val="00D408D4"/>
    <w:rsid w:val="00D40FC2"/>
    <w:rsid w:val="00D41F49"/>
    <w:rsid w:val="00D42684"/>
    <w:rsid w:val="00D47086"/>
    <w:rsid w:val="00D54D69"/>
    <w:rsid w:val="00D61751"/>
    <w:rsid w:val="00D61FCA"/>
    <w:rsid w:val="00D63D99"/>
    <w:rsid w:val="00D660F5"/>
    <w:rsid w:val="00D75825"/>
    <w:rsid w:val="00D75D7A"/>
    <w:rsid w:val="00D838E9"/>
    <w:rsid w:val="00D86C74"/>
    <w:rsid w:val="00D87B5F"/>
    <w:rsid w:val="00DA30FB"/>
    <w:rsid w:val="00DA761F"/>
    <w:rsid w:val="00DB3181"/>
    <w:rsid w:val="00DB500C"/>
    <w:rsid w:val="00DD12AC"/>
    <w:rsid w:val="00DD3FBC"/>
    <w:rsid w:val="00DE34E2"/>
    <w:rsid w:val="00DE55D0"/>
    <w:rsid w:val="00E026A3"/>
    <w:rsid w:val="00E04929"/>
    <w:rsid w:val="00E0633C"/>
    <w:rsid w:val="00E07403"/>
    <w:rsid w:val="00E111AF"/>
    <w:rsid w:val="00E14FB6"/>
    <w:rsid w:val="00E15844"/>
    <w:rsid w:val="00E21491"/>
    <w:rsid w:val="00E27B0C"/>
    <w:rsid w:val="00E31639"/>
    <w:rsid w:val="00E37C0F"/>
    <w:rsid w:val="00E47B90"/>
    <w:rsid w:val="00E505F6"/>
    <w:rsid w:val="00E53A88"/>
    <w:rsid w:val="00E6074E"/>
    <w:rsid w:val="00E620E3"/>
    <w:rsid w:val="00E72DC4"/>
    <w:rsid w:val="00E76462"/>
    <w:rsid w:val="00E844A0"/>
    <w:rsid w:val="00E85358"/>
    <w:rsid w:val="00EA507A"/>
    <w:rsid w:val="00EB1C18"/>
    <w:rsid w:val="00EB27DF"/>
    <w:rsid w:val="00EB5042"/>
    <w:rsid w:val="00EC0F3D"/>
    <w:rsid w:val="00EC1712"/>
    <w:rsid w:val="00EC6FBA"/>
    <w:rsid w:val="00EC7C0F"/>
    <w:rsid w:val="00ED2C21"/>
    <w:rsid w:val="00ED49E5"/>
    <w:rsid w:val="00ED74F4"/>
    <w:rsid w:val="00EE02E6"/>
    <w:rsid w:val="00EE1AF2"/>
    <w:rsid w:val="00EE24FA"/>
    <w:rsid w:val="00EE5E68"/>
    <w:rsid w:val="00EE6678"/>
    <w:rsid w:val="00EEBEC0"/>
    <w:rsid w:val="00EF1A51"/>
    <w:rsid w:val="00EF6A15"/>
    <w:rsid w:val="00F04523"/>
    <w:rsid w:val="00F11A7B"/>
    <w:rsid w:val="00F14BBD"/>
    <w:rsid w:val="00F15B26"/>
    <w:rsid w:val="00F212B9"/>
    <w:rsid w:val="00F265A8"/>
    <w:rsid w:val="00F30C92"/>
    <w:rsid w:val="00F33526"/>
    <w:rsid w:val="00F3744F"/>
    <w:rsid w:val="00F41B52"/>
    <w:rsid w:val="00F42FC0"/>
    <w:rsid w:val="00F431E6"/>
    <w:rsid w:val="00F43453"/>
    <w:rsid w:val="00F468F7"/>
    <w:rsid w:val="00F47A21"/>
    <w:rsid w:val="00F518BC"/>
    <w:rsid w:val="00F54B12"/>
    <w:rsid w:val="00F602C5"/>
    <w:rsid w:val="00F638F4"/>
    <w:rsid w:val="00F63FDC"/>
    <w:rsid w:val="00F652F8"/>
    <w:rsid w:val="00F66697"/>
    <w:rsid w:val="00F66830"/>
    <w:rsid w:val="00F7093A"/>
    <w:rsid w:val="00F85004"/>
    <w:rsid w:val="00FA25DE"/>
    <w:rsid w:val="00FA7C57"/>
    <w:rsid w:val="00FB7BEC"/>
    <w:rsid w:val="00FC3BB4"/>
    <w:rsid w:val="00FC484E"/>
    <w:rsid w:val="00FC54E1"/>
    <w:rsid w:val="00FD079B"/>
    <w:rsid w:val="00FD1747"/>
    <w:rsid w:val="00FD36E1"/>
    <w:rsid w:val="00FD4C4D"/>
    <w:rsid w:val="00FD5360"/>
    <w:rsid w:val="00FD7C5D"/>
    <w:rsid w:val="00FE3065"/>
    <w:rsid w:val="00FE60E4"/>
    <w:rsid w:val="00FE60E9"/>
    <w:rsid w:val="00FF325E"/>
    <w:rsid w:val="00FF3C6F"/>
    <w:rsid w:val="00FF3FE0"/>
    <w:rsid w:val="00FF4564"/>
    <w:rsid w:val="0117E0F6"/>
    <w:rsid w:val="0148754E"/>
    <w:rsid w:val="0165FA01"/>
    <w:rsid w:val="016D5A68"/>
    <w:rsid w:val="019F6D60"/>
    <w:rsid w:val="01AB1887"/>
    <w:rsid w:val="01BFA06E"/>
    <w:rsid w:val="01CC0C2D"/>
    <w:rsid w:val="01D182C0"/>
    <w:rsid w:val="01E63B41"/>
    <w:rsid w:val="01F8D6DE"/>
    <w:rsid w:val="0204B4E0"/>
    <w:rsid w:val="0207AA38"/>
    <w:rsid w:val="022F0D7C"/>
    <w:rsid w:val="024BFB7B"/>
    <w:rsid w:val="025AF239"/>
    <w:rsid w:val="0267C0DF"/>
    <w:rsid w:val="02682118"/>
    <w:rsid w:val="02886816"/>
    <w:rsid w:val="02CCB3D9"/>
    <w:rsid w:val="02D8DEDB"/>
    <w:rsid w:val="02E187DD"/>
    <w:rsid w:val="02F7884E"/>
    <w:rsid w:val="02FC2337"/>
    <w:rsid w:val="03019EE1"/>
    <w:rsid w:val="033BC25F"/>
    <w:rsid w:val="0341E62C"/>
    <w:rsid w:val="034CA464"/>
    <w:rsid w:val="03676C54"/>
    <w:rsid w:val="0392F924"/>
    <w:rsid w:val="039C8DF1"/>
    <w:rsid w:val="039F38CE"/>
    <w:rsid w:val="03C2DFCD"/>
    <w:rsid w:val="03C987AF"/>
    <w:rsid w:val="03DB0F86"/>
    <w:rsid w:val="03F7917F"/>
    <w:rsid w:val="03F8CEBD"/>
    <w:rsid w:val="040B8946"/>
    <w:rsid w:val="0432EE60"/>
    <w:rsid w:val="0455BC94"/>
    <w:rsid w:val="046B7761"/>
    <w:rsid w:val="049BB13B"/>
    <w:rsid w:val="04AB82EB"/>
    <w:rsid w:val="04B4F875"/>
    <w:rsid w:val="04B8D673"/>
    <w:rsid w:val="04D0CFE0"/>
    <w:rsid w:val="04D3C9C5"/>
    <w:rsid w:val="04E1F5F7"/>
    <w:rsid w:val="052E8AFA"/>
    <w:rsid w:val="05385E52"/>
    <w:rsid w:val="053EB382"/>
    <w:rsid w:val="05470C08"/>
    <w:rsid w:val="0550AB46"/>
    <w:rsid w:val="057C91CC"/>
    <w:rsid w:val="05C3BE62"/>
    <w:rsid w:val="060747C2"/>
    <w:rsid w:val="0610271B"/>
    <w:rsid w:val="06107F9D"/>
    <w:rsid w:val="0647AF67"/>
    <w:rsid w:val="065DD22C"/>
    <w:rsid w:val="0661F154"/>
    <w:rsid w:val="066CA041"/>
    <w:rsid w:val="066CA586"/>
    <w:rsid w:val="066F2457"/>
    <w:rsid w:val="06736321"/>
    <w:rsid w:val="0674D0D2"/>
    <w:rsid w:val="0676A31B"/>
    <w:rsid w:val="067DB4EC"/>
    <w:rsid w:val="068BA730"/>
    <w:rsid w:val="068C07F5"/>
    <w:rsid w:val="06A88042"/>
    <w:rsid w:val="06AAD77C"/>
    <w:rsid w:val="06D7726E"/>
    <w:rsid w:val="06F83519"/>
    <w:rsid w:val="06FD9BA1"/>
    <w:rsid w:val="07550BEE"/>
    <w:rsid w:val="075B30C5"/>
    <w:rsid w:val="079FDD84"/>
    <w:rsid w:val="07AC4FFE"/>
    <w:rsid w:val="07AE6628"/>
    <w:rsid w:val="07B6676E"/>
    <w:rsid w:val="07C102A8"/>
    <w:rsid w:val="07C82A50"/>
    <w:rsid w:val="07DD7A51"/>
    <w:rsid w:val="07F18126"/>
    <w:rsid w:val="08065811"/>
    <w:rsid w:val="0829D94B"/>
    <w:rsid w:val="08454F28"/>
    <w:rsid w:val="084ED5F9"/>
    <w:rsid w:val="0854E2D9"/>
    <w:rsid w:val="0857251C"/>
    <w:rsid w:val="086EA427"/>
    <w:rsid w:val="088226C0"/>
    <w:rsid w:val="08906DFC"/>
    <w:rsid w:val="08A14D3F"/>
    <w:rsid w:val="08AA4232"/>
    <w:rsid w:val="090EE5A5"/>
    <w:rsid w:val="09108D31"/>
    <w:rsid w:val="09134D50"/>
    <w:rsid w:val="091C6974"/>
    <w:rsid w:val="0945394D"/>
    <w:rsid w:val="095CA3F7"/>
    <w:rsid w:val="09621A75"/>
    <w:rsid w:val="09920178"/>
    <w:rsid w:val="09A436DB"/>
    <w:rsid w:val="09A43FF7"/>
    <w:rsid w:val="09A82EC3"/>
    <w:rsid w:val="09B189F6"/>
    <w:rsid w:val="09B24DAE"/>
    <w:rsid w:val="09C796D0"/>
    <w:rsid w:val="09E58D4D"/>
    <w:rsid w:val="09EE4744"/>
    <w:rsid w:val="0A02EAE5"/>
    <w:rsid w:val="0A0F1330"/>
    <w:rsid w:val="0A20A888"/>
    <w:rsid w:val="0A27E512"/>
    <w:rsid w:val="0A5C9608"/>
    <w:rsid w:val="0A65AB1C"/>
    <w:rsid w:val="0A66F4AA"/>
    <w:rsid w:val="0AA2E052"/>
    <w:rsid w:val="0AC73D36"/>
    <w:rsid w:val="0ACADED4"/>
    <w:rsid w:val="0B050BCA"/>
    <w:rsid w:val="0B069C89"/>
    <w:rsid w:val="0B6FB916"/>
    <w:rsid w:val="0B7851F3"/>
    <w:rsid w:val="0B7BF165"/>
    <w:rsid w:val="0BAAE391"/>
    <w:rsid w:val="0BE3DB32"/>
    <w:rsid w:val="0BE8BAB8"/>
    <w:rsid w:val="0BE8C574"/>
    <w:rsid w:val="0C0600A2"/>
    <w:rsid w:val="0C0D0AC6"/>
    <w:rsid w:val="0C1BE735"/>
    <w:rsid w:val="0C287D11"/>
    <w:rsid w:val="0C5CF4F4"/>
    <w:rsid w:val="0C648657"/>
    <w:rsid w:val="0C6EC49A"/>
    <w:rsid w:val="0C734EA7"/>
    <w:rsid w:val="0C7469D3"/>
    <w:rsid w:val="0C75FF20"/>
    <w:rsid w:val="0C78CB46"/>
    <w:rsid w:val="0C7DD93B"/>
    <w:rsid w:val="0C8177F2"/>
    <w:rsid w:val="0D05D5B8"/>
    <w:rsid w:val="0D762B71"/>
    <w:rsid w:val="0DB4AFB8"/>
    <w:rsid w:val="0DC40716"/>
    <w:rsid w:val="0DE6227B"/>
    <w:rsid w:val="0DEE8843"/>
    <w:rsid w:val="0DF8A59D"/>
    <w:rsid w:val="0DFD937E"/>
    <w:rsid w:val="0E07F48D"/>
    <w:rsid w:val="0E17AD1A"/>
    <w:rsid w:val="0E2A7DCB"/>
    <w:rsid w:val="0E349EB5"/>
    <w:rsid w:val="0E393C64"/>
    <w:rsid w:val="0E64C31A"/>
    <w:rsid w:val="0E67F894"/>
    <w:rsid w:val="0E6C164C"/>
    <w:rsid w:val="0E91382C"/>
    <w:rsid w:val="0E9E2C66"/>
    <w:rsid w:val="0EA922DC"/>
    <w:rsid w:val="0EB68F5B"/>
    <w:rsid w:val="0EC585D8"/>
    <w:rsid w:val="0EC920B1"/>
    <w:rsid w:val="0ECA096D"/>
    <w:rsid w:val="0ED9D444"/>
    <w:rsid w:val="0EE1CC18"/>
    <w:rsid w:val="0EEC0C2B"/>
    <w:rsid w:val="0F07FE67"/>
    <w:rsid w:val="0F11D911"/>
    <w:rsid w:val="0F305032"/>
    <w:rsid w:val="0F94F944"/>
    <w:rsid w:val="0FA9258C"/>
    <w:rsid w:val="0FAA4A59"/>
    <w:rsid w:val="0FAF1531"/>
    <w:rsid w:val="0FAF37EF"/>
    <w:rsid w:val="0FAF961B"/>
    <w:rsid w:val="0FB761E3"/>
    <w:rsid w:val="0FC4DDEA"/>
    <w:rsid w:val="0FC59E14"/>
    <w:rsid w:val="0FC8D645"/>
    <w:rsid w:val="0FD50CC5"/>
    <w:rsid w:val="1003FDE7"/>
    <w:rsid w:val="10150BF6"/>
    <w:rsid w:val="1018FD9E"/>
    <w:rsid w:val="102379AE"/>
    <w:rsid w:val="102EDB62"/>
    <w:rsid w:val="1050BDB5"/>
    <w:rsid w:val="1051E888"/>
    <w:rsid w:val="1059392C"/>
    <w:rsid w:val="105D4EF3"/>
    <w:rsid w:val="105E8DFF"/>
    <w:rsid w:val="107FB470"/>
    <w:rsid w:val="1086B608"/>
    <w:rsid w:val="108906A4"/>
    <w:rsid w:val="1095B087"/>
    <w:rsid w:val="10B68D9F"/>
    <w:rsid w:val="10BA1368"/>
    <w:rsid w:val="10C2EC13"/>
    <w:rsid w:val="10D9B50D"/>
    <w:rsid w:val="10DDAAC9"/>
    <w:rsid w:val="10E029D7"/>
    <w:rsid w:val="10E7F674"/>
    <w:rsid w:val="1111DFCC"/>
    <w:rsid w:val="1115B8A1"/>
    <w:rsid w:val="111C8AB5"/>
    <w:rsid w:val="112030DE"/>
    <w:rsid w:val="11283B4B"/>
    <w:rsid w:val="11442157"/>
    <w:rsid w:val="114E1D89"/>
    <w:rsid w:val="115A3F3A"/>
    <w:rsid w:val="1167D9BD"/>
    <w:rsid w:val="117217A7"/>
    <w:rsid w:val="11EDB8E9"/>
    <w:rsid w:val="11F91F54"/>
    <w:rsid w:val="1209615F"/>
    <w:rsid w:val="12101F00"/>
    <w:rsid w:val="122D5EF3"/>
    <w:rsid w:val="1248162F"/>
    <w:rsid w:val="1255484E"/>
    <w:rsid w:val="12574B96"/>
    <w:rsid w:val="1262B26E"/>
    <w:rsid w:val="1275856E"/>
    <w:rsid w:val="127AA0BD"/>
    <w:rsid w:val="129456D8"/>
    <w:rsid w:val="12A9D8BB"/>
    <w:rsid w:val="12BE7774"/>
    <w:rsid w:val="12DDA03B"/>
    <w:rsid w:val="12DF18FD"/>
    <w:rsid w:val="12E81262"/>
    <w:rsid w:val="12F1CA55"/>
    <w:rsid w:val="13048E9B"/>
    <w:rsid w:val="130ED906"/>
    <w:rsid w:val="1339D3B2"/>
    <w:rsid w:val="133D20BB"/>
    <w:rsid w:val="13602CE6"/>
    <w:rsid w:val="13809AA6"/>
    <w:rsid w:val="13B9D039"/>
    <w:rsid w:val="13D3FF4D"/>
    <w:rsid w:val="13E2505F"/>
    <w:rsid w:val="13EE216B"/>
    <w:rsid w:val="13F118AF"/>
    <w:rsid w:val="14124339"/>
    <w:rsid w:val="141BBC91"/>
    <w:rsid w:val="1422F3C2"/>
    <w:rsid w:val="14338EF6"/>
    <w:rsid w:val="144A6CDA"/>
    <w:rsid w:val="145477A1"/>
    <w:rsid w:val="14683D22"/>
    <w:rsid w:val="14AA1CF2"/>
    <w:rsid w:val="15009B18"/>
    <w:rsid w:val="1525EC24"/>
    <w:rsid w:val="15266D71"/>
    <w:rsid w:val="15397652"/>
    <w:rsid w:val="153DF183"/>
    <w:rsid w:val="155EBECB"/>
    <w:rsid w:val="1563B443"/>
    <w:rsid w:val="156921AA"/>
    <w:rsid w:val="156D1227"/>
    <w:rsid w:val="1579771D"/>
    <w:rsid w:val="157D810D"/>
    <w:rsid w:val="1590ADE5"/>
    <w:rsid w:val="15AD7349"/>
    <w:rsid w:val="15DF2AC3"/>
    <w:rsid w:val="15E95796"/>
    <w:rsid w:val="16011E32"/>
    <w:rsid w:val="160A168C"/>
    <w:rsid w:val="1617927A"/>
    <w:rsid w:val="162B25EC"/>
    <w:rsid w:val="1638F0A1"/>
    <w:rsid w:val="1648D0F9"/>
    <w:rsid w:val="1653EC0A"/>
    <w:rsid w:val="16836AAD"/>
    <w:rsid w:val="1696721E"/>
    <w:rsid w:val="16A18E1A"/>
    <w:rsid w:val="16A74A4A"/>
    <w:rsid w:val="16AAB340"/>
    <w:rsid w:val="16B10384"/>
    <w:rsid w:val="16BF8019"/>
    <w:rsid w:val="16C956B8"/>
    <w:rsid w:val="16D019DF"/>
    <w:rsid w:val="16D47DFD"/>
    <w:rsid w:val="170B0897"/>
    <w:rsid w:val="171E45BF"/>
    <w:rsid w:val="1757559D"/>
    <w:rsid w:val="17731D3E"/>
    <w:rsid w:val="17762805"/>
    <w:rsid w:val="177DD1E9"/>
    <w:rsid w:val="178A963A"/>
    <w:rsid w:val="17B3178E"/>
    <w:rsid w:val="17D4C102"/>
    <w:rsid w:val="17FF7946"/>
    <w:rsid w:val="180294C8"/>
    <w:rsid w:val="1808CFE9"/>
    <w:rsid w:val="180B4CFE"/>
    <w:rsid w:val="180DE097"/>
    <w:rsid w:val="181FB934"/>
    <w:rsid w:val="1828FBED"/>
    <w:rsid w:val="1834F01A"/>
    <w:rsid w:val="183C7ACB"/>
    <w:rsid w:val="186A2384"/>
    <w:rsid w:val="18719DF8"/>
    <w:rsid w:val="187E1818"/>
    <w:rsid w:val="1885B978"/>
    <w:rsid w:val="18A6F005"/>
    <w:rsid w:val="18BCE701"/>
    <w:rsid w:val="18FF6D44"/>
    <w:rsid w:val="190EED9F"/>
    <w:rsid w:val="1917620B"/>
    <w:rsid w:val="191974A0"/>
    <w:rsid w:val="191BE6D1"/>
    <w:rsid w:val="192B9F0B"/>
    <w:rsid w:val="192C542E"/>
    <w:rsid w:val="193BDF5C"/>
    <w:rsid w:val="194F333C"/>
    <w:rsid w:val="19523656"/>
    <w:rsid w:val="197C835E"/>
    <w:rsid w:val="199B7AB0"/>
    <w:rsid w:val="19D7A896"/>
    <w:rsid w:val="1A1A0153"/>
    <w:rsid w:val="1A2FF62A"/>
    <w:rsid w:val="1A3D131F"/>
    <w:rsid w:val="1A53F4C2"/>
    <w:rsid w:val="1A7BB212"/>
    <w:rsid w:val="1A7D782A"/>
    <w:rsid w:val="1A878918"/>
    <w:rsid w:val="1A91409F"/>
    <w:rsid w:val="1AC0E837"/>
    <w:rsid w:val="1AE178E3"/>
    <w:rsid w:val="1AE8A6B7"/>
    <w:rsid w:val="1AEE06B7"/>
    <w:rsid w:val="1B021802"/>
    <w:rsid w:val="1B11CB8F"/>
    <w:rsid w:val="1B4B33F3"/>
    <w:rsid w:val="1B851DCE"/>
    <w:rsid w:val="1BB64290"/>
    <w:rsid w:val="1BF9B777"/>
    <w:rsid w:val="1C03EF58"/>
    <w:rsid w:val="1C19B891"/>
    <w:rsid w:val="1C4B3170"/>
    <w:rsid w:val="1C9335F7"/>
    <w:rsid w:val="1C93C48D"/>
    <w:rsid w:val="1C9E0864"/>
    <w:rsid w:val="1CA83225"/>
    <w:rsid w:val="1CB0787C"/>
    <w:rsid w:val="1CB3E36A"/>
    <w:rsid w:val="1CF2AC31"/>
    <w:rsid w:val="1D1FAA6B"/>
    <w:rsid w:val="1D43BF81"/>
    <w:rsid w:val="1D929C11"/>
    <w:rsid w:val="1DBC85C3"/>
    <w:rsid w:val="1DF860EE"/>
    <w:rsid w:val="1E001B2E"/>
    <w:rsid w:val="1E1015FB"/>
    <w:rsid w:val="1E25275B"/>
    <w:rsid w:val="1E627E83"/>
    <w:rsid w:val="1E688022"/>
    <w:rsid w:val="1EAC4821"/>
    <w:rsid w:val="1EB05ADB"/>
    <w:rsid w:val="1EB30514"/>
    <w:rsid w:val="1EB406DB"/>
    <w:rsid w:val="1ECEBC10"/>
    <w:rsid w:val="1ED1A377"/>
    <w:rsid w:val="1EFC6F1B"/>
    <w:rsid w:val="1EFFDD68"/>
    <w:rsid w:val="1F7E2F23"/>
    <w:rsid w:val="1F80C472"/>
    <w:rsid w:val="1FC94B1F"/>
    <w:rsid w:val="1FCCE1C8"/>
    <w:rsid w:val="1FCE0A5C"/>
    <w:rsid w:val="1FD22643"/>
    <w:rsid w:val="2002306F"/>
    <w:rsid w:val="20112496"/>
    <w:rsid w:val="20546E9C"/>
    <w:rsid w:val="2068FCDA"/>
    <w:rsid w:val="207786F9"/>
    <w:rsid w:val="20822BCF"/>
    <w:rsid w:val="208AE1A8"/>
    <w:rsid w:val="20976B41"/>
    <w:rsid w:val="209CCBF2"/>
    <w:rsid w:val="20B18EC4"/>
    <w:rsid w:val="20E2C195"/>
    <w:rsid w:val="20FD5FA5"/>
    <w:rsid w:val="21475A50"/>
    <w:rsid w:val="21500D90"/>
    <w:rsid w:val="216AA7B4"/>
    <w:rsid w:val="216D89E4"/>
    <w:rsid w:val="219A6746"/>
    <w:rsid w:val="219ACCA4"/>
    <w:rsid w:val="21A642EA"/>
    <w:rsid w:val="21A8FA96"/>
    <w:rsid w:val="21AC1581"/>
    <w:rsid w:val="21B345C3"/>
    <w:rsid w:val="21BBB3BF"/>
    <w:rsid w:val="21FA7E92"/>
    <w:rsid w:val="22094439"/>
    <w:rsid w:val="221730A4"/>
    <w:rsid w:val="2217FD53"/>
    <w:rsid w:val="221AA78C"/>
    <w:rsid w:val="221E457A"/>
    <w:rsid w:val="2258DA8A"/>
    <w:rsid w:val="2264B88C"/>
    <w:rsid w:val="229396BE"/>
    <w:rsid w:val="22981E6F"/>
    <w:rsid w:val="229A3808"/>
    <w:rsid w:val="22A1DD38"/>
    <w:rsid w:val="22A6CE76"/>
    <w:rsid w:val="22AC0C60"/>
    <w:rsid w:val="22CA6BB4"/>
    <w:rsid w:val="22CE597A"/>
    <w:rsid w:val="22D3626B"/>
    <w:rsid w:val="22DA27DD"/>
    <w:rsid w:val="22E70C28"/>
    <w:rsid w:val="2313ADBE"/>
    <w:rsid w:val="231CFF51"/>
    <w:rsid w:val="2323FAA9"/>
    <w:rsid w:val="232D3000"/>
    <w:rsid w:val="2331AFB3"/>
    <w:rsid w:val="2343B461"/>
    <w:rsid w:val="234CD105"/>
    <w:rsid w:val="235E6534"/>
    <w:rsid w:val="2399D8A8"/>
    <w:rsid w:val="23AD19AE"/>
    <w:rsid w:val="23B2B7C6"/>
    <w:rsid w:val="23D406C6"/>
    <w:rsid w:val="23E551FC"/>
    <w:rsid w:val="23EF5504"/>
    <w:rsid w:val="23F96AAF"/>
    <w:rsid w:val="2402D899"/>
    <w:rsid w:val="2441B440"/>
    <w:rsid w:val="244A3616"/>
    <w:rsid w:val="24654487"/>
    <w:rsid w:val="24747115"/>
    <w:rsid w:val="2497FBA0"/>
    <w:rsid w:val="24C55525"/>
    <w:rsid w:val="24C6F6AA"/>
    <w:rsid w:val="24F04292"/>
    <w:rsid w:val="2535A909"/>
    <w:rsid w:val="2540E4FB"/>
    <w:rsid w:val="25410A31"/>
    <w:rsid w:val="254AECE5"/>
    <w:rsid w:val="2555F68F"/>
    <w:rsid w:val="256908B8"/>
    <w:rsid w:val="25767CAB"/>
    <w:rsid w:val="25891AA6"/>
    <w:rsid w:val="258C6153"/>
    <w:rsid w:val="25B314E4"/>
    <w:rsid w:val="25CD5719"/>
    <w:rsid w:val="2606DA11"/>
    <w:rsid w:val="263A5777"/>
    <w:rsid w:val="2640A89F"/>
    <w:rsid w:val="2659074E"/>
    <w:rsid w:val="26678DB1"/>
    <w:rsid w:val="2668B8FD"/>
    <w:rsid w:val="26748308"/>
    <w:rsid w:val="267DA770"/>
    <w:rsid w:val="267DC211"/>
    <w:rsid w:val="26DFE543"/>
    <w:rsid w:val="26F434BE"/>
    <w:rsid w:val="270BA788"/>
    <w:rsid w:val="271D31E7"/>
    <w:rsid w:val="273168D4"/>
    <w:rsid w:val="273EC00C"/>
    <w:rsid w:val="274A2208"/>
    <w:rsid w:val="27506C16"/>
    <w:rsid w:val="275D9F4D"/>
    <w:rsid w:val="276512E2"/>
    <w:rsid w:val="27894108"/>
    <w:rsid w:val="2793626D"/>
    <w:rsid w:val="27B36162"/>
    <w:rsid w:val="27E41D7A"/>
    <w:rsid w:val="27FD98F2"/>
    <w:rsid w:val="2803D86F"/>
    <w:rsid w:val="2819DCEA"/>
    <w:rsid w:val="28282DFC"/>
    <w:rsid w:val="28340BFE"/>
    <w:rsid w:val="284C1774"/>
    <w:rsid w:val="2868D3D8"/>
    <w:rsid w:val="28AE1D6D"/>
    <w:rsid w:val="28CD3935"/>
    <w:rsid w:val="28E6EE16"/>
    <w:rsid w:val="28EB6B9C"/>
    <w:rsid w:val="2902D842"/>
    <w:rsid w:val="2908718A"/>
    <w:rsid w:val="2918C9C1"/>
    <w:rsid w:val="2921FCC0"/>
    <w:rsid w:val="2928D8D2"/>
    <w:rsid w:val="292C5E04"/>
    <w:rsid w:val="2943919C"/>
    <w:rsid w:val="29605066"/>
    <w:rsid w:val="296587D8"/>
    <w:rsid w:val="29662F11"/>
    <w:rsid w:val="29844826"/>
    <w:rsid w:val="2984FC44"/>
    <w:rsid w:val="299563C7"/>
    <w:rsid w:val="29B54832"/>
    <w:rsid w:val="29B806DC"/>
    <w:rsid w:val="29E648DA"/>
    <w:rsid w:val="29F7BE79"/>
    <w:rsid w:val="2A14F78C"/>
    <w:rsid w:val="2A1C3AEF"/>
    <w:rsid w:val="2A43646F"/>
    <w:rsid w:val="2A5FE713"/>
    <w:rsid w:val="2A6C5BB8"/>
    <w:rsid w:val="2A957D78"/>
    <w:rsid w:val="2AB86C20"/>
    <w:rsid w:val="2AD6C298"/>
    <w:rsid w:val="2AE270A2"/>
    <w:rsid w:val="2B050E23"/>
    <w:rsid w:val="2B6B1548"/>
    <w:rsid w:val="2B6D9379"/>
    <w:rsid w:val="2B8D7A22"/>
    <w:rsid w:val="2B932AFB"/>
    <w:rsid w:val="2B985A41"/>
    <w:rsid w:val="2BBBAA72"/>
    <w:rsid w:val="2BD8B39B"/>
    <w:rsid w:val="2BF167B1"/>
    <w:rsid w:val="2BF5D807"/>
    <w:rsid w:val="2BF6F906"/>
    <w:rsid w:val="2BF995B2"/>
    <w:rsid w:val="2C448616"/>
    <w:rsid w:val="2C4BA2F5"/>
    <w:rsid w:val="2C619A8B"/>
    <w:rsid w:val="2C6E7F7B"/>
    <w:rsid w:val="2C78F108"/>
    <w:rsid w:val="2CA477A7"/>
    <w:rsid w:val="2CC9218E"/>
    <w:rsid w:val="2CDEADEB"/>
    <w:rsid w:val="2CE8F591"/>
    <w:rsid w:val="2CF64CE2"/>
    <w:rsid w:val="2CF98C9A"/>
    <w:rsid w:val="2D0B50F7"/>
    <w:rsid w:val="2D0D732D"/>
    <w:rsid w:val="2D2CF2BF"/>
    <w:rsid w:val="2D649806"/>
    <w:rsid w:val="2D69634D"/>
    <w:rsid w:val="2DAA371C"/>
    <w:rsid w:val="2DB8D2CD"/>
    <w:rsid w:val="2DD64965"/>
    <w:rsid w:val="2DE1BDA8"/>
    <w:rsid w:val="2DED867B"/>
    <w:rsid w:val="2DF17455"/>
    <w:rsid w:val="2DFAD884"/>
    <w:rsid w:val="2E113E70"/>
    <w:rsid w:val="2E3E24F9"/>
    <w:rsid w:val="2E494178"/>
    <w:rsid w:val="2E73336A"/>
    <w:rsid w:val="2E832F26"/>
    <w:rsid w:val="2EA201AA"/>
    <w:rsid w:val="2EA33A26"/>
    <w:rsid w:val="2EA9A676"/>
    <w:rsid w:val="2F092688"/>
    <w:rsid w:val="2F229A8E"/>
    <w:rsid w:val="2F26158A"/>
    <w:rsid w:val="2F363893"/>
    <w:rsid w:val="2F41B295"/>
    <w:rsid w:val="2F897BBB"/>
    <w:rsid w:val="2F986DBB"/>
    <w:rsid w:val="2FA56561"/>
    <w:rsid w:val="2FAF3273"/>
    <w:rsid w:val="2FB8CB57"/>
    <w:rsid w:val="2FBB948C"/>
    <w:rsid w:val="2FF03653"/>
    <w:rsid w:val="300C90BB"/>
    <w:rsid w:val="30106491"/>
    <w:rsid w:val="30245757"/>
    <w:rsid w:val="30348919"/>
    <w:rsid w:val="305F6D28"/>
    <w:rsid w:val="3077D229"/>
    <w:rsid w:val="30BEFEBF"/>
    <w:rsid w:val="30C077CB"/>
    <w:rsid w:val="30C3336F"/>
    <w:rsid w:val="30C84178"/>
    <w:rsid w:val="30ED63F3"/>
    <w:rsid w:val="31565C0E"/>
    <w:rsid w:val="316884DA"/>
    <w:rsid w:val="316CB879"/>
    <w:rsid w:val="3186B4BC"/>
    <w:rsid w:val="319112C9"/>
    <w:rsid w:val="31A3488E"/>
    <w:rsid w:val="31C268F2"/>
    <w:rsid w:val="31C35720"/>
    <w:rsid w:val="31D0597A"/>
    <w:rsid w:val="31D813D7"/>
    <w:rsid w:val="31D926B0"/>
    <w:rsid w:val="32278427"/>
    <w:rsid w:val="323CD470"/>
    <w:rsid w:val="327BC593"/>
    <w:rsid w:val="3283F5E1"/>
    <w:rsid w:val="328A1EEF"/>
    <w:rsid w:val="32C18623"/>
    <w:rsid w:val="32D00AC9"/>
    <w:rsid w:val="32FF0BA6"/>
    <w:rsid w:val="3303FCC4"/>
    <w:rsid w:val="33093E9E"/>
    <w:rsid w:val="3324D1BE"/>
    <w:rsid w:val="3352E7F9"/>
    <w:rsid w:val="336627D1"/>
    <w:rsid w:val="336C1A2B"/>
    <w:rsid w:val="33758FB5"/>
    <w:rsid w:val="3396AF35"/>
    <w:rsid w:val="339CB462"/>
    <w:rsid w:val="33C27353"/>
    <w:rsid w:val="33C67737"/>
    <w:rsid w:val="33F3F2EE"/>
    <w:rsid w:val="3408A1E7"/>
    <w:rsid w:val="342B94C7"/>
    <w:rsid w:val="3446D167"/>
    <w:rsid w:val="347293A8"/>
    <w:rsid w:val="348BC856"/>
    <w:rsid w:val="349E2527"/>
    <w:rsid w:val="34A1320D"/>
    <w:rsid w:val="34B47B4D"/>
    <w:rsid w:val="34B5B016"/>
    <w:rsid w:val="34DB65AB"/>
    <w:rsid w:val="34EBC33A"/>
    <w:rsid w:val="34F0D62A"/>
    <w:rsid w:val="34F17A00"/>
    <w:rsid w:val="34F5D4E2"/>
    <w:rsid w:val="34F64E69"/>
    <w:rsid w:val="34FAF7E2"/>
    <w:rsid w:val="3500D25A"/>
    <w:rsid w:val="3507FA3C"/>
    <w:rsid w:val="351B5D97"/>
    <w:rsid w:val="3520257F"/>
    <w:rsid w:val="352D3C72"/>
    <w:rsid w:val="35747695"/>
    <w:rsid w:val="3585CDB8"/>
    <w:rsid w:val="359E1464"/>
    <w:rsid w:val="35C27E67"/>
    <w:rsid w:val="35CC11D7"/>
    <w:rsid w:val="35DBE42D"/>
    <w:rsid w:val="35E96B7F"/>
    <w:rsid w:val="35EDD081"/>
    <w:rsid w:val="3600C72C"/>
    <w:rsid w:val="360C9FE3"/>
    <w:rsid w:val="361A9F8E"/>
    <w:rsid w:val="3623F64C"/>
    <w:rsid w:val="3635A251"/>
    <w:rsid w:val="3648939D"/>
    <w:rsid w:val="365EB9EF"/>
    <w:rsid w:val="36996673"/>
    <w:rsid w:val="36B1B8FB"/>
    <w:rsid w:val="36B344D7"/>
    <w:rsid w:val="36B7704A"/>
    <w:rsid w:val="36EC28E0"/>
    <w:rsid w:val="370A1672"/>
    <w:rsid w:val="3726AA6E"/>
    <w:rsid w:val="3756082E"/>
    <w:rsid w:val="37795D55"/>
    <w:rsid w:val="377D0445"/>
    <w:rsid w:val="377FB380"/>
    <w:rsid w:val="379EAAD2"/>
    <w:rsid w:val="37B7EA62"/>
    <w:rsid w:val="37D7D029"/>
    <w:rsid w:val="37DD00B4"/>
    <w:rsid w:val="37F0B292"/>
    <w:rsid w:val="37F20CD2"/>
    <w:rsid w:val="381195CC"/>
    <w:rsid w:val="3830A230"/>
    <w:rsid w:val="3832C09A"/>
    <w:rsid w:val="38354AF3"/>
    <w:rsid w:val="3842BFCA"/>
    <w:rsid w:val="387464D1"/>
    <w:rsid w:val="387FBCE0"/>
    <w:rsid w:val="389B73F8"/>
    <w:rsid w:val="38A9FE42"/>
    <w:rsid w:val="38AC15F4"/>
    <w:rsid w:val="38B5CA4A"/>
    <w:rsid w:val="38BE3C58"/>
    <w:rsid w:val="38C7DB64"/>
    <w:rsid w:val="38C86FFC"/>
    <w:rsid w:val="38D14378"/>
    <w:rsid w:val="3932D3F8"/>
    <w:rsid w:val="393AAD0F"/>
    <w:rsid w:val="393B6D9D"/>
    <w:rsid w:val="3944E327"/>
    <w:rsid w:val="395E082B"/>
    <w:rsid w:val="39837FF2"/>
    <w:rsid w:val="399154C1"/>
    <w:rsid w:val="39965AB1"/>
    <w:rsid w:val="39BDB05D"/>
    <w:rsid w:val="39DBFE48"/>
    <w:rsid w:val="39F13ACF"/>
    <w:rsid w:val="3A011758"/>
    <w:rsid w:val="3A0A22BA"/>
    <w:rsid w:val="3A11DA4E"/>
    <w:rsid w:val="3A27E9EF"/>
    <w:rsid w:val="3A505C7D"/>
    <w:rsid w:val="3A5C0990"/>
    <w:rsid w:val="3A5E02EC"/>
    <w:rsid w:val="3A729E51"/>
    <w:rsid w:val="3A823636"/>
    <w:rsid w:val="3AAB1BD2"/>
    <w:rsid w:val="3AACCE01"/>
    <w:rsid w:val="3ABCF2CD"/>
    <w:rsid w:val="3ACAEFC2"/>
    <w:rsid w:val="3ACF130F"/>
    <w:rsid w:val="3AD9A678"/>
    <w:rsid w:val="3AFEC09A"/>
    <w:rsid w:val="3B073673"/>
    <w:rsid w:val="3B182C0C"/>
    <w:rsid w:val="3B1A9365"/>
    <w:rsid w:val="3B3AAC2E"/>
    <w:rsid w:val="3B41A1E3"/>
    <w:rsid w:val="3B6A261E"/>
    <w:rsid w:val="3B73494E"/>
    <w:rsid w:val="3B7B11F4"/>
    <w:rsid w:val="3B8722D5"/>
    <w:rsid w:val="3B8D8653"/>
    <w:rsid w:val="3B8F6E25"/>
    <w:rsid w:val="3BA1B424"/>
    <w:rsid w:val="3BAD8DB0"/>
    <w:rsid w:val="3BB30B5E"/>
    <w:rsid w:val="3BC4DED2"/>
    <w:rsid w:val="3BC64B46"/>
    <w:rsid w:val="3BE3BA11"/>
    <w:rsid w:val="3BE9138B"/>
    <w:rsid w:val="3C339E3D"/>
    <w:rsid w:val="3C3BB877"/>
    <w:rsid w:val="3C3E9C55"/>
    <w:rsid w:val="3C5D72D2"/>
    <w:rsid w:val="3C5DBDFA"/>
    <w:rsid w:val="3C61B024"/>
    <w:rsid w:val="3C724DD1"/>
    <w:rsid w:val="3C85A704"/>
    <w:rsid w:val="3CCDFB73"/>
    <w:rsid w:val="3D0AFA44"/>
    <w:rsid w:val="3D1B5291"/>
    <w:rsid w:val="3D1BE616"/>
    <w:rsid w:val="3D254DAF"/>
    <w:rsid w:val="3D2E81B3"/>
    <w:rsid w:val="3D2FBF15"/>
    <w:rsid w:val="3D30EA2B"/>
    <w:rsid w:val="3D3457C4"/>
    <w:rsid w:val="3D41EC83"/>
    <w:rsid w:val="3D55175A"/>
    <w:rsid w:val="3D67411A"/>
    <w:rsid w:val="3D8D8F2D"/>
    <w:rsid w:val="3D95EBF2"/>
    <w:rsid w:val="3DBAD809"/>
    <w:rsid w:val="3DF8C18D"/>
    <w:rsid w:val="3E01B439"/>
    <w:rsid w:val="3E15DEDC"/>
    <w:rsid w:val="3E172FF2"/>
    <w:rsid w:val="3E1E0E8D"/>
    <w:rsid w:val="3E5DFB60"/>
    <w:rsid w:val="3E66A41D"/>
    <w:rsid w:val="3E912180"/>
    <w:rsid w:val="3E950C8D"/>
    <w:rsid w:val="3EAF6DC0"/>
    <w:rsid w:val="3EC4DEFA"/>
    <w:rsid w:val="3ED69963"/>
    <w:rsid w:val="3EE03022"/>
    <w:rsid w:val="3EF7FB48"/>
    <w:rsid w:val="3F085897"/>
    <w:rsid w:val="3F0AC10F"/>
    <w:rsid w:val="3F212CFF"/>
    <w:rsid w:val="3F3C500E"/>
    <w:rsid w:val="3F4803D6"/>
    <w:rsid w:val="3F5A0DCD"/>
    <w:rsid w:val="3F5E245D"/>
    <w:rsid w:val="3F7C365F"/>
    <w:rsid w:val="3FB89B97"/>
    <w:rsid w:val="3FC06400"/>
    <w:rsid w:val="3FC8CEB1"/>
    <w:rsid w:val="3FD0938E"/>
    <w:rsid w:val="402CF1E1"/>
    <w:rsid w:val="403B2A52"/>
    <w:rsid w:val="404F4911"/>
    <w:rsid w:val="405C44A8"/>
    <w:rsid w:val="40B235E3"/>
    <w:rsid w:val="40CC38E4"/>
    <w:rsid w:val="410ABE29"/>
    <w:rsid w:val="412BD9CE"/>
    <w:rsid w:val="414531F3"/>
    <w:rsid w:val="416AFD05"/>
    <w:rsid w:val="4184D1DB"/>
    <w:rsid w:val="41A35D46"/>
    <w:rsid w:val="41AC4DF0"/>
    <w:rsid w:val="41C6E779"/>
    <w:rsid w:val="41EDA12C"/>
    <w:rsid w:val="41F4B007"/>
    <w:rsid w:val="423662A9"/>
    <w:rsid w:val="42497E8A"/>
    <w:rsid w:val="424FED51"/>
    <w:rsid w:val="425D87D4"/>
    <w:rsid w:val="42903891"/>
    <w:rsid w:val="42A21CD8"/>
    <w:rsid w:val="42A797CC"/>
    <w:rsid w:val="42C0AE7E"/>
    <w:rsid w:val="42C102D2"/>
    <w:rsid w:val="42D2C94D"/>
    <w:rsid w:val="42F8B799"/>
    <w:rsid w:val="43000ACC"/>
    <w:rsid w:val="4304EA71"/>
    <w:rsid w:val="4310B10B"/>
    <w:rsid w:val="431BAA56"/>
    <w:rsid w:val="43219E60"/>
    <w:rsid w:val="43281020"/>
    <w:rsid w:val="432D92D0"/>
    <w:rsid w:val="433091FD"/>
    <w:rsid w:val="433245CA"/>
    <w:rsid w:val="4339D392"/>
    <w:rsid w:val="433F6FED"/>
    <w:rsid w:val="436BF033"/>
    <w:rsid w:val="43774453"/>
    <w:rsid w:val="438A3073"/>
    <w:rsid w:val="43BCB20F"/>
    <w:rsid w:val="43D6A876"/>
    <w:rsid w:val="43E0DC30"/>
    <w:rsid w:val="43E3DA2F"/>
    <w:rsid w:val="440A67A0"/>
    <w:rsid w:val="443284C4"/>
    <w:rsid w:val="4441329E"/>
    <w:rsid w:val="447B675F"/>
    <w:rsid w:val="447DE980"/>
    <w:rsid w:val="4488ECAC"/>
    <w:rsid w:val="44A9EED6"/>
    <w:rsid w:val="44F0BA9F"/>
    <w:rsid w:val="44F41F36"/>
    <w:rsid w:val="44F9E952"/>
    <w:rsid w:val="45160C29"/>
    <w:rsid w:val="4531B0A9"/>
    <w:rsid w:val="45352533"/>
    <w:rsid w:val="45816A9C"/>
    <w:rsid w:val="45A7A1B5"/>
    <w:rsid w:val="45DD4BE3"/>
    <w:rsid w:val="45E20CE6"/>
    <w:rsid w:val="45F3542B"/>
    <w:rsid w:val="45FE2267"/>
    <w:rsid w:val="462AB133"/>
    <w:rsid w:val="4660CE2C"/>
    <w:rsid w:val="469A7E45"/>
    <w:rsid w:val="46AC0A0F"/>
    <w:rsid w:val="46BBCFD6"/>
    <w:rsid w:val="46C53EEE"/>
    <w:rsid w:val="46CE34A7"/>
    <w:rsid w:val="46E13A11"/>
    <w:rsid w:val="471193D0"/>
    <w:rsid w:val="471A7550"/>
    <w:rsid w:val="472A52A4"/>
    <w:rsid w:val="47473917"/>
    <w:rsid w:val="47767663"/>
    <w:rsid w:val="4780F5B5"/>
    <w:rsid w:val="47A398C5"/>
    <w:rsid w:val="47A5E746"/>
    <w:rsid w:val="47B0667D"/>
    <w:rsid w:val="47C68194"/>
    <w:rsid w:val="47CC26DC"/>
    <w:rsid w:val="47D7F94B"/>
    <w:rsid w:val="481593B3"/>
    <w:rsid w:val="483F672C"/>
    <w:rsid w:val="48404561"/>
    <w:rsid w:val="484C125C"/>
    <w:rsid w:val="4850A9F4"/>
    <w:rsid w:val="4865DC7F"/>
    <w:rsid w:val="4881EB74"/>
    <w:rsid w:val="488914FB"/>
    <w:rsid w:val="489D02EC"/>
    <w:rsid w:val="48B26CA3"/>
    <w:rsid w:val="48D5DE70"/>
    <w:rsid w:val="4905F5E7"/>
    <w:rsid w:val="493CA69F"/>
    <w:rsid w:val="496FFD1A"/>
    <w:rsid w:val="49789A9C"/>
    <w:rsid w:val="498D9EB1"/>
    <w:rsid w:val="499CD454"/>
    <w:rsid w:val="49A5CAEF"/>
    <w:rsid w:val="49A632C0"/>
    <w:rsid w:val="49CA6D6B"/>
    <w:rsid w:val="49EC5371"/>
    <w:rsid w:val="49FAC9E8"/>
    <w:rsid w:val="4A16DB98"/>
    <w:rsid w:val="4A387F39"/>
    <w:rsid w:val="4A3D0607"/>
    <w:rsid w:val="4A44456A"/>
    <w:rsid w:val="4A5B5261"/>
    <w:rsid w:val="4A8A79C8"/>
    <w:rsid w:val="4AB1CB8A"/>
    <w:rsid w:val="4AEA6426"/>
    <w:rsid w:val="4AFE8548"/>
    <w:rsid w:val="4B482715"/>
    <w:rsid w:val="4B7B97FE"/>
    <w:rsid w:val="4B806635"/>
    <w:rsid w:val="4B86D3AC"/>
    <w:rsid w:val="4B9306A0"/>
    <w:rsid w:val="4B9AE558"/>
    <w:rsid w:val="4BA95825"/>
    <w:rsid w:val="4BAB24C8"/>
    <w:rsid w:val="4BD20D97"/>
    <w:rsid w:val="4BE5A217"/>
    <w:rsid w:val="4BE63FA6"/>
    <w:rsid w:val="4BF31617"/>
    <w:rsid w:val="4BF5D2DE"/>
    <w:rsid w:val="4C026734"/>
    <w:rsid w:val="4C238A89"/>
    <w:rsid w:val="4C62A6ED"/>
    <w:rsid w:val="4C88088C"/>
    <w:rsid w:val="4C88B35F"/>
    <w:rsid w:val="4C8E6192"/>
    <w:rsid w:val="4C95A7A3"/>
    <w:rsid w:val="4CB509D7"/>
    <w:rsid w:val="4CB62902"/>
    <w:rsid w:val="4CD47516"/>
    <w:rsid w:val="4CEE125E"/>
    <w:rsid w:val="4CEE140F"/>
    <w:rsid w:val="4CFDDD8E"/>
    <w:rsid w:val="4D210953"/>
    <w:rsid w:val="4D275B38"/>
    <w:rsid w:val="4D372720"/>
    <w:rsid w:val="4D62A9EB"/>
    <w:rsid w:val="4D6DF226"/>
    <w:rsid w:val="4D96588C"/>
    <w:rsid w:val="4DABC778"/>
    <w:rsid w:val="4E37088A"/>
    <w:rsid w:val="4E5546B8"/>
    <w:rsid w:val="4E6C565E"/>
    <w:rsid w:val="4E892E7A"/>
    <w:rsid w:val="4E9E7337"/>
    <w:rsid w:val="4EA80E98"/>
    <w:rsid w:val="4EB88A8F"/>
    <w:rsid w:val="4EE7E879"/>
    <w:rsid w:val="4EEC11A1"/>
    <w:rsid w:val="4EF00BD2"/>
    <w:rsid w:val="4F12D035"/>
    <w:rsid w:val="4F196741"/>
    <w:rsid w:val="4F2101C5"/>
    <w:rsid w:val="4F24E4C2"/>
    <w:rsid w:val="4F2AC9A2"/>
    <w:rsid w:val="4F301BD3"/>
    <w:rsid w:val="4F452B87"/>
    <w:rsid w:val="4F4BABB9"/>
    <w:rsid w:val="4F52313F"/>
    <w:rsid w:val="4F5813FA"/>
    <w:rsid w:val="4F67645C"/>
    <w:rsid w:val="4F76D936"/>
    <w:rsid w:val="4F834759"/>
    <w:rsid w:val="4F978905"/>
    <w:rsid w:val="4FA478C8"/>
    <w:rsid w:val="4FD1275C"/>
    <w:rsid w:val="4FD9FF4C"/>
    <w:rsid w:val="4FEBAE26"/>
    <w:rsid w:val="503BA310"/>
    <w:rsid w:val="5042937C"/>
    <w:rsid w:val="5043DEF9"/>
    <w:rsid w:val="504862E9"/>
    <w:rsid w:val="5091742D"/>
    <w:rsid w:val="50CD42F7"/>
    <w:rsid w:val="50D5D21E"/>
    <w:rsid w:val="50F65A95"/>
    <w:rsid w:val="50FC36DE"/>
    <w:rsid w:val="512A17FD"/>
    <w:rsid w:val="51335966"/>
    <w:rsid w:val="513A3A57"/>
    <w:rsid w:val="514F10F0"/>
    <w:rsid w:val="515C62A3"/>
    <w:rsid w:val="518D03FB"/>
    <w:rsid w:val="518E430A"/>
    <w:rsid w:val="519185AA"/>
    <w:rsid w:val="51B4C2B8"/>
    <w:rsid w:val="51D015B2"/>
    <w:rsid w:val="51D92B1C"/>
    <w:rsid w:val="51E28C60"/>
    <w:rsid w:val="520128BF"/>
    <w:rsid w:val="5201FD2A"/>
    <w:rsid w:val="523D7021"/>
    <w:rsid w:val="527335FC"/>
    <w:rsid w:val="52968B23"/>
    <w:rsid w:val="52A98A60"/>
    <w:rsid w:val="52AA9518"/>
    <w:rsid w:val="52CD1602"/>
    <w:rsid w:val="52CF4468"/>
    <w:rsid w:val="52D62099"/>
    <w:rsid w:val="52DFE8EB"/>
    <w:rsid w:val="52E07A40"/>
    <w:rsid w:val="52E4F79C"/>
    <w:rsid w:val="52F0AECB"/>
    <w:rsid w:val="52F4F7F6"/>
    <w:rsid w:val="52F6161D"/>
    <w:rsid w:val="533A7544"/>
    <w:rsid w:val="533BDADF"/>
    <w:rsid w:val="53441D9F"/>
    <w:rsid w:val="535BCC94"/>
    <w:rsid w:val="53668AA9"/>
    <w:rsid w:val="5380F6F1"/>
    <w:rsid w:val="53926FD3"/>
    <w:rsid w:val="5397E8EC"/>
    <w:rsid w:val="539BFE50"/>
    <w:rsid w:val="53A3CF7B"/>
    <w:rsid w:val="53C56191"/>
    <w:rsid w:val="53E3E473"/>
    <w:rsid w:val="53E41744"/>
    <w:rsid w:val="53EABCCB"/>
    <w:rsid w:val="541D3ED1"/>
    <w:rsid w:val="54499AFC"/>
    <w:rsid w:val="5451EC6C"/>
    <w:rsid w:val="54786341"/>
    <w:rsid w:val="54A707E4"/>
    <w:rsid w:val="54BECC22"/>
    <w:rsid w:val="54BECE80"/>
    <w:rsid w:val="54EBFF9E"/>
    <w:rsid w:val="5504B47F"/>
    <w:rsid w:val="5506A225"/>
    <w:rsid w:val="55121681"/>
    <w:rsid w:val="55147EF9"/>
    <w:rsid w:val="551CC752"/>
    <w:rsid w:val="554AA6AB"/>
    <w:rsid w:val="555B2C27"/>
    <w:rsid w:val="555CDFC0"/>
    <w:rsid w:val="558DA21C"/>
    <w:rsid w:val="55E85061"/>
    <w:rsid w:val="5606E52A"/>
    <w:rsid w:val="561C3497"/>
    <w:rsid w:val="564CB018"/>
    <w:rsid w:val="56D39EB4"/>
    <w:rsid w:val="56DA742A"/>
    <w:rsid w:val="56E8C53C"/>
    <w:rsid w:val="56F27A02"/>
    <w:rsid w:val="57030462"/>
    <w:rsid w:val="571937E8"/>
    <w:rsid w:val="573C847B"/>
    <w:rsid w:val="576777B1"/>
    <w:rsid w:val="576AE5A8"/>
    <w:rsid w:val="57898D2E"/>
    <w:rsid w:val="57970173"/>
    <w:rsid w:val="5798E76E"/>
    <w:rsid w:val="57A402AE"/>
    <w:rsid w:val="57C45CEC"/>
    <w:rsid w:val="57C87152"/>
    <w:rsid w:val="57F34814"/>
    <w:rsid w:val="57FB54F2"/>
    <w:rsid w:val="5800D280"/>
    <w:rsid w:val="58065E83"/>
    <w:rsid w:val="583D0460"/>
    <w:rsid w:val="583F1CF1"/>
    <w:rsid w:val="58748EB5"/>
    <w:rsid w:val="588BCC0E"/>
    <w:rsid w:val="58A84729"/>
    <w:rsid w:val="58AFCDB2"/>
    <w:rsid w:val="58C29C70"/>
    <w:rsid w:val="58D87FC6"/>
    <w:rsid w:val="58E1BE00"/>
    <w:rsid w:val="58EADD05"/>
    <w:rsid w:val="59028FD7"/>
    <w:rsid w:val="5907930F"/>
    <w:rsid w:val="590DE8A5"/>
    <w:rsid w:val="59152BE6"/>
    <w:rsid w:val="59164AD6"/>
    <w:rsid w:val="591C9110"/>
    <w:rsid w:val="5938B804"/>
    <w:rsid w:val="5940FA78"/>
    <w:rsid w:val="594129F5"/>
    <w:rsid w:val="596F1700"/>
    <w:rsid w:val="598B9FCE"/>
    <w:rsid w:val="5999CFC1"/>
    <w:rsid w:val="599AABFF"/>
    <w:rsid w:val="59A4E6D3"/>
    <w:rsid w:val="59A50BB3"/>
    <w:rsid w:val="59CC14E8"/>
    <w:rsid w:val="59DCA827"/>
    <w:rsid w:val="59E6B599"/>
    <w:rsid w:val="59F3DB85"/>
    <w:rsid w:val="5A1E8174"/>
    <w:rsid w:val="5A2CE4FF"/>
    <w:rsid w:val="5A3A401B"/>
    <w:rsid w:val="5A3FB579"/>
    <w:rsid w:val="5A418F39"/>
    <w:rsid w:val="5A70FB28"/>
    <w:rsid w:val="5A7763CC"/>
    <w:rsid w:val="5ABC4AC8"/>
    <w:rsid w:val="5ACC2CC1"/>
    <w:rsid w:val="5AD7AB6D"/>
    <w:rsid w:val="5ADCFA56"/>
    <w:rsid w:val="5AE23FBC"/>
    <w:rsid w:val="5AE3D08B"/>
    <w:rsid w:val="5AE55A6F"/>
    <w:rsid w:val="5AF63B37"/>
    <w:rsid w:val="5B163C65"/>
    <w:rsid w:val="5B16F9C3"/>
    <w:rsid w:val="5B31518C"/>
    <w:rsid w:val="5B4201AB"/>
    <w:rsid w:val="5B4E5B2C"/>
    <w:rsid w:val="5B68ECED"/>
    <w:rsid w:val="5B82E2ED"/>
    <w:rsid w:val="5B85CE74"/>
    <w:rsid w:val="5B9330F9"/>
    <w:rsid w:val="5BA1339C"/>
    <w:rsid w:val="5BC08C7D"/>
    <w:rsid w:val="5BC2AA1D"/>
    <w:rsid w:val="5BD1D2E7"/>
    <w:rsid w:val="5C07E051"/>
    <w:rsid w:val="5C16D96D"/>
    <w:rsid w:val="5C5B8382"/>
    <w:rsid w:val="5C5BA7F9"/>
    <w:rsid w:val="5C8915DD"/>
    <w:rsid w:val="5CA6CE91"/>
    <w:rsid w:val="5CAA9137"/>
    <w:rsid w:val="5CB5D8B0"/>
    <w:rsid w:val="5CF1894C"/>
    <w:rsid w:val="5D00D3A6"/>
    <w:rsid w:val="5D081876"/>
    <w:rsid w:val="5D08ED9F"/>
    <w:rsid w:val="5D0EF5A0"/>
    <w:rsid w:val="5D4D0A99"/>
    <w:rsid w:val="5D6512D4"/>
    <w:rsid w:val="5D8B8E48"/>
    <w:rsid w:val="5D9558CD"/>
    <w:rsid w:val="5DD6B718"/>
    <w:rsid w:val="5DE1B735"/>
    <w:rsid w:val="5E149B18"/>
    <w:rsid w:val="5E4EFB79"/>
    <w:rsid w:val="5E576216"/>
    <w:rsid w:val="5E6FD866"/>
    <w:rsid w:val="5E787CD6"/>
    <w:rsid w:val="5E82C51E"/>
    <w:rsid w:val="5EC42242"/>
    <w:rsid w:val="5ECD27FB"/>
    <w:rsid w:val="5EDBF7B0"/>
    <w:rsid w:val="5EE3D039"/>
    <w:rsid w:val="5EEB3A52"/>
    <w:rsid w:val="5F118BF3"/>
    <w:rsid w:val="5F1832CB"/>
    <w:rsid w:val="5F446C4B"/>
    <w:rsid w:val="5F4A8A6C"/>
    <w:rsid w:val="5F4FCE16"/>
    <w:rsid w:val="5F640FF7"/>
    <w:rsid w:val="5F6C5BCB"/>
    <w:rsid w:val="5F825886"/>
    <w:rsid w:val="5F874C18"/>
    <w:rsid w:val="5FA6718F"/>
    <w:rsid w:val="5FC03759"/>
    <w:rsid w:val="5FE88B9B"/>
    <w:rsid w:val="5FEF64C7"/>
    <w:rsid w:val="5FF27EBA"/>
    <w:rsid w:val="6015564C"/>
    <w:rsid w:val="602D4FB9"/>
    <w:rsid w:val="60339718"/>
    <w:rsid w:val="60953C71"/>
    <w:rsid w:val="60E03CAC"/>
    <w:rsid w:val="60F12CCC"/>
    <w:rsid w:val="612BF935"/>
    <w:rsid w:val="61350E96"/>
    <w:rsid w:val="614AB62F"/>
    <w:rsid w:val="6156061B"/>
    <w:rsid w:val="615DEA3F"/>
    <w:rsid w:val="616945F9"/>
    <w:rsid w:val="616AD87F"/>
    <w:rsid w:val="617BB97B"/>
    <w:rsid w:val="619C79B5"/>
    <w:rsid w:val="61AF2ACD"/>
    <w:rsid w:val="61B5F79D"/>
    <w:rsid w:val="61B72CCE"/>
    <w:rsid w:val="61D4269A"/>
    <w:rsid w:val="6207269D"/>
    <w:rsid w:val="621B3B2E"/>
    <w:rsid w:val="622DD0BB"/>
    <w:rsid w:val="62487D12"/>
    <w:rsid w:val="6271A85A"/>
    <w:rsid w:val="6279395A"/>
    <w:rsid w:val="6295FA2B"/>
    <w:rsid w:val="630F5366"/>
    <w:rsid w:val="634E411F"/>
    <w:rsid w:val="63508C18"/>
    <w:rsid w:val="6372AA15"/>
    <w:rsid w:val="63782CC5"/>
    <w:rsid w:val="637F7FBA"/>
    <w:rsid w:val="63A1FD18"/>
    <w:rsid w:val="63B188A3"/>
    <w:rsid w:val="63C5508F"/>
    <w:rsid w:val="63C778F6"/>
    <w:rsid w:val="63D4D684"/>
    <w:rsid w:val="63E6BDBF"/>
    <w:rsid w:val="642D2404"/>
    <w:rsid w:val="64442E2F"/>
    <w:rsid w:val="644DE83F"/>
    <w:rsid w:val="6453F2B7"/>
    <w:rsid w:val="647BD832"/>
    <w:rsid w:val="647FED16"/>
    <w:rsid w:val="648957EF"/>
    <w:rsid w:val="64A94898"/>
    <w:rsid w:val="64AEE1E0"/>
    <w:rsid w:val="64F4AE41"/>
    <w:rsid w:val="64FBF907"/>
    <w:rsid w:val="65108175"/>
    <w:rsid w:val="65113265"/>
    <w:rsid w:val="6537E214"/>
    <w:rsid w:val="6551ABF8"/>
    <w:rsid w:val="65582C2A"/>
    <w:rsid w:val="655A5D52"/>
    <w:rsid w:val="6572E81E"/>
    <w:rsid w:val="65818EF0"/>
    <w:rsid w:val="65905F68"/>
    <w:rsid w:val="659D3501"/>
    <w:rsid w:val="659D4A57"/>
    <w:rsid w:val="659E2ECF"/>
    <w:rsid w:val="65AE36B2"/>
    <w:rsid w:val="65BA2F91"/>
    <w:rsid w:val="65D2DF76"/>
    <w:rsid w:val="65E7D45C"/>
    <w:rsid w:val="661BFCE2"/>
    <w:rsid w:val="663D5640"/>
    <w:rsid w:val="664518F9"/>
    <w:rsid w:val="664AB241"/>
    <w:rsid w:val="666A665E"/>
    <w:rsid w:val="66708BAE"/>
    <w:rsid w:val="66804B3A"/>
    <w:rsid w:val="66C7FE6D"/>
    <w:rsid w:val="66F66503"/>
    <w:rsid w:val="66FE5058"/>
    <w:rsid w:val="6732030E"/>
    <w:rsid w:val="67962DBD"/>
    <w:rsid w:val="67BF53AB"/>
    <w:rsid w:val="67DC6E32"/>
    <w:rsid w:val="67E0E95A"/>
    <w:rsid w:val="68158EF7"/>
    <w:rsid w:val="681687A7"/>
    <w:rsid w:val="683559D8"/>
    <w:rsid w:val="6864FA79"/>
    <w:rsid w:val="68834242"/>
    <w:rsid w:val="68851673"/>
    <w:rsid w:val="68C2C99B"/>
    <w:rsid w:val="68D540E0"/>
    <w:rsid w:val="68E87ADE"/>
    <w:rsid w:val="68F85186"/>
    <w:rsid w:val="6917687D"/>
    <w:rsid w:val="6920CF20"/>
    <w:rsid w:val="692F61EA"/>
    <w:rsid w:val="693982E6"/>
    <w:rsid w:val="6946D376"/>
    <w:rsid w:val="6970E17A"/>
    <w:rsid w:val="6976D006"/>
    <w:rsid w:val="69833B88"/>
    <w:rsid w:val="69BBC2C2"/>
    <w:rsid w:val="69E72605"/>
    <w:rsid w:val="69EEB4BE"/>
    <w:rsid w:val="69FDA6CE"/>
    <w:rsid w:val="6A5145BC"/>
    <w:rsid w:val="6A5EE181"/>
    <w:rsid w:val="6A7A1FF1"/>
    <w:rsid w:val="6A85B95C"/>
    <w:rsid w:val="6A8E3797"/>
    <w:rsid w:val="6A9B8EE8"/>
    <w:rsid w:val="6A9C04C5"/>
    <w:rsid w:val="6AC88C6A"/>
    <w:rsid w:val="6ACAE875"/>
    <w:rsid w:val="6AE91F0A"/>
    <w:rsid w:val="6AFF07C2"/>
    <w:rsid w:val="6B0B46C5"/>
    <w:rsid w:val="6B0CC662"/>
    <w:rsid w:val="6B336ED4"/>
    <w:rsid w:val="6B456FBE"/>
    <w:rsid w:val="6B698133"/>
    <w:rsid w:val="6B78DEF6"/>
    <w:rsid w:val="6B82F666"/>
    <w:rsid w:val="6BA35773"/>
    <w:rsid w:val="6BAA1A26"/>
    <w:rsid w:val="6BAA54D5"/>
    <w:rsid w:val="6BAF4D03"/>
    <w:rsid w:val="6BB7E19C"/>
    <w:rsid w:val="6BDD12F6"/>
    <w:rsid w:val="6BE5F2E0"/>
    <w:rsid w:val="6BEF18F3"/>
    <w:rsid w:val="6C154689"/>
    <w:rsid w:val="6C27F477"/>
    <w:rsid w:val="6C6D7063"/>
    <w:rsid w:val="6C70E183"/>
    <w:rsid w:val="6C7AFCF7"/>
    <w:rsid w:val="6C910AF3"/>
    <w:rsid w:val="6CA8C08C"/>
    <w:rsid w:val="6CC5B875"/>
    <w:rsid w:val="6CE3696B"/>
    <w:rsid w:val="6D1C2145"/>
    <w:rsid w:val="6D2F7EC1"/>
    <w:rsid w:val="6D68DD22"/>
    <w:rsid w:val="6D70B510"/>
    <w:rsid w:val="6D7FDCA4"/>
    <w:rsid w:val="6D8CA0D5"/>
    <w:rsid w:val="6DD15C4C"/>
    <w:rsid w:val="6E1C21AD"/>
    <w:rsid w:val="6E1C7C05"/>
    <w:rsid w:val="6E1D4385"/>
    <w:rsid w:val="6E2EAC46"/>
    <w:rsid w:val="6E31366A"/>
    <w:rsid w:val="6E40E765"/>
    <w:rsid w:val="6E47972B"/>
    <w:rsid w:val="6E4B001B"/>
    <w:rsid w:val="6E5B7B13"/>
    <w:rsid w:val="6E5C637D"/>
    <w:rsid w:val="6E96563E"/>
    <w:rsid w:val="6ED19AC2"/>
    <w:rsid w:val="6F0B0355"/>
    <w:rsid w:val="6F19333F"/>
    <w:rsid w:val="6F339B76"/>
    <w:rsid w:val="6F37B81E"/>
    <w:rsid w:val="6F4669C4"/>
    <w:rsid w:val="6F4F7EBA"/>
    <w:rsid w:val="6F6D1F16"/>
    <w:rsid w:val="6F6D2CAD"/>
    <w:rsid w:val="6F7AB34B"/>
    <w:rsid w:val="6FA0194A"/>
    <w:rsid w:val="6FA6946C"/>
    <w:rsid w:val="6FA98305"/>
    <w:rsid w:val="6FC579D2"/>
    <w:rsid w:val="6FD30648"/>
    <w:rsid w:val="6FE9F351"/>
    <w:rsid w:val="6FEE4454"/>
    <w:rsid w:val="7005BEBC"/>
    <w:rsid w:val="7006939A"/>
    <w:rsid w:val="7019B35A"/>
    <w:rsid w:val="701AAD48"/>
    <w:rsid w:val="702DAD4C"/>
    <w:rsid w:val="70498DAB"/>
    <w:rsid w:val="704C5019"/>
    <w:rsid w:val="70566789"/>
    <w:rsid w:val="7067BA31"/>
    <w:rsid w:val="7069FAFB"/>
    <w:rsid w:val="706D2DBA"/>
    <w:rsid w:val="7076C579"/>
    <w:rsid w:val="7079F918"/>
    <w:rsid w:val="70A3BDAF"/>
    <w:rsid w:val="70B8A59B"/>
    <w:rsid w:val="712D1E15"/>
    <w:rsid w:val="713B5F45"/>
    <w:rsid w:val="714CAAC5"/>
    <w:rsid w:val="71794161"/>
    <w:rsid w:val="7187CBA0"/>
    <w:rsid w:val="7193D75B"/>
    <w:rsid w:val="71BE6C65"/>
    <w:rsid w:val="71C0A20C"/>
    <w:rsid w:val="71D331D7"/>
    <w:rsid w:val="71FAE9EE"/>
    <w:rsid w:val="72212DD4"/>
    <w:rsid w:val="7229CA79"/>
    <w:rsid w:val="7240EC64"/>
    <w:rsid w:val="724AFE4C"/>
    <w:rsid w:val="728E0D8A"/>
    <w:rsid w:val="729DC1C0"/>
    <w:rsid w:val="72AED559"/>
    <w:rsid w:val="72C8EF3D"/>
    <w:rsid w:val="72E7E437"/>
    <w:rsid w:val="72EC08BA"/>
    <w:rsid w:val="7300372A"/>
    <w:rsid w:val="730C2F5B"/>
    <w:rsid w:val="73239C01"/>
    <w:rsid w:val="734F83A1"/>
    <w:rsid w:val="73827DAB"/>
    <w:rsid w:val="7383F0DB"/>
    <w:rsid w:val="7385E18A"/>
    <w:rsid w:val="7393BF75"/>
    <w:rsid w:val="73984349"/>
    <w:rsid w:val="73BCFE35"/>
    <w:rsid w:val="73C062CC"/>
    <w:rsid w:val="73CAE16D"/>
    <w:rsid w:val="73E079F9"/>
    <w:rsid w:val="73E6CEAD"/>
    <w:rsid w:val="73F0B628"/>
    <w:rsid w:val="73F8F40A"/>
    <w:rsid w:val="740B960F"/>
    <w:rsid w:val="741DF5F0"/>
    <w:rsid w:val="74288ED0"/>
    <w:rsid w:val="743EBD20"/>
    <w:rsid w:val="74440224"/>
    <w:rsid w:val="744AE3AC"/>
    <w:rsid w:val="744C03F0"/>
    <w:rsid w:val="745D36BF"/>
    <w:rsid w:val="746FDDEF"/>
    <w:rsid w:val="74821382"/>
    <w:rsid w:val="7483B498"/>
    <w:rsid w:val="74870994"/>
    <w:rsid w:val="749C45E3"/>
    <w:rsid w:val="74A6A41F"/>
    <w:rsid w:val="74BF8A25"/>
    <w:rsid w:val="74C87D2C"/>
    <w:rsid w:val="74DC1295"/>
    <w:rsid w:val="74EAB0FB"/>
    <w:rsid w:val="74EEAC81"/>
    <w:rsid w:val="75089BCE"/>
    <w:rsid w:val="750D7A49"/>
    <w:rsid w:val="751F741B"/>
    <w:rsid w:val="7551F634"/>
    <w:rsid w:val="7552E6DF"/>
    <w:rsid w:val="7558CE96"/>
    <w:rsid w:val="75661D0E"/>
    <w:rsid w:val="7594D213"/>
    <w:rsid w:val="75EB8057"/>
    <w:rsid w:val="760DA370"/>
    <w:rsid w:val="765109E6"/>
    <w:rsid w:val="76644D8D"/>
    <w:rsid w:val="7681E013"/>
    <w:rsid w:val="768C8B4B"/>
    <w:rsid w:val="76916702"/>
    <w:rsid w:val="769553D4"/>
    <w:rsid w:val="7704B3CA"/>
    <w:rsid w:val="771833FE"/>
    <w:rsid w:val="7730A724"/>
    <w:rsid w:val="7730CF7B"/>
    <w:rsid w:val="77777406"/>
    <w:rsid w:val="779D8B5C"/>
    <w:rsid w:val="77BEC489"/>
    <w:rsid w:val="77D8DA0E"/>
    <w:rsid w:val="77F91DEB"/>
    <w:rsid w:val="7807615F"/>
    <w:rsid w:val="781A9803"/>
    <w:rsid w:val="783439AE"/>
    <w:rsid w:val="785BAC75"/>
    <w:rsid w:val="7861796E"/>
    <w:rsid w:val="7866622F"/>
    <w:rsid w:val="7867F7B7"/>
    <w:rsid w:val="78758F26"/>
    <w:rsid w:val="789D080C"/>
    <w:rsid w:val="78AB591E"/>
    <w:rsid w:val="78B1D950"/>
    <w:rsid w:val="78FC227C"/>
    <w:rsid w:val="79068C2E"/>
    <w:rsid w:val="7924FA53"/>
    <w:rsid w:val="7926B623"/>
    <w:rsid w:val="793A6668"/>
    <w:rsid w:val="7955F483"/>
    <w:rsid w:val="795DB95F"/>
    <w:rsid w:val="79624882"/>
    <w:rsid w:val="796796BB"/>
    <w:rsid w:val="796C2355"/>
    <w:rsid w:val="7974776E"/>
    <w:rsid w:val="797A0241"/>
    <w:rsid w:val="797F4E70"/>
    <w:rsid w:val="7991D1B6"/>
    <w:rsid w:val="79A2CF24"/>
    <w:rsid w:val="79D5B1E6"/>
    <w:rsid w:val="79E9AAF7"/>
    <w:rsid w:val="7A0E1092"/>
    <w:rsid w:val="7A0FEE97"/>
    <w:rsid w:val="7A3A5FBC"/>
    <w:rsid w:val="7A5AA39F"/>
    <w:rsid w:val="7A77F27B"/>
    <w:rsid w:val="7AC28684"/>
    <w:rsid w:val="7AFF6D45"/>
    <w:rsid w:val="7B1405B9"/>
    <w:rsid w:val="7B180E1B"/>
    <w:rsid w:val="7B1DEFB3"/>
    <w:rsid w:val="7B455E1B"/>
    <w:rsid w:val="7B58748A"/>
    <w:rsid w:val="7B86A4D6"/>
    <w:rsid w:val="7B89064B"/>
    <w:rsid w:val="7BA9EF65"/>
    <w:rsid w:val="7BB2655B"/>
    <w:rsid w:val="7BCBE4E1"/>
    <w:rsid w:val="7BD2F976"/>
    <w:rsid w:val="7BD92107"/>
    <w:rsid w:val="7BDEF898"/>
    <w:rsid w:val="7BE90B5C"/>
    <w:rsid w:val="7BEDA6C1"/>
    <w:rsid w:val="7BFB1C2A"/>
    <w:rsid w:val="7C01E3B9"/>
    <w:rsid w:val="7C066115"/>
    <w:rsid w:val="7C623C86"/>
    <w:rsid w:val="7C7BB6DD"/>
    <w:rsid w:val="7C93F3D0"/>
    <w:rsid w:val="7CE5A385"/>
    <w:rsid w:val="7CEF004C"/>
    <w:rsid w:val="7CF6FCDA"/>
    <w:rsid w:val="7D34EA91"/>
    <w:rsid w:val="7D38CBA0"/>
    <w:rsid w:val="7D492E42"/>
    <w:rsid w:val="7D729598"/>
    <w:rsid w:val="7D7BC698"/>
    <w:rsid w:val="7D7FAD06"/>
    <w:rsid w:val="7DAFE217"/>
    <w:rsid w:val="7DDC50C0"/>
    <w:rsid w:val="7DE04033"/>
    <w:rsid w:val="7DE495DF"/>
    <w:rsid w:val="7DF8FB3D"/>
    <w:rsid w:val="7E02AE30"/>
    <w:rsid w:val="7E02FBE8"/>
    <w:rsid w:val="7E1D22E4"/>
    <w:rsid w:val="7E4067F1"/>
    <w:rsid w:val="7E5C5BD6"/>
    <w:rsid w:val="7E802694"/>
    <w:rsid w:val="7E891B23"/>
    <w:rsid w:val="7EE8FCA3"/>
    <w:rsid w:val="7EF00EFD"/>
    <w:rsid w:val="7F06A07D"/>
    <w:rsid w:val="7F12A284"/>
    <w:rsid w:val="7F1BBDB7"/>
    <w:rsid w:val="7F281663"/>
    <w:rsid w:val="7F449148"/>
    <w:rsid w:val="7F59F658"/>
    <w:rsid w:val="7FA12979"/>
    <w:rsid w:val="7FB3BF56"/>
    <w:rsid w:val="7FCEABCC"/>
    <w:rsid w:val="7FD18A06"/>
    <w:rsid w:val="7FD2A228"/>
    <w:rsid w:val="7FDF99AB"/>
    <w:rsid w:val="7FE108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1FEF3"/>
  <w15:chartTrackingRefBased/>
  <w15:docId w15:val="{220264BC-0C61-4027-8E63-387A157C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526"/>
    <w:pPr>
      <w:spacing w:after="0" w:line="240" w:lineRule="auto"/>
    </w:pPr>
    <w:rPr>
      <w:rFonts w:ascii="Calibri" w:hAnsi="Calibri" w:cs="Calibri"/>
      <w:sz w:val="20"/>
      <w:szCs w:val="20"/>
      <w:lang w:eastAsia="en-AU"/>
    </w:rPr>
  </w:style>
  <w:style w:type="paragraph" w:styleId="Heading1">
    <w:name w:val="heading 1"/>
    <w:basedOn w:val="Normal"/>
    <w:next w:val="Normal"/>
    <w:link w:val="Heading1Char"/>
    <w:uiPriority w:val="9"/>
    <w:qFormat/>
    <w:rsid w:val="009A1C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526"/>
    <w:rPr>
      <w:color w:val="0000FF"/>
      <w:u w:val="single"/>
    </w:rPr>
  </w:style>
  <w:style w:type="paragraph" w:styleId="NormalWeb">
    <w:name w:val="Normal (Web)"/>
    <w:basedOn w:val="Normal"/>
    <w:uiPriority w:val="99"/>
    <w:unhideWhenUsed/>
    <w:rsid w:val="00F33526"/>
    <w:pPr>
      <w:spacing w:before="100" w:beforeAutospacing="1" w:after="100" w:afterAutospacing="1"/>
    </w:pPr>
    <w:rPr>
      <w:sz w:val="22"/>
      <w:szCs w:val="22"/>
    </w:rPr>
  </w:style>
  <w:style w:type="character" w:styleId="Mention">
    <w:name w:val="Mention"/>
    <w:basedOn w:val="DefaultParagraphFont"/>
    <w:uiPriority w:val="99"/>
    <w:unhideWhenUsed/>
    <w:rsid w:val="00F33526"/>
    <w:rPr>
      <w:color w:val="2B579A"/>
      <w:shd w:val="clear" w:color="auto" w:fill="E1DFDD"/>
    </w:rPr>
  </w:style>
  <w:style w:type="character" w:styleId="UnresolvedMention">
    <w:name w:val="Unresolved Mention"/>
    <w:basedOn w:val="DefaultParagraphFont"/>
    <w:uiPriority w:val="99"/>
    <w:semiHidden/>
    <w:unhideWhenUsed/>
    <w:rsid w:val="00F33526"/>
    <w:rPr>
      <w:color w:val="605E5C"/>
      <w:shd w:val="clear" w:color="auto" w:fill="E1DFDD"/>
    </w:rPr>
  </w:style>
  <w:style w:type="character" w:customStyle="1" w:styleId="Heading1Char">
    <w:name w:val="Heading 1 Char"/>
    <w:basedOn w:val="DefaultParagraphFont"/>
    <w:link w:val="Heading1"/>
    <w:uiPriority w:val="9"/>
    <w:rsid w:val="009A1C54"/>
    <w:rPr>
      <w:rFonts w:asciiTheme="majorHAnsi" w:eastAsiaTheme="majorEastAsia" w:hAnsiTheme="majorHAnsi" w:cstheme="majorBidi"/>
      <w:color w:val="2F5496" w:themeColor="accent1" w:themeShade="BF"/>
      <w:sz w:val="32"/>
      <w:szCs w:val="32"/>
      <w:lang w:eastAsia="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Calibri"/>
      <w:sz w:val="20"/>
      <w:szCs w:val="20"/>
      <w:lang w:eastAsia="en-AU"/>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32297">
      <w:bodyDiv w:val="1"/>
      <w:marLeft w:val="0"/>
      <w:marRight w:val="0"/>
      <w:marTop w:val="0"/>
      <w:marBottom w:val="0"/>
      <w:divBdr>
        <w:top w:val="none" w:sz="0" w:space="0" w:color="auto"/>
        <w:left w:val="none" w:sz="0" w:space="0" w:color="auto"/>
        <w:bottom w:val="none" w:sz="0" w:space="0" w:color="auto"/>
        <w:right w:val="none" w:sz="0" w:space="0" w:color="auto"/>
      </w:divBdr>
    </w:div>
    <w:div w:id="2143189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s.plos.org/plos/2019/06/looking-good-tips-for-creating-your-plos-figures-graphics/" TargetMode="External"/><Relationship Id="rId18" Type="http://schemas.openxmlformats.org/officeDocument/2006/relationships/hyperlink" Target="https://pacev2.apexcovantag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blogs.plos.org/plos/2019/06/looking-good-tips-for-creating-your-plos-figures-graphics/" TargetMode="External"/><Relationship Id="rId17" Type="http://schemas.openxmlformats.org/officeDocument/2006/relationships/hyperlink" Target="https://www.plos.org/privacy-policy" TargetMode="External"/><Relationship Id="rId2" Type="http://schemas.openxmlformats.org/officeDocument/2006/relationships/customXml" Target="../customXml/item2.xml"/><Relationship Id="rId16" Type="http://schemas.openxmlformats.org/officeDocument/2006/relationships/hyperlink" Target="https://journals.plos.org/plosone/s/editorial-and-peer-review-proc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ournals.plos.org/plosone/s/competing-interests" TargetMode="External"/><Relationship Id="rId5" Type="http://schemas.openxmlformats.org/officeDocument/2006/relationships/styles" Target="styles.xml"/><Relationship Id="rId15" Type="http://schemas.openxmlformats.org/officeDocument/2006/relationships/hyperlink" Target="https://freshleafanalytics.com.au/report-h2-2021/" TargetMode="External"/><Relationship Id="rId23" Type="http://schemas.openxmlformats.org/officeDocument/2006/relationships/theme" Target="theme/theme1.xml"/><Relationship Id="rId10" Type="http://schemas.openxmlformats.org/officeDocument/2006/relationships/hyperlink" Target="http://journals.plos.org/plosone/s/data-availability" TargetMode="External"/><Relationship Id="rId19" Type="http://schemas.openxmlformats.org/officeDocument/2006/relationships/hyperlink" Target="mailto:figures@plo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osone.org/static/policies.a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89922-17c3-437b-baa9-9f890221bc73" xsi:nil="true"/>
    <lcf76f155ced4ddcb4097134ff3c332f xmlns="ab4f2937-ad8e-48fd-8083-391e34a34c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BA0C3F24527479BA0EF0273CCDE81" ma:contentTypeVersion="18" ma:contentTypeDescription="Create a new document." ma:contentTypeScope="" ma:versionID="b5549bbc7f9c59d25456f5e741d2b078">
  <xsd:schema xmlns:xsd="http://www.w3.org/2001/XMLSchema" xmlns:xs="http://www.w3.org/2001/XMLSchema" xmlns:p="http://schemas.microsoft.com/office/2006/metadata/properties" xmlns:ns2="87aca9a4-4df3-4912-92f9-99115d05e31d" xmlns:ns3="ab4f2937-ad8e-48fd-8083-391e34a34caa" xmlns:ns4="ec189922-17c3-437b-baa9-9f890221bc73" targetNamespace="http://schemas.microsoft.com/office/2006/metadata/properties" ma:root="true" ma:fieldsID="501c3675180c92ec33fc5558067e482f" ns2:_="" ns3:_="" ns4:_="">
    <xsd:import namespace="87aca9a4-4df3-4912-92f9-99115d05e31d"/>
    <xsd:import namespace="ab4f2937-ad8e-48fd-8083-391e34a34caa"/>
    <xsd:import namespace="ec189922-17c3-437b-baa9-9f890221bc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ca9a4-4df3-4912-92f9-99115d05e3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4f2937-ad8e-48fd-8083-391e34a34c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6462ae-a128-4c7a-b182-702299ae65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89922-17c3-437b-baa9-9f890221bc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ffa0dea-921c-4f3f-8dcc-d1c4347a632f}" ma:internalName="TaxCatchAll" ma:showField="CatchAllData" ma:web="ec189922-17c3-437b-baa9-9f890221b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A6D7B-A6A2-459A-B56F-CE59204F5BF4}">
  <ds:schemaRefs>
    <ds:schemaRef ds:uri="http://schemas.microsoft.com/office/2006/metadata/properties"/>
    <ds:schemaRef ds:uri="http://schemas.microsoft.com/office/infopath/2007/PartnerControls"/>
    <ds:schemaRef ds:uri="ec189922-17c3-437b-baa9-9f890221bc73"/>
    <ds:schemaRef ds:uri="ab4f2937-ad8e-48fd-8083-391e34a34caa"/>
  </ds:schemaRefs>
</ds:datastoreItem>
</file>

<file path=customXml/itemProps2.xml><?xml version="1.0" encoding="utf-8"?>
<ds:datastoreItem xmlns:ds="http://schemas.openxmlformats.org/officeDocument/2006/customXml" ds:itemID="{76A6B983-71FF-490B-8E5C-FD4DE6473134}">
  <ds:schemaRefs>
    <ds:schemaRef ds:uri="http://schemas.microsoft.com/sharepoint/v3/contenttype/forms"/>
  </ds:schemaRefs>
</ds:datastoreItem>
</file>

<file path=customXml/itemProps3.xml><?xml version="1.0" encoding="utf-8"?>
<ds:datastoreItem xmlns:ds="http://schemas.openxmlformats.org/officeDocument/2006/customXml" ds:itemID="{FA70E88D-93BE-4CAA-975F-3F7772DF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ca9a4-4df3-4912-92f9-99115d05e31d"/>
    <ds:schemaRef ds:uri="ab4f2937-ad8e-48fd-8083-391e34a34caa"/>
    <ds:schemaRef ds:uri="ec189922-17c3-437b-baa9-9f890221b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4824</Words>
  <Characters>27500</Characters>
  <Application>Microsoft Office Word</Application>
  <DocSecurity>4</DocSecurity>
  <Lines>229</Lines>
  <Paragraphs>64</Paragraphs>
  <ScaleCrop>false</ScaleCrop>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Vickery</dc:creator>
  <cp:keywords/>
  <dc:description/>
  <cp:lastModifiedBy>Alistair Vickery</cp:lastModifiedBy>
  <cp:revision>538</cp:revision>
  <dcterms:created xsi:type="dcterms:W3CDTF">2022-09-08T07:16:00Z</dcterms:created>
  <dcterms:modified xsi:type="dcterms:W3CDTF">2022-10-14T05:29:00Z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0x010100C70BA0C3F24527479BA0EF0273CCDE81</vt:lpwstr>
  </property>
  <property fmtid="{D5CDD505-2E9C-101B-9397-08002B2CF9AE}" pid="3" name="MediaServiceImageTags">
    <vt:lpwstr/>
  </property>
</Properties>
</file>