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DF4" w:rsidRPr="007F7874" w:rsidRDefault="007F7874" w:rsidP="007F7874">
      <w:pPr>
        <w:jc w:val="center"/>
        <w:rPr>
          <w:b/>
        </w:rPr>
      </w:pPr>
      <w:r w:rsidRPr="007F787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304800</wp:posOffset>
            </wp:positionV>
            <wp:extent cx="5867400" cy="3302635"/>
            <wp:effectExtent l="0" t="0" r="0" b="0"/>
            <wp:wrapTopAndBottom/>
            <wp:docPr id="1" name="Picture 1" descr="C:\Users\sdnewman\Downloads\taurine2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newman\Downloads\taurine2 (2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874">
        <w:rPr>
          <w:b/>
        </w:rPr>
        <w:t>Supplementary Materials</w:t>
      </w:r>
    </w:p>
    <w:p w:rsidR="007F7874" w:rsidRDefault="007F7874">
      <w:r>
        <w:t xml:space="preserve">Figure S1: </w:t>
      </w:r>
      <w:r>
        <w:rPr>
          <w:rFonts w:ascii="Calibri" w:hAnsi="Calibri" w:cs="Calibri"/>
          <w:color w:val="201F1E"/>
          <w:shd w:val="clear" w:color="auto" w:fill="FFFFFF"/>
        </w:rPr>
        <w:t> Synthetic data demonstrating the taurine peak and the non-negligible contribution of taurine to the spectra. (</w:t>
      </w:r>
      <w:proofErr w:type="gramStart"/>
      <w:r>
        <w:rPr>
          <w:rFonts w:ascii="Calibri" w:hAnsi="Calibri" w:cs="Calibri"/>
          <w:color w:val="201F1E"/>
          <w:shd w:val="clear" w:color="auto" w:fill="FFFFFF"/>
        </w:rPr>
        <w:t>a</w:t>
      </w:r>
      <w:proofErr w:type="gramEnd"/>
      <w:r>
        <w:rPr>
          <w:rFonts w:ascii="Calibri" w:hAnsi="Calibri" w:cs="Calibri"/>
          <w:color w:val="201F1E"/>
          <w:shd w:val="clear" w:color="auto" w:fill="FFFFFF"/>
        </w:rPr>
        <w:t>) is the synthesized spectrum as described in a recent paper (H. Cheng, et al., 2020); (b) is the synthetic spectra without Tau; (c) is the difference.</w:t>
      </w:r>
    </w:p>
    <w:p w:rsidR="007F7874" w:rsidRDefault="007F7874">
      <w:r>
        <w:rPr>
          <w:noProof/>
        </w:rPr>
        <w:drawing>
          <wp:inline distT="0" distB="0" distL="0" distR="0">
            <wp:extent cx="5474970" cy="3379470"/>
            <wp:effectExtent l="0" t="0" r="0" b="0"/>
            <wp:docPr id="2" name="Picture 2" descr="C:\Users\sdnewman\Downloads\taurine_comp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newman\Downloads\taurine_comp (1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74" w:rsidRDefault="007F7874">
      <w:pPr>
        <w:rPr>
          <w:rFonts w:ascii="Calibri" w:hAnsi="Calibri" w:cs="Calibri"/>
          <w:color w:val="201F1E"/>
          <w:shd w:val="clear" w:color="auto" w:fill="FFFFFF"/>
        </w:rPr>
      </w:pPr>
      <w:r>
        <w:t xml:space="preserve">Figure S2: </w:t>
      </w:r>
      <w:r>
        <w:rPr>
          <w:rFonts w:ascii="Calibri" w:hAnsi="Calibri" w:cs="Calibri"/>
          <w:color w:val="201F1E"/>
          <w:shd w:val="clear" w:color="auto" w:fill="FFFFFF"/>
        </w:rPr>
        <w:t xml:space="preserve"> Two representative spectra one from the highest and lowest taurine concentrations. </w:t>
      </w:r>
    </w:p>
    <w:p w:rsidR="000C273B" w:rsidRDefault="000C273B">
      <w:pPr>
        <w:rPr>
          <w:rFonts w:ascii="Calibri" w:hAnsi="Calibri" w:cs="Calibri"/>
          <w:color w:val="201F1E"/>
          <w:shd w:val="clear" w:color="auto" w:fill="FFFFFF"/>
        </w:rPr>
      </w:pPr>
      <w:r>
        <w:rPr>
          <w:rFonts w:ascii="Calibri" w:hAnsi="Calibri" w:cs="Calibri"/>
          <w:color w:val="201F1E"/>
          <w:shd w:val="clear" w:color="auto" w:fill="FFFFFF"/>
        </w:rPr>
        <w:br w:type="page"/>
      </w:r>
    </w:p>
    <w:p w:rsidR="000C273B" w:rsidRDefault="000C273B" w:rsidP="000C273B">
      <w:pPr>
        <w:rPr>
          <w:rFonts w:ascii="Times New Roman" w:hAnsi="Times New Roman" w:cs="Times New Roman"/>
          <w:b/>
          <w:sz w:val="24"/>
          <w:szCs w:val="24"/>
        </w:rPr>
      </w:pPr>
      <w:r w:rsidRPr="00094724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094724">
        <w:rPr>
          <w:rFonts w:ascii="Times New Roman" w:hAnsi="Times New Roman" w:cs="Times New Roman"/>
          <w:b/>
          <w:sz w:val="24"/>
          <w:szCs w:val="24"/>
        </w:rPr>
        <w:t xml:space="preserve">: Concentration of metabolites exported from </w:t>
      </w:r>
      <w:proofErr w:type="spellStart"/>
      <w:r w:rsidRPr="00094724">
        <w:rPr>
          <w:rFonts w:ascii="Times New Roman" w:hAnsi="Times New Roman" w:cs="Times New Roman"/>
          <w:b/>
          <w:sz w:val="24"/>
          <w:szCs w:val="24"/>
        </w:rPr>
        <w:t>LCModel</w:t>
      </w:r>
      <w:proofErr w:type="spellEnd"/>
      <w:r w:rsidRPr="00094724">
        <w:rPr>
          <w:rFonts w:ascii="Times New Roman" w:hAnsi="Times New Roman" w:cs="Times New Roman"/>
          <w:b/>
          <w:sz w:val="24"/>
          <w:szCs w:val="24"/>
        </w:rPr>
        <w:t xml:space="preserve"> for a representative subject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183"/>
        <w:gridCol w:w="2412"/>
        <w:gridCol w:w="2158"/>
        <w:gridCol w:w="2158"/>
      </w:tblGrid>
      <w:tr w:rsidR="000C273B" w:rsidRPr="00094724" w:rsidTr="008A4F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Metabolite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Concentration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(I.U.)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CRLB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 xml:space="preserve">Ratio to </w:t>
            </w:r>
            <w:proofErr w:type="spellStart"/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tCr</w:t>
            </w:r>
            <w:proofErr w:type="spellEnd"/>
          </w:p>
        </w:tc>
      </w:tr>
      <w:tr w:rsidR="000C273B" w:rsidRPr="00094724" w:rsidTr="008A4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Asp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1.977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0.404</w:t>
            </w:r>
          </w:p>
        </w:tc>
      </w:tr>
      <w:tr w:rsidR="000C273B" w:rsidRPr="00094724" w:rsidTr="008A4F66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2.727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0.558</w:t>
            </w:r>
          </w:p>
        </w:tc>
      </w:tr>
      <w:tr w:rsidR="000C273B" w:rsidRPr="00094724" w:rsidTr="008A4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Glutamine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1.068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0.218</w:t>
            </w:r>
          </w:p>
        </w:tc>
      </w:tr>
      <w:tr w:rsidR="000C273B" w:rsidRPr="00094724" w:rsidTr="008A4F66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Glutamate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5.665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1.159</w:t>
            </w:r>
          </w:p>
        </w:tc>
      </w:tr>
      <w:tr w:rsidR="000C273B" w:rsidRPr="00094724" w:rsidTr="008A4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Choline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1.237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0.253</w:t>
            </w:r>
          </w:p>
        </w:tc>
      </w:tr>
      <w:tr w:rsidR="000C273B" w:rsidRPr="00094724" w:rsidTr="008A4F66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Myo</w:t>
            </w:r>
            <w:proofErr w:type="spellEnd"/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-inositol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5.466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1.118</w:t>
            </w:r>
          </w:p>
        </w:tc>
      </w:tr>
      <w:tr w:rsidR="000C273B" w:rsidRPr="00094724" w:rsidTr="008A4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NAA+NAAG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6.158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1.260</w:t>
            </w:r>
          </w:p>
        </w:tc>
      </w:tr>
      <w:tr w:rsidR="000C273B" w:rsidRPr="00094724" w:rsidTr="008A4F66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phosphocreatine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2.162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0.442</w:t>
            </w:r>
          </w:p>
        </w:tc>
      </w:tr>
      <w:tr w:rsidR="000C273B" w:rsidRPr="00094724" w:rsidTr="008A4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vAlign w:val="center"/>
          </w:tcPr>
          <w:p w:rsidR="000C273B" w:rsidRPr="00094724" w:rsidRDefault="000C273B" w:rsidP="008A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Taurine</w:t>
            </w:r>
          </w:p>
        </w:tc>
        <w:tc>
          <w:tcPr>
            <w:tcW w:w="2412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1.071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2158" w:type="dxa"/>
            <w:vAlign w:val="center"/>
          </w:tcPr>
          <w:p w:rsidR="000C273B" w:rsidRPr="00094724" w:rsidRDefault="000C273B" w:rsidP="008A4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724">
              <w:rPr>
                <w:rFonts w:ascii="Times New Roman" w:hAnsi="Times New Roman" w:cs="Times New Roman"/>
                <w:sz w:val="24"/>
                <w:szCs w:val="24"/>
              </w:rPr>
              <w:t>0.219</w:t>
            </w:r>
          </w:p>
        </w:tc>
      </w:tr>
    </w:tbl>
    <w:p w:rsidR="000C273B" w:rsidRDefault="000C273B" w:rsidP="000C273B"/>
    <w:p w:rsidR="000C273B" w:rsidRDefault="000C273B" w:rsidP="000C27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D632B" wp14:editId="5B525DA8">
                <wp:simplePos x="0" y="0"/>
                <wp:positionH relativeFrom="column">
                  <wp:posOffset>641985</wp:posOffset>
                </wp:positionH>
                <wp:positionV relativeFrom="paragraph">
                  <wp:posOffset>43180</wp:posOffset>
                </wp:positionV>
                <wp:extent cx="209550" cy="3173260"/>
                <wp:effectExtent l="0" t="0" r="1905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73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02BFF" id="Rectangle 3" o:spid="_x0000_s1026" style="position:absolute;margin-left:50.55pt;margin-top:3.4pt;width:16.5pt;height:24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" fillcolor="#5b9bd5 [3204]" strokecolor="#1f4d78 [1604]" strokeweight="1pt">
                <v:fill opacity="24929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DFEBBF" wp14:editId="0663BF94">
            <wp:extent cx="5416081" cy="3528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_4019_Page_1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19984" r="4237" b="3180"/>
                    <a:stretch/>
                  </pic:blipFill>
                  <pic:spPr bwMode="auto">
                    <a:xfrm>
                      <a:off x="0" y="0"/>
                      <a:ext cx="5417503" cy="352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73B" w:rsidRDefault="000C273B" w:rsidP="000C2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taurine peak is around 3.4 ppm, but overlapped with choline near 3.2 ppm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-inositol near 3.6 ppm. Therefore, we only selected a narrow band of 3.3-3.5 ppm (shaded in light blue) to show the fitting of taurine by </w:t>
      </w:r>
      <w:proofErr w:type="spellStart"/>
      <w:r>
        <w:rPr>
          <w:rFonts w:ascii="Times New Roman" w:hAnsi="Times New Roman" w:cs="Times New Roman"/>
          <w:sz w:val="24"/>
          <w:szCs w:val="24"/>
        </w:rPr>
        <w:t>LCModel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(black: raw spectrum, red: fitted spectrum). The residual of fitting </w:t>
      </w:r>
      <w:proofErr w:type="gramStart"/>
      <w:r>
        <w:rPr>
          <w:rFonts w:ascii="Times New Roman" w:hAnsi="Times New Roman" w:cs="Times New Roman"/>
          <w:sz w:val="24"/>
          <w:szCs w:val="24"/>
        </w:rPr>
        <w:t>is displayed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the top. </w:t>
      </w:r>
    </w:p>
    <w:p w:rsidR="000C273B" w:rsidRDefault="000C273B" w:rsidP="000C27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220980</wp:posOffset>
            </wp:positionV>
            <wp:extent cx="7666990" cy="43129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_taurine_spectr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73B" w:rsidRDefault="000C273B" w:rsidP="000C273B">
      <w:pPr>
        <w:rPr>
          <w:rFonts w:ascii="Times New Roman" w:hAnsi="Times New Roman" w:cs="Times New Roman"/>
          <w:sz w:val="24"/>
          <w:szCs w:val="24"/>
        </w:rPr>
      </w:pPr>
    </w:p>
    <w:p w:rsidR="000C273B" w:rsidRPr="00E03324" w:rsidRDefault="000C273B" w:rsidP="000C2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S3: Each participant’s spectra.</w:t>
      </w:r>
      <w:bookmarkStart w:id="0" w:name="_GoBack"/>
      <w:bookmarkEnd w:id="0"/>
    </w:p>
    <w:p w:rsidR="000C273B" w:rsidRDefault="000C273B"/>
    <w:sectPr w:rsidR="000C2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74"/>
    <w:rsid w:val="000C273B"/>
    <w:rsid w:val="007F7874"/>
    <w:rsid w:val="00B7232B"/>
    <w:rsid w:val="00E4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11B9D"/>
  <w15:chartTrackingRefBased/>
  <w15:docId w15:val="{47385E4B-71D1-49AD-A4EF-E7FD8549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5">
    <w:name w:val="Grid Table 4 Accent 5"/>
    <w:basedOn w:val="TableGrid4"/>
    <w:uiPriority w:val="49"/>
    <w:rsid w:val="00B7232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472C4" w:themeFill="accent5"/>
      </w:tcPr>
    </w:tblStylePr>
    <w:tblStylePr w:type="lastRow">
      <w:rPr>
        <w:b/>
        <w:bCs/>
        <w:color w:val="auto"/>
      </w:rPr>
      <w:tblPr/>
      <w:tcPr>
        <w:tcBorders>
          <w:top w:val="double" w:sz="4" w:space="0" w:color="4472C4" w:themeColor="accent5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rPr>
        <w:rFonts w:ascii="Arial" w:hAnsi="Arial"/>
        <w:sz w:val="18"/>
      </w:rPr>
      <w:tblPr/>
      <w:tcPr>
        <w:shd w:val="clear" w:color="auto" w:fill="D9E2F3" w:themeFill="accent5" w:themeFillTint="33"/>
      </w:tcPr>
    </w:tblStylePr>
  </w:style>
  <w:style w:type="table" w:styleId="TableGrid4">
    <w:name w:val="Table Grid 4"/>
    <w:basedOn w:val="TableNormal"/>
    <w:uiPriority w:val="99"/>
    <w:semiHidden/>
    <w:unhideWhenUsed/>
    <w:rsid w:val="00B7232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ainTable2">
    <w:name w:val="Plain Table 2"/>
    <w:basedOn w:val="TableNormal"/>
    <w:uiPriority w:val="42"/>
    <w:rsid w:val="000C273B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Sharlene</dc:creator>
  <cp:keywords/>
  <dc:description/>
  <cp:lastModifiedBy>Sharlene Newman</cp:lastModifiedBy>
  <cp:revision>2</cp:revision>
  <dcterms:created xsi:type="dcterms:W3CDTF">2021-09-10T17:45:00Z</dcterms:created>
  <dcterms:modified xsi:type="dcterms:W3CDTF">2022-04-21T19:55:00Z</dcterms:modified>
</cp:coreProperties>
</file>