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160C8" w14:textId="77777777" w:rsidR="00F824F7" w:rsidRPr="00D13AF2" w:rsidRDefault="00F824F7" w:rsidP="00F824F7">
      <w:pPr>
        <w:rPr>
          <w:b/>
          <w:bCs/>
        </w:rPr>
      </w:pPr>
      <w:r w:rsidRPr="00D13AF2">
        <w:rPr>
          <w:b/>
          <w:bCs/>
        </w:rPr>
        <w:t>Journal Requirements:</w:t>
      </w:r>
    </w:p>
    <w:p w14:paraId="08224E2A" w14:textId="77777777" w:rsidR="00F824F7" w:rsidRDefault="00F824F7" w:rsidP="00F824F7"/>
    <w:p w14:paraId="271D5FC0" w14:textId="77777777" w:rsidR="00F824F7" w:rsidRPr="005F35E0" w:rsidRDefault="00F824F7" w:rsidP="00F824F7">
      <w:pPr>
        <w:rPr>
          <w:b/>
          <w:bCs/>
        </w:rPr>
      </w:pPr>
      <w:r w:rsidRPr="005F35E0">
        <w:rPr>
          <w:b/>
          <w:bCs/>
        </w:rPr>
        <w:t xml:space="preserve">1. Please ensure that your manuscript meets PLOS ONE's style requirements, including those for file naming. The PLOS ONE style templates can be found at </w:t>
      </w:r>
    </w:p>
    <w:p w14:paraId="2CEF0EF6" w14:textId="3288594F" w:rsidR="00F824F7" w:rsidRPr="005F35E0" w:rsidRDefault="00D13AF2" w:rsidP="00F824F7">
      <w:pPr>
        <w:rPr>
          <w:b/>
          <w:bCs/>
        </w:rPr>
      </w:pPr>
      <w:hyperlink r:id="rId5" w:history="1">
        <w:r w:rsidR="005F35E0" w:rsidRPr="00AF0BCA">
          <w:rPr>
            <w:rStyle w:val="Hyperlink"/>
            <w:b/>
            <w:bCs/>
          </w:rPr>
          <w:t>https://journals.plos.org/plosone/s/file?id=wjVg/PLOSOne_formatting_sample_main_body.pdf</w:t>
        </w:r>
      </w:hyperlink>
      <w:r w:rsidR="005F35E0">
        <w:rPr>
          <w:b/>
          <w:bCs/>
        </w:rPr>
        <w:t xml:space="preserve"> </w:t>
      </w:r>
      <w:r w:rsidR="00F824F7" w:rsidRPr="005F35E0">
        <w:rPr>
          <w:b/>
          <w:bCs/>
        </w:rPr>
        <w:t xml:space="preserve"> and </w:t>
      </w:r>
    </w:p>
    <w:p w14:paraId="6A1DAE69" w14:textId="7230C880" w:rsidR="00F824F7" w:rsidRDefault="00D13AF2" w:rsidP="00F824F7">
      <w:pPr>
        <w:rPr>
          <w:b/>
          <w:bCs/>
        </w:rPr>
      </w:pPr>
      <w:hyperlink r:id="rId6" w:history="1">
        <w:r w:rsidR="005F35E0" w:rsidRPr="00AF0BCA">
          <w:rPr>
            <w:rStyle w:val="Hyperlink"/>
            <w:b/>
            <w:bCs/>
          </w:rPr>
          <w:t>https://journals.plos.org/plosone/s/file?id=ba62/PLOSOne_formatting_sample_title_authors_affiliations.pdf</w:t>
        </w:r>
      </w:hyperlink>
    </w:p>
    <w:p w14:paraId="3B871B7C" w14:textId="33D6F1C2" w:rsidR="005F35E0" w:rsidRDefault="005F35E0" w:rsidP="00F824F7">
      <w:pPr>
        <w:rPr>
          <w:b/>
          <w:bCs/>
        </w:rPr>
      </w:pPr>
    </w:p>
    <w:p w14:paraId="580572F2" w14:textId="41A406DB" w:rsidR="005F35E0" w:rsidRPr="005F35E0" w:rsidRDefault="005F35E0" w:rsidP="00F824F7">
      <w:r>
        <w:t>Style requirements have been revised throughout.</w:t>
      </w:r>
    </w:p>
    <w:p w14:paraId="0FB8D115" w14:textId="77777777" w:rsidR="00F824F7" w:rsidRDefault="00F824F7" w:rsidP="00F824F7"/>
    <w:p w14:paraId="7DAFA2F0" w14:textId="1AE9CDC4" w:rsidR="00F824F7" w:rsidRPr="005F35E0" w:rsidRDefault="00F824F7" w:rsidP="00F824F7">
      <w:r>
        <w:t xml:space="preserve">2. </w:t>
      </w:r>
      <w:r w:rsidRPr="005F35E0">
        <w:rPr>
          <w:b/>
          <w:bCs/>
        </w:rPr>
        <w:t xml:space="preserve">We note that you have provided funding information that is not currently declared in your Funding Statement. However, funding information should not appear in the Acknowledgments section or other areas of your manuscript. We will only publish funding information present in the Funding Statement section of the online submission form. </w:t>
      </w:r>
    </w:p>
    <w:p w14:paraId="322C80AA" w14:textId="77777777" w:rsidR="00F824F7" w:rsidRPr="005F35E0" w:rsidRDefault="00F824F7" w:rsidP="00F824F7">
      <w:pPr>
        <w:rPr>
          <w:b/>
          <w:bCs/>
        </w:rPr>
      </w:pPr>
    </w:p>
    <w:p w14:paraId="7050D77E" w14:textId="1687A4DC" w:rsidR="00F824F7" w:rsidRDefault="00F824F7" w:rsidP="00F824F7">
      <w:pPr>
        <w:rPr>
          <w:b/>
          <w:bCs/>
        </w:rPr>
      </w:pPr>
      <w:r w:rsidRPr="005F35E0">
        <w:rPr>
          <w:b/>
          <w:bCs/>
        </w:rPr>
        <w:t>Please include your amended statements within your cover letter; we will change the online submission form on your behalf.</w:t>
      </w:r>
    </w:p>
    <w:p w14:paraId="6CCC386D" w14:textId="719DA9C0" w:rsidR="005F35E0" w:rsidRDefault="005F35E0" w:rsidP="00F824F7">
      <w:pPr>
        <w:rPr>
          <w:b/>
          <w:bCs/>
        </w:rPr>
      </w:pPr>
    </w:p>
    <w:p w14:paraId="53E6FB5D" w14:textId="46C76F00" w:rsidR="00864BE6" w:rsidRPr="005F35E0" w:rsidRDefault="005F35E0" w:rsidP="00F824F7">
      <w:r>
        <w:t xml:space="preserve">Funding related statements have been removed from the acknowledgements section of the manuscript. </w:t>
      </w:r>
      <w:r w:rsidR="00BF4F7B">
        <w:t xml:space="preserve">The funding statement previously provided </w:t>
      </w:r>
      <w:r>
        <w:t xml:space="preserve">online </w:t>
      </w:r>
      <w:r w:rsidR="00BF4F7B">
        <w:t xml:space="preserve">is correct. </w:t>
      </w:r>
    </w:p>
    <w:p w14:paraId="370B28D3" w14:textId="77777777" w:rsidR="00F824F7" w:rsidRDefault="00F824F7" w:rsidP="00F824F7">
      <w:pPr>
        <w:rPr>
          <w:b/>
          <w:bCs/>
        </w:rPr>
      </w:pPr>
    </w:p>
    <w:p w14:paraId="523089E9" w14:textId="16CA5214" w:rsidR="00F824F7" w:rsidRDefault="00F824F7" w:rsidP="00F824F7">
      <w:pPr>
        <w:rPr>
          <w:b/>
          <w:bCs/>
        </w:rPr>
      </w:pPr>
      <w:r>
        <w:rPr>
          <w:b/>
          <w:bCs/>
        </w:rPr>
        <w:t>Academic Editor:</w:t>
      </w:r>
    </w:p>
    <w:p w14:paraId="0FC68BE4" w14:textId="51A8519C" w:rsidR="00F824F7" w:rsidRDefault="00F47A54" w:rsidP="00F824F7">
      <w:pPr>
        <w:rPr>
          <w:b/>
          <w:bCs/>
        </w:rPr>
      </w:pPr>
      <w:r>
        <w:rPr>
          <w:b/>
          <w:bCs/>
        </w:rPr>
        <w:t xml:space="preserve">1) </w:t>
      </w:r>
      <w:r w:rsidR="00F824F7" w:rsidRPr="00F824F7">
        <w:rPr>
          <w:b/>
          <w:bCs/>
        </w:rPr>
        <w:t>Looking at the standard deviations of values in table 1 the question raises how reliable the results might be for other rese</w:t>
      </w:r>
      <w:r w:rsidR="001C5A07">
        <w:rPr>
          <w:b/>
          <w:bCs/>
        </w:rPr>
        <w:t>a</w:t>
      </w:r>
      <w:r w:rsidR="00F824F7" w:rsidRPr="00F824F7">
        <w:rPr>
          <w:b/>
          <w:bCs/>
        </w:rPr>
        <w:t xml:space="preserve">rchers referencing to this work. </w:t>
      </w:r>
    </w:p>
    <w:p w14:paraId="051806BF" w14:textId="77777777" w:rsidR="008C6B9B" w:rsidRDefault="008C6B9B" w:rsidP="00F824F7">
      <w:pPr>
        <w:rPr>
          <w:b/>
          <w:bCs/>
        </w:rPr>
      </w:pPr>
    </w:p>
    <w:p w14:paraId="4EF16BB1" w14:textId="7E5B14C2" w:rsidR="00F824F7" w:rsidRDefault="00A77A55" w:rsidP="00F824F7">
      <w:pPr>
        <w:rPr>
          <w:lang w:val="en-US"/>
        </w:rPr>
      </w:pPr>
      <w:r>
        <w:rPr>
          <w:lang w:val="en-US"/>
        </w:rPr>
        <w:t xml:space="preserve">We acknowledge </w:t>
      </w:r>
      <w:r w:rsidR="002C2E37">
        <w:rPr>
          <w:lang w:val="en-US"/>
        </w:rPr>
        <w:t>in the limitations section</w:t>
      </w:r>
      <w:r w:rsidR="00864BE6">
        <w:rPr>
          <w:lang w:val="en-US"/>
        </w:rPr>
        <w:t xml:space="preserve"> </w:t>
      </w:r>
      <w:r w:rsidR="002C2E37">
        <w:rPr>
          <w:lang w:val="en-US"/>
        </w:rPr>
        <w:t>of the manuscript values with higher standard deviation</w:t>
      </w:r>
      <w:r w:rsidR="001C5A07">
        <w:rPr>
          <w:lang w:val="en-US"/>
        </w:rPr>
        <w:t>s</w:t>
      </w:r>
      <w:r w:rsidR="002C2E37">
        <w:rPr>
          <w:lang w:val="en-US"/>
        </w:rPr>
        <w:t>, but also highlight that these are more</w:t>
      </w:r>
      <w:r w:rsidR="00FA7401">
        <w:rPr>
          <w:lang w:val="en-US"/>
        </w:rPr>
        <w:t xml:space="preserve"> realistic</w:t>
      </w:r>
      <w:r w:rsidR="002C2E37">
        <w:rPr>
          <w:lang w:val="en-US"/>
        </w:rPr>
        <w:t xml:space="preserve"> values than typical SEM values reported in the literature. </w:t>
      </w:r>
      <w:r w:rsidR="004B562F">
        <w:rPr>
          <w:lang w:val="en-US"/>
        </w:rPr>
        <w:t>Thus,</w:t>
      </w:r>
      <w:r w:rsidR="00864BE6">
        <w:rPr>
          <w:lang w:val="en-US"/>
        </w:rPr>
        <w:t xml:space="preserve"> </w:t>
      </w:r>
      <w:r w:rsidR="004B562F">
        <w:rPr>
          <w:lang w:val="en-US"/>
        </w:rPr>
        <w:t>o</w:t>
      </w:r>
      <w:r w:rsidR="002C2E37">
        <w:rPr>
          <w:lang w:val="en-US"/>
        </w:rPr>
        <w:t xml:space="preserve">ur goal was to provide </w:t>
      </w:r>
      <w:r>
        <w:rPr>
          <w:lang w:val="en-US"/>
        </w:rPr>
        <w:t xml:space="preserve">a resource to </w:t>
      </w:r>
      <w:proofErr w:type="gramStart"/>
      <w:r>
        <w:rPr>
          <w:lang w:val="en-US"/>
        </w:rPr>
        <w:t>compare and contrast</w:t>
      </w:r>
      <w:proofErr w:type="gramEnd"/>
      <w:r>
        <w:rPr>
          <w:lang w:val="en-US"/>
        </w:rPr>
        <w:t xml:space="preserve"> a large number of tissues </w:t>
      </w:r>
      <w:r w:rsidR="002C2E37">
        <w:rPr>
          <w:lang w:val="en-US"/>
        </w:rPr>
        <w:t xml:space="preserve">and a quantitative ‘estimate’ for what </w:t>
      </w:r>
      <w:r w:rsidR="004B562F">
        <w:rPr>
          <w:lang w:val="en-US"/>
        </w:rPr>
        <w:t>may be detectabl</w:t>
      </w:r>
      <w:r w:rsidR="00864BE6">
        <w:rPr>
          <w:lang w:val="en-US"/>
        </w:rPr>
        <w:t xml:space="preserve">e, </w:t>
      </w:r>
      <w:r w:rsidR="004B562F">
        <w:rPr>
          <w:lang w:val="en-US"/>
        </w:rPr>
        <w:t xml:space="preserve">providing new directions </w:t>
      </w:r>
      <w:r w:rsidR="00864BE6">
        <w:rPr>
          <w:lang w:val="en-US"/>
        </w:rPr>
        <w:t>for</w:t>
      </w:r>
      <w:r>
        <w:rPr>
          <w:lang w:val="en-US"/>
        </w:rPr>
        <w:t xml:space="preserve"> other researchers to build </w:t>
      </w:r>
      <w:r w:rsidR="001C5A07">
        <w:rPr>
          <w:lang w:val="en-US"/>
        </w:rPr>
        <w:t xml:space="preserve">upon </w:t>
      </w:r>
      <w:r>
        <w:rPr>
          <w:lang w:val="en-US"/>
        </w:rPr>
        <w:t xml:space="preserve">these ideas in the future. </w:t>
      </w:r>
      <w:r w:rsidR="004B562F">
        <w:rPr>
          <w:lang w:val="en-US"/>
        </w:rPr>
        <w:t xml:space="preserve">This provides a springboard for further investigation </w:t>
      </w:r>
      <w:r w:rsidR="00864BE6">
        <w:rPr>
          <w:lang w:val="en-US"/>
        </w:rPr>
        <w:t xml:space="preserve">as </w:t>
      </w:r>
      <w:r w:rsidR="004B562F">
        <w:rPr>
          <w:lang w:val="en-US"/>
        </w:rPr>
        <w:t xml:space="preserve">we acknowledge that values may further differ depending upon route of exposure, </w:t>
      </w:r>
      <w:proofErr w:type="gramStart"/>
      <w:r w:rsidR="004B562F">
        <w:rPr>
          <w:lang w:val="en-US"/>
        </w:rPr>
        <w:t>duration</w:t>
      </w:r>
      <w:proofErr w:type="gramEnd"/>
      <w:r w:rsidR="004B562F">
        <w:rPr>
          <w:lang w:val="en-US"/>
        </w:rPr>
        <w:t xml:space="preserve"> and timing of measurements. Nevertheless, v</w:t>
      </w:r>
      <w:r>
        <w:rPr>
          <w:lang w:val="en-US"/>
        </w:rPr>
        <w:t xml:space="preserve">alues of the brain and serum, described in Table 1, are </w:t>
      </w:r>
      <w:proofErr w:type="gramStart"/>
      <w:r>
        <w:rPr>
          <w:lang w:val="en-US"/>
        </w:rPr>
        <w:t>similar to</w:t>
      </w:r>
      <w:proofErr w:type="gramEnd"/>
      <w:r>
        <w:rPr>
          <w:lang w:val="en-US"/>
        </w:rPr>
        <w:t xml:space="preserve"> those of other papers that have been previously published (lines 1</w:t>
      </w:r>
      <w:r w:rsidR="00273CFE">
        <w:rPr>
          <w:lang w:val="en-US"/>
        </w:rPr>
        <w:t>78</w:t>
      </w:r>
      <w:r w:rsidR="001F7B14">
        <w:rPr>
          <w:lang w:val="en-US"/>
        </w:rPr>
        <w:t>-18</w:t>
      </w:r>
      <w:r w:rsidR="00273CFE">
        <w:rPr>
          <w:lang w:val="en-US"/>
        </w:rPr>
        <w:t>3</w:t>
      </w:r>
      <w:r>
        <w:rPr>
          <w:lang w:val="en-US"/>
        </w:rPr>
        <w:t xml:space="preserve">) giving us confidence </w:t>
      </w:r>
      <w:r w:rsidR="00BF4F7B">
        <w:rPr>
          <w:lang w:val="en-US"/>
        </w:rPr>
        <w:t>in</w:t>
      </w:r>
      <w:r w:rsidR="00864BE6">
        <w:rPr>
          <w:lang w:val="en-US"/>
        </w:rPr>
        <w:t xml:space="preserve"> </w:t>
      </w:r>
      <w:r w:rsidR="00BF4F7B">
        <w:rPr>
          <w:lang w:val="en-US"/>
        </w:rPr>
        <w:t xml:space="preserve">the </w:t>
      </w:r>
      <w:r>
        <w:rPr>
          <w:lang w:val="en-US"/>
        </w:rPr>
        <w:t xml:space="preserve">methodology </w:t>
      </w:r>
      <w:r w:rsidR="00BF4F7B">
        <w:rPr>
          <w:lang w:val="en-US"/>
        </w:rPr>
        <w:t xml:space="preserve">used in our paper. </w:t>
      </w:r>
    </w:p>
    <w:p w14:paraId="37FA9C2F" w14:textId="77777777" w:rsidR="008C6B9B" w:rsidRPr="008C6B9B" w:rsidRDefault="008C6B9B" w:rsidP="00F824F7">
      <w:pPr>
        <w:rPr>
          <w:b/>
          <w:bCs/>
        </w:rPr>
      </w:pPr>
    </w:p>
    <w:p w14:paraId="1EBD322E" w14:textId="29722F93" w:rsidR="00F824F7" w:rsidRDefault="00F47A54" w:rsidP="00F824F7">
      <w:pPr>
        <w:rPr>
          <w:b/>
          <w:bCs/>
        </w:rPr>
      </w:pPr>
      <w:r>
        <w:rPr>
          <w:b/>
          <w:bCs/>
        </w:rPr>
        <w:t xml:space="preserve">2) </w:t>
      </w:r>
      <w:r w:rsidR="00F824F7" w:rsidRPr="00F824F7">
        <w:rPr>
          <w:b/>
          <w:bCs/>
        </w:rPr>
        <w:t>In part there are deviations of more than 200%. Please raise the number of animals and include female rats to the study.</w:t>
      </w:r>
    </w:p>
    <w:p w14:paraId="1C97E675" w14:textId="77777777" w:rsidR="009E7C9B" w:rsidRDefault="009E7C9B" w:rsidP="00F824F7">
      <w:pPr>
        <w:rPr>
          <w:b/>
          <w:bCs/>
        </w:rPr>
      </w:pPr>
    </w:p>
    <w:p w14:paraId="3409E631" w14:textId="1D08D1F8" w:rsidR="005D71BF" w:rsidRPr="00BF754C" w:rsidRDefault="005D71BF" w:rsidP="00F824F7">
      <w:pPr>
        <w:rPr>
          <w:lang w:val="en-US"/>
        </w:rPr>
      </w:pPr>
      <w:r>
        <w:rPr>
          <w:lang w:val="en-US"/>
        </w:rPr>
        <w:t xml:space="preserve">We agree these are meritorious recommendations and should certainly be considered in future work. </w:t>
      </w:r>
      <w:r w:rsidR="0016089A">
        <w:rPr>
          <w:lang w:val="en-US"/>
        </w:rPr>
        <w:t xml:space="preserve">As a pilot study in a relatively new field of research, this </w:t>
      </w:r>
      <w:r w:rsidR="004B562F">
        <w:rPr>
          <w:lang w:val="en-US"/>
        </w:rPr>
        <w:t>focused wor</w:t>
      </w:r>
      <w:r w:rsidR="00864BE6">
        <w:rPr>
          <w:lang w:val="en-US"/>
        </w:rPr>
        <w:t xml:space="preserve">k </w:t>
      </w:r>
      <w:r w:rsidR="004B562F">
        <w:rPr>
          <w:lang w:val="en-US"/>
        </w:rPr>
        <w:t xml:space="preserve">highlights important conceptual ideas and a starting point for future </w:t>
      </w:r>
      <w:r w:rsidR="00864BE6">
        <w:rPr>
          <w:lang w:val="en-US"/>
        </w:rPr>
        <w:t>examinations</w:t>
      </w:r>
      <w:r w:rsidR="004B562F">
        <w:rPr>
          <w:lang w:val="en-US"/>
        </w:rPr>
        <w:t xml:space="preserve">. Importantly, it </w:t>
      </w:r>
      <w:r w:rsidR="0016089A">
        <w:rPr>
          <w:lang w:val="en-US"/>
        </w:rPr>
        <w:t xml:space="preserve">enables us to determine what is an appropriate sample size/power calculation and other aspects we can </w:t>
      </w:r>
      <w:r w:rsidR="0016089A">
        <w:rPr>
          <w:lang w:val="en-US"/>
        </w:rPr>
        <w:lastRenderedPageBreak/>
        <w:t xml:space="preserve">build upon for future work. </w:t>
      </w:r>
      <w:r w:rsidR="004B562F">
        <w:rPr>
          <w:lang w:val="en-US"/>
        </w:rPr>
        <w:t xml:space="preserve">This perspective is encapsulated </w:t>
      </w:r>
      <w:r w:rsidR="008C6B9B">
        <w:rPr>
          <w:lang w:val="en-US"/>
        </w:rPr>
        <w:t xml:space="preserve">by </w:t>
      </w:r>
      <w:r w:rsidR="004B562F">
        <w:rPr>
          <w:lang w:val="en-US"/>
        </w:rPr>
        <w:t xml:space="preserve">comments of </w:t>
      </w:r>
      <w:r w:rsidR="008C6B9B">
        <w:rPr>
          <w:lang w:val="en-US"/>
        </w:rPr>
        <w:t>reviewer 1</w:t>
      </w:r>
      <w:r w:rsidR="004B562F">
        <w:rPr>
          <w:lang w:val="en-US"/>
        </w:rPr>
        <w:t xml:space="preserve"> </w:t>
      </w:r>
      <w:r w:rsidR="008C6B9B">
        <w:rPr>
          <w:lang w:val="en-US"/>
        </w:rPr>
        <w:t>highlight</w:t>
      </w:r>
      <w:r w:rsidR="002D1F5F">
        <w:rPr>
          <w:lang w:val="en-US"/>
        </w:rPr>
        <w:t>ing</w:t>
      </w:r>
      <w:r w:rsidR="00864BE6">
        <w:rPr>
          <w:lang w:val="en-US"/>
        </w:rPr>
        <w:t xml:space="preserve"> </w:t>
      </w:r>
      <w:r w:rsidR="008C6B9B">
        <w:rPr>
          <w:lang w:val="en-US"/>
        </w:rPr>
        <w:t xml:space="preserve">the scope and intention of </w:t>
      </w:r>
      <w:r w:rsidR="002D1F5F">
        <w:rPr>
          <w:lang w:val="en-US"/>
        </w:rPr>
        <w:t>our</w:t>
      </w:r>
      <w:r w:rsidR="00864BE6">
        <w:rPr>
          <w:lang w:val="en-US"/>
        </w:rPr>
        <w:t xml:space="preserve"> </w:t>
      </w:r>
      <w:r w:rsidR="002D1F5F">
        <w:rPr>
          <w:lang w:val="en-US"/>
        </w:rPr>
        <w:t>work</w:t>
      </w:r>
      <w:r w:rsidR="00864BE6">
        <w:rPr>
          <w:lang w:val="en-US"/>
        </w:rPr>
        <w:t>:</w:t>
      </w:r>
      <w:r w:rsidR="008C6B9B">
        <w:rPr>
          <w:lang w:val="en-US"/>
        </w:rPr>
        <w:t xml:space="preserve"> </w:t>
      </w:r>
      <w:r w:rsidR="004B562F">
        <w:rPr>
          <w:lang w:val="en-US"/>
        </w:rPr>
        <w:t>“</w:t>
      </w:r>
      <w:r w:rsidRPr="00390D47">
        <w:rPr>
          <w:lang w:val="en-US"/>
        </w:rPr>
        <w:t>As a short communication, it meets the general standard of a simple, straight-forward set of data that stand alone</w:t>
      </w:r>
      <w:r w:rsidR="008C6B9B">
        <w:rPr>
          <w:lang w:val="en-US"/>
        </w:rPr>
        <w:t xml:space="preserve"> </w:t>
      </w:r>
      <w:r w:rsidR="008C6B9B">
        <w:t>and meet a specific scientific need.</w:t>
      </w:r>
      <w:r w:rsidR="004B562F">
        <w:t>”</w:t>
      </w:r>
    </w:p>
    <w:p w14:paraId="5B3AD01F" w14:textId="77777777" w:rsidR="00F824F7" w:rsidRDefault="00F824F7" w:rsidP="00F824F7"/>
    <w:p w14:paraId="7A4F250D" w14:textId="4C0B9166" w:rsidR="00F824F7" w:rsidRPr="00F824F7" w:rsidRDefault="00F47A54" w:rsidP="00F824F7">
      <w:pPr>
        <w:rPr>
          <w:b/>
          <w:bCs/>
        </w:rPr>
      </w:pPr>
      <w:r>
        <w:rPr>
          <w:b/>
          <w:bCs/>
        </w:rPr>
        <w:t xml:space="preserve">3) </w:t>
      </w:r>
      <w:r w:rsidR="00F824F7" w:rsidRPr="00F824F7">
        <w:rPr>
          <w:b/>
          <w:bCs/>
        </w:rPr>
        <w:t>Furthermore, the area of tissue collection should clearly be specified as different brain areas, adip</w:t>
      </w:r>
      <w:r w:rsidR="001C5A07">
        <w:rPr>
          <w:b/>
          <w:bCs/>
        </w:rPr>
        <w:t>o</w:t>
      </w:r>
      <w:r w:rsidR="00F824F7" w:rsidRPr="00F824F7">
        <w:rPr>
          <w:b/>
          <w:bCs/>
        </w:rPr>
        <w:t>se tissue (subcutan</w:t>
      </w:r>
      <w:r w:rsidR="001C5A07">
        <w:rPr>
          <w:b/>
          <w:bCs/>
        </w:rPr>
        <w:t>e</w:t>
      </w:r>
      <w:r w:rsidR="00F824F7" w:rsidRPr="00F824F7">
        <w:rPr>
          <w:b/>
          <w:bCs/>
        </w:rPr>
        <w:t xml:space="preserve">ous or visceral) and striated muscles might strongly </w:t>
      </w:r>
      <w:proofErr w:type="gramStart"/>
      <w:r w:rsidR="00F824F7" w:rsidRPr="00F824F7">
        <w:rPr>
          <w:b/>
          <w:bCs/>
        </w:rPr>
        <w:t>affects</w:t>
      </w:r>
      <w:proofErr w:type="gramEnd"/>
      <w:r w:rsidR="00F824F7" w:rsidRPr="00F824F7">
        <w:rPr>
          <w:b/>
          <w:bCs/>
        </w:rPr>
        <w:t xml:space="preserve"> the results.</w:t>
      </w:r>
    </w:p>
    <w:p w14:paraId="2D843D29" w14:textId="1E15404F" w:rsidR="00F824F7" w:rsidRDefault="00F824F7" w:rsidP="00F824F7"/>
    <w:p w14:paraId="3050DE1B" w14:textId="7FE87F93" w:rsidR="00E14D85" w:rsidRDefault="00E14D85" w:rsidP="00F824F7">
      <w:r>
        <w:t xml:space="preserve">We have addressed a similar comment </w:t>
      </w:r>
      <w:r w:rsidR="002D1F5F">
        <w:t xml:space="preserve">#2 </w:t>
      </w:r>
      <w:r>
        <w:t>f</w:t>
      </w:r>
      <w:r w:rsidR="00AF3181">
        <w:t>rom</w:t>
      </w:r>
      <w:r>
        <w:t xml:space="preserve"> Reviewer 1. See below for our revisions.</w:t>
      </w:r>
    </w:p>
    <w:p w14:paraId="452B2C14" w14:textId="77777777" w:rsidR="00F824F7" w:rsidRDefault="00F824F7" w:rsidP="00F824F7"/>
    <w:p w14:paraId="6BB1EFDF" w14:textId="77777777" w:rsidR="00F824F7" w:rsidRPr="00F824F7" w:rsidRDefault="00F824F7" w:rsidP="00F824F7">
      <w:pPr>
        <w:rPr>
          <w:b/>
          <w:bCs/>
        </w:rPr>
      </w:pPr>
      <w:r w:rsidRPr="00F824F7">
        <w:rPr>
          <w:b/>
          <w:bCs/>
        </w:rPr>
        <w:t xml:space="preserve">Reviewer #1: </w:t>
      </w:r>
    </w:p>
    <w:p w14:paraId="2446E178" w14:textId="73F72777" w:rsidR="00F824F7" w:rsidRDefault="00F824F7" w:rsidP="00F824F7">
      <w:r>
        <w:t>The scientific question in the article titled “Tissue distribution of major cannabinoids in male rats” is an important contribution to the field. As a short communication, it meets the general standard of a simple, straight-forward set of data that stand alone and meet a specific scientific need. There are a few clarification points for methodology that must be addressed to provide further clarification and justification.</w:t>
      </w:r>
    </w:p>
    <w:p w14:paraId="4E448924" w14:textId="77777777" w:rsidR="00F824F7" w:rsidRDefault="00F824F7" w:rsidP="00F824F7"/>
    <w:p w14:paraId="364E0E09" w14:textId="2CD4C697" w:rsidR="00F824F7" w:rsidRDefault="00F824F7" w:rsidP="00F824F7">
      <w:pPr>
        <w:rPr>
          <w:b/>
          <w:bCs/>
        </w:rPr>
      </w:pPr>
      <w:r w:rsidRPr="00F47A54">
        <w:rPr>
          <w:b/>
          <w:bCs/>
        </w:rPr>
        <w:t>1) Why did the authors use two different doses of THC (1mg/kg) and CBD (5mg/kg)? It is curious that the authors did not use the same dose, nor do they justify the use of different doses, yet they compare the doses as if they are the same. This must be addressed in the methods and the discussion.</w:t>
      </w:r>
    </w:p>
    <w:p w14:paraId="79D369BE" w14:textId="3E8C8487" w:rsidR="004273A7" w:rsidRDefault="004273A7" w:rsidP="00F824F7">
      <w:pPr>
        <w:rPr>
          <w:b/>
          <w:bCs/>
        </w:rPr>
      </w:pPr>
    </w:p>
    <w:p w14:paraId="2FC4F51A" w14:textId="63B88E0E" w:rsidR="004273A7" w:rsidRPr="004273A7" w:rsidRDefault="004273A7" w:rsidP="00F824F7">
      <w:r>
        <w:t xml:space="preserve">This is a very astute observation and one we agree </w:t>
      </w:r>
      <w:r w:rsidR="00D551E7">
        <w:t xml:space="preserve">requires </w:t>
      </w:r>
      <w:r>
        <w:t xml:space="preserve">further clarification. We utilized relatively low doses to better reflect what would be a physiologically relevant intake of cannabinoids. </w:t>
      </w:r>
      <w:r w:rsidR="00675EC6">
        <w:t xml:space="preserve">A dose of 5 mg/kg </w:t>
      </w:r>
      <w:proofErr w:type="spellStart"/>
      <w:r w:rsidR="00675EC6">
        <w:t>ip</w:t>
      </w:r>
      <w:proofErr w:type="spellEnd"/>
      <w:r w:rsidR="00675EC6">
        <w:t xml:space="preserve"> CBD is a relatively low dose employed in the field, yet a dose of 5 mg/kg THC is a relatively high dose—1 mg/kg THC is a more appropriate comparison given the behavioral effects of these doses. </w:t>
      </w:r>
      <w:r>
        <w:t>Rodent models often utilize quite a high dose in their methodology (</w:t>
      </w:r>
      <w:proofErr w:type="spellStart"/>
      <w:r>
        <w:t>eg.</w:t>
      </w:r>
      <w:proofErr w:type="spellEnd"/>
      <w:r>
        <w:t xml:space="preserve"> 10+ mg/kg THC and CBD) which is far beyond </w:t>
      </w:r>
      <w:r w:rsidR="00E56288">
        <w:t>what any human would ingest</w:t>
      </w:r>
      <w:r w:rsidR="00986D40">
        <w:t>. That would be upwards of 860mg of THC or CBD for the average adult male</w:t>
      </w:r>
      <w:r w:rsidR="00E96951">
        <w:t xml:space="preserve">. </w:t>
      </w:r>
      <w:r w:rsidR="00E56288">
        <w:t>As THC elicits psychoactive effects, it is not tolerated as well at higher doses compared to CBD thus, the discrepancy between doses. We have updated the methods section (lines 10</w:t>
      </w:r>
      <w:r w:rsidR="0038773B">
        <w:t>3</w:t>
      </w:r>
      <w:r w:rsidR="00E56288">
        <w:t>-10</w:t>
      </w:r>
      <w:r w:rsidR="0038773B">
        <w:t>5</w:t>
      </w:r>
      <w:r w:rsidR="00E56288">
        <w:t>) to highlight this fact.</w:t>
      </w:r>
      <w:r w:rsidR="00D551E7">
        <w:t xml:space="preserve"> It was not our intent to compare THC and CBD and the text has been revised throughout</w:t>
      </w:r>
      <w:r w:rsidR="0038773B">
        <w:t>.</w:t>
      </w:r>
    </w:p>
    <w:p w14:paraId="25D3422E" w14:textId="77777777" w:rsidR="00202ACD" w:rsidRPr="00F47A54" w:rsidRDefault="00202ACD" w:rsidP="00F824F7">
      <w:pPr>
        <w:rPr>
          <w:b/>
          <w:bCs/>
        </w:rPr>
      </w:pPr>
    </w:p>
    <w:p w14:paraId="6B7D2E95" w14:textId="76A5686F" w:rsidR="00F824F7" w:rsidRDefault="00F824F7" w:rsidP="00F824F7">
      <w:pPr>
        <w:rPr>
          <w:b/>
          <w:bCs/>
        </w:rPr>
      </w:pPr>
      <w:r w:rsidRPr="00F47A54">
        <w:rPr>
          <w:b/>
          <w:bCs/>
        </w:rPr>
        <w:t>2) The areas of evaluation (brain, gut, liver, adipose, muscle) are extremely large and varied; however, the methods appear to state that 20mg of tissue were used for analysis (that size being understandable). The authors should provide very accurate details on which areas of these organs were sampled and that this sampling was consistent across subjects. Simply sampling in different areas of these organs could cause variability.</w:t>
      </w:r>
    </w:p>
    <w:p w14:paraId="42A467D4" w14:textId="3377157F" w:rsidR="00202ACD" w:rsidRDefault="00202ACD" w:rsidP="00F824F7"/>
    <w:p w14:paraId="2F04D12F" w14:textId="1755CDA9" w:rsidR="00E951B6" w:rsidRDefault="00202ACD" w:rsidP="00E951B6">
      <w:r>
        <w:t>This is a great observation as we agree there can be potential variation within areas of an organ/tissue (</w:t>
      </w:r>
      <w:proofErr w:type="spellStart"/>
      <w:r>
        <w:t>eg.</w:t>
      </w:r>
      <w:proofErr w:type="spellEnd"/>
      <w:r>
        <w:t xml:space="preserve"> lobes of the liver). </w:t>
      </w:r>
      <w:r w:rsidR="003553C1">
        <w:t>This was not specifically controlled and have included this as a limitation in our analyses</w:t>
      </w:r>
      <w:r w:rsidR="00867A18">
        <w:t xml:space="preserve"> </w:t>
      </w:r>
      <w:r w:rsidR="00C47BD8">
        <w:t>(</w:t>
      </w:r>
      <w:r w:rsidR="00CF3DF2">
        <w:t xml:space="preserve">as described in lines </w:t>
      </w:r>
      <w:r w:rsidR="007F24F9">
        <w:t>19</w:t>
      </w:r>
      <w:r w:rsidR="001B64BD">
        <w:t>6</w:t>
      </w:r>
      <w:r w:rsidR="007F24F9">
        <w:t>-19</w:t>
      </w:r>
      <w:r w:rsidR="001B64BD">
        <w:t>7</w:t>
      </w:r>
      <w:r w:rsidR="00CF3DF2">
        <w:t xml:space="preserve">). </w:t>
      </w:r>
    </w:p>
    <w:p w14:paraId="04F12DCF" w14:textId="77777777" w:rsidR="00202ACD" w:rsidRPr="00F47A54" w:rsidRDefault="00202ACD" w:rsidP="00F824F7">
      <w:pPr>
        <w:rPr>
          <w:b/>
          <w:bCs/>
        </w:rPr>
      </w:pPr>
    </w:p>
    <w:p w14:paraId="3C70F6A0" w14:textId="77777777" w:rsidR="00F824F7" w:rsidRPr="00F47A54" w:rsidRDefault="00F824F7" w:rsidP="00F824F7">
      <w:pPr>
        <w:rPr>
          <w:b/>
          <w:bCs/>
        </w:rPr>
      </w:pPr>
      <w:r w:rsidRPr="00F47A54">
        <w:rPr>
          <w:b/>
          <w:bCs/>
        </w:rPr>
        <w:t>3) The authors should list the recovery rate for the internal standard for each tissue type and state how this was adjusted across analyses. If the internal standard recovery was not used as an adjustment factor across tissue, they should explain why and justify this level of analysis.</w:t>
      </w:r>
    </w:p>
    <w:p w14:paraId="54B23290" w14:textId="244C30BB" w:rsidR="00F824F7" w:rsidRDefault="00F824F7" w:rsidP="00F824F7"/>
    <w:p w14:paraId="14387012" w14:textId="61B66E98" w:rsidR="00F824F7" w:rsidRDefault="00A065EC" w:rsidP="00F824F7">
      <w:r w:rsidRPr="00A065EC">
        <w:t xml:space="preserve">In </w:t>
      </w:r>
      <w:r w:rsidR="00B713D7">
        <w:t>the</w:t>
      </w:r>
      <w:r w:rsidR="00B713D7" w:rsidRPr="00A065EC">
        <w:t xml:space="preserve"> </w:t>
      </w:r>
      <w:r w:rsidRPr="00A065EC">
        <w:t xml:space="preserve">methodology, </w:t>
      </w:r>
      <w:r w:rsidR="00B713D7">
        <w:t xml:space="preserve">a known </w:t>
      </w:r>
      <w:r w:rsidRPr="00A065EC">
        <w:t xml:space="preserve">amount of internal standard (THC-D3) </w:t>
      </w:r>
      <w:r w:rsidR="00B713D7">
        <w:t xml:space="preserve">was added </w:t>
      </w:r>
      <w:r w:rsidRPr="00A065EC">
        <w:t xml:space="preserve">to all the samples </w:t>
      </w:r>
      <w:r w:rsidR="00B713D7">
        <w:t>for the purpose of quantification</w:t>
      </w:r>
      <w:r w:rsidR="0051002B">
        <w:t xml:space="preserve"> and suitable approach to obtain a first estimate</w:t>
      </w:r>
      <w:r w:rsidR="00B713D7">
        <w:t xml:space="preserve">. As this was a pilot study, </w:t>
      </w:r>
      <w:r w:rsidR="0051002B">
        <w:t xml:space="preserve">the </w:t>
      </w:r>
      <w:r w:rsidR="00B713D7">
        <w:t>internal standard recovery rate was not assesse</w:t>
      </w:r>
      <w:r w:rsidR="0051002B">
        <w:t>d</w:t>
      </w:r>
      <w:r w:rsidR="001F7B14">
        <w:t xml:space="preserve">. </w:t>
      </w:r>
      <w:r w:rsidR="0051002B">
        <w:t xml:space="preserve">This limitation is </w:t>
      </w:r>
      <w:r w:rsidR="00D959F4">
        <w:t xml:space="preserve">will </w:t>
      </w:r>
      <w:proofErr w:type="gramStart"/>
      <w:r w:rsidR="00D959F4">
        <w:t>be</w:t>
      </w:r>
      <w:r w:rsidR="00B422E2">
        <w:t xml:space="preserve"> </w:t>
      </w:r>
      <w:r w:rsidR="0051002B">
        <w:t xml:space="preserve"> </w:t>
      </w:r>
      <w:r w:rsidR="00854F5D">
        <w:t>noted</w:t>
      </w:r>
      <w:proofErr w:type="gramEnd"/>
      <w:r w:rsidR="0051002B">
        <w:t xml:space="preserve"> for future quantitative work.</w:t>
      </w:r>
    </w:p>
    <w:p w14:paraId="6932554C" w14:textId="77777777" w:rsidR="00A065EC" w:rsidRDefault="00A065EC" w:rsidP="00F824F7"/>
    <w:p w14:paraId="54BDBE22" w14:textId="77777777" w:rsidR="00F824F7" w:rsidRPr="00F824F7" w:rsidRDefault="00F824F7" w:rsidP="00F824F7">
      <w:pPr>
        <w:rPr>
          <w:b/>
          <w:bCs/>
        </w:rPr>
      </w:pPr>
      <w:r w:rsidRPr="00F824F7">
        <w:rPr>
          <w:b/>
          <w:bCs/>
        </w:rPr>
        <w:t xml:space="preserve">Reviewer #2: </w:t>
      </w:r>
    </w:p>
    <w:p w14:paraId="534AA15E" w14:textId="54301C62" w:rsidR="00F824F7" w:rsidRDefault="00F824F7" w:rsidP="00F824F7">
      <w:r>
        <w:t>The authors used rats to measure the distribution of THC and CBD in several tissues 30 min after intraperitoneal injection. Even if it is generally an interesting topic, the results are of relatively little informative value. As already mentioned in the limitations: the sample size is low, there is only one time point, sex differences are unknown. Moreover, more complete pharmacokinetic studies in rats regarding THC and CBD have already been published. What is new here is the measurement of cannabinoids in additional tissues. But especially for these tissues, a time course is missing.</w:t>
      </w:r>
    </w:p>
    <w:p w14:paraId="02132DB8" w14:textId="77777777" w:rsidR="00F47A54" w:rsidRDefault="00F47A54" w:rsidP="00F824F7"/>
    <w:p w14:paraId="55D04524" w14:textId="022CB2E7" w:rsidR="004F110D" w:rsidRDefault="00F47A54" w:rsidP="00F47A54">
      <w:pPr>
        <w:rPr>
          <w:b/>
          <w:bCs/>
        </w:rPr>
      </w:pPr>
      <w:r w:rsidRPr="00F47A54">
        <w:rPr>
          <w:b/>
          <w:bCs/>
        </w:rPr>
        <w:t xml:space="preserve">1) </w:t>
      </w:r>
      <w:r w:rsidR="00F824F7" w:rsidRPr="00F47A54">
        <w:rPr>
          <w:b/>
          <w:bCs/>
        </w:rPr>
        <w:t xml:space="preserve">Please add to the limitations that the manner of administration (intraperitoneal injection) of the cannabinoids does not reflect the common way of administration. Usually, an oral (CBD) or pulmonary (THC) administration should be preferred as it was performed </w:t>
      </w:r>
      <w:proofErr w:type="gramStart"/>
      <w:r w:rsidR="00F824F7" w:rsidRPr="00F47A54">
        <w:rPr>
          <w:b/>
          <w:bCs/>
        </w:rPr>
        <w:t>e.g.</w:t>
      </w:r>
      <w:proofErr w:type="gramEnd"/>
      <w:r w:rsidR="00F824F7" w:rsidRPr="00F47A54">
        <w:rPr>
          <w:b/>
          <w:bCs/>
        </w:rPr>
        <w:t xml:space="preserve"> by </w:t>
      </w:r>
      <w:proofErr w:type="spellStart"/>
      <w:r w:rsidR="00F824F7" w:rsidRPr="00F47A54">
        <w:rPr>
          <w:b/>
          <w:bCs/>
        </w:rPr>
        <w:t>Hlozek</w:t>
      </w:r>
      <w:proofErr w:type="spellEnd"/>
      <w:r w:rsidR="00F824F7" w:rsidRPr="00F47A54">
        <w:rPr>
          <w:b/>
          <w:bCs/>
        </w:rPr>
        <w:t xml:space="preserve"> et al. 2017 (your reference 6).</w:t>
      </w:r>
    </w:p>
    <w:p w14:paraId="07D7FBB2" w14:textId="5FA216A2" w:rsidR="00E200C2" w:rsidRDefault="00E200C2" w:rsidP="00F47A54">
      <w:pPr>
        <w:rPr>
          <w:b/>
          <w:bCs/>
        </w:rPr>
      </w:pPr>
    </w:p>
    <w:p w14:paraId="684B2249" w14:textId="57C30394" w:rsidR="00E200C2" w:rsidRPr="00E200C2" w:rsidRDefault="00E200C2" w:rsidP="00F47A54">
      <w:r>
        <w:t xml:space="preserve">Thank you for your feedback </w:t>
      </w:r>
      <w:r w:rsidR="0051002B">
        <w:t>highlighting the novelty of work, which provides new information in additional tissues. This work sheds li</w:t>
      </w:r>
      <w:r w:rsidR="008B7836">
        <w:t xml:space="preserve">ght </w:t>
      </w:r>
      <w:r w:rsidR="0051002B">
        <w:t>on the potential impact of CBD and THC in other tissues that have not been previously considered. W</w:t>
      </w:r>
      <w:r>
        <w:t xml:space="preserve">e agree that </w:t>
      </w:r>
      <w:proofErr w:type="spellStart"/>
      <w:r>
        <w:t>i.p.</w:t>
      </w:r>
      <w:proofErr w:type="spellEnd"/>
      <w:r>
        <w:t xml:space="preserve"> injection is certainly not the</w:t>
      </w:r>
      <w:r w:rsidR="00790D7A">
        <w:t xml:space="preserve"> most</w:t>
      </w:r>
      <w:r>
        <w:t xml:space="preserve"> common mode of consumption in a </w:t>
      </w:r>
      <w:proofErr w:type="gramStart"/>
      <w:r>
        <w:t>real world</w:t>
      </w:r>
      <w:proofErr w:type="gramEnd"/>
      <w:r>
        <w:t xml:space="preserve"> setting. </w:t>
      </w:r>
      <w:r w:rsidR="008B7836">
        <w:t xml:space="preserve">However, </w:t>
      </w:r>
      <w:proofErr w:type="gramStart"/>
      <w:r w:rsidR="008B7836">
        <w:t>a</w:t>
      </w:r>
      <w:r>
        <w:t xml:space="preserve"> large number of</w:t>
      </w:r>
      <w:proofErr w:type="gramEnd"/>
      <w:r>
        <w:t xml:space="preserve"> </w:t>
      </w:r>
      <w:r w:rsidR="008B7836">
        <w:t xml:space="preserve">preclinical </w:t>
      </w:r>
      <w:r>
        <w:t xml:space="preserve">studies have used </w:t>
      </w:r>
      <w:proofErr w:type="spellStart"/>
      <w:r>
        <w:t>i.p.</w:t>
      </w:r>
      <w:proofErr w:type="spellEnd"/>
      <w:r>
        <w:t xml:space="preserve"> injection as their method of </w:t>
      </w:r>
      <w:r w:rsidR="008B7836">
        <w:t>administration</w:t>
      </w:r>
      <w:r w:rsidR="00790D7A">
        <w:t xml:space="preserve"> and</w:t>
      </w:r>
      <w:r>
        <w:t xml:space="preserve"> our goal was to use the most common approach</w:t>
      </w:r>
      <w:r w:rsidR="00790D7A">
        <w:t xml:space="preserve"> in literature</w:t>
      </w:r>
      <w:r>
        <w:t xml:space="preserve"> to i</w:t>
      </w:r>
      <w:r w:rsidR="00790D7A">
        <w:t xml:space="preserve">ncrease the comparability of our results with past work. Lines </w:t>
      </w:r>
      <w:r w:rsidR="008A2211">
        <w:t>198</w:t>
      </w:r>
      <w:r w:rsidR="00790D7A">
        <w:t>-2</w:t>
      </w:r>
      <w:r w:rsidR="00867A18">
        <w:t>0</w:t>
      </w:r>
      <w:r w:rsidR="008A2211">
        <w:t>1</w:t>
      </w:r>
      <w:r w:rsidR="00790D7A">
        <w:t xml:space="preserve"> have been added in our limitations to reflect this idea.</w:t>
      </w:r>
    </w:p>
    <w:sectPr w:rsidR="00E200C2" w:rsidRPr="00E200C2" w:rsidSect="001B081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12B4"/>
    <w:multiLevelType w:val="hybridMultilevel"/>
    <w:tmpl w:val="5ADE65BE"/>
    <w:lvl w:ilvl="0" w:tplc="F3FED8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B42F09"/>
    <w:multiLevelType w:val="hybridMultilevel"/>
    <w:tmpl w:val="ED8E15AC"/>
    <w:lvl w:ilvl="0" w:tplc="AC7C9D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DC4DD6"/>
    <w:multiLevelType w:val="hybridMultilevel"/>
    <w:tmpl w:val="7F42AA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4F7"/>
    <w:rsid w:val="000037D1"/>
    <w:rsid w:val="00076F76"/>
    <w:rsid w:val="000B3162"/>
    <w:rsid w:val="000C0681"/>
    <w:rsid w:val="000D6A7C"/>
    <w:rsid w:val="000E58ED"/>
    <w:rsid w:val="000E7E75"/>
    <w:rsid w:val="001215B9"/>
    <w:rsid w:val="00127BCB"/>
    <w:rsid w:val="00137475"/>
    <w:rsid w:val="00154B88"/>
    <w:rsid w:val="0016089A"/>
    <w:rsid w:val="00182F75"/>
    <w:rsid w:val="00191C1C"/>
    <w:rsid w:val="001B0814"/>
    <w:rsid w:val="001B64BD"/>
    <w:rsid w:val="001C5A07"/>
    <w:rsid w:val="001D2F48"/>
    <w:rsid w:val="001E70FF"/>
    <w:rsid w:val="001F7B14"/>
    <w:rsid w:val="00202ACD"/>
    <w:rsid w:val="00243901"/>
    <w:rsid w:val="00243945"/>
    <w:rsid w:val="00273CFE"/>
    <w:rsid w:val="002832BE"/>
    <w:rsid w:val="002A03AB"/>
    <w:rsid w:val="002C2E37"/>
    <w:rsid w:val="002D1F5F"/>
    <w:rsid w:val="002F7B3A"/>
    <w:rsid w:val="003012FA"/>
    <w:rsid w:val="0031228C"/>
    <w:rsid w:val="00341396"/>
    <w:rsid w:val="003553C1"/>
    <w:rsid w:val="003600E7"/>
    <w:rsid w:val="00371F0F"/>
    <w:rsid w:val="0038148C"/>
    <w:rsid w:val="0038773B"/>
    <w:rsid w:val="0039081E"/>
    <w:rsid w:val="003D26F8"/>
    <w:rsid w:val="003F291A"/>
    <w:rsid w:val="004273A7"/>
    <w:rsid w:val="00440565"/>
    <w:rsid w:val="00445026"/>
    <w:rsid w:val="00445F55"/>
    <w:rsid w:val="00452355"/>
    <w:rsid w:val="004525E1"/>
    <w:rsid w:val="0045531D"/>
    <w:rsid w:val="0048089E"/>
    <w:rsid w:val="004A1E62"/>
    <w:rsid w:val="004B562F"/>
    <w:rsid w:val="004D121A"/>
    <w:rsid w:val="004F0D49"/>
    <w:rsid w:val="004F52FF"/>
    <w:rsid w:val="0051002B"/>
    <w:rsid w:val="00576B3A"/>
    <w:rsid w:val="005D71BF"/>
    <w:rsid w:val="005F35E0"/>
    <w:rsid w:val="00611772"/>
    <w:rsid w:val="00634D44"/>
    <w:rsid w:val="00655C34"/>
    <w:rsid w:val="00675EC6"/>
    <w:rsid w:val="006C61F4"/>
    <w:rsid w:val="006D321D"/>
    <w:rsid w:val="006D4E03"/>
    <w:rsid w:val="006E3FB9"/>
    <w:rsid w:val="006E4F04"/>
    <w:rsid w:val="006F5BC1"/>
    <w:rsid w:val="00746561"/>
    <w:rsid w:val="00765B44"/>
    <w:rsid w:val="00770DE4"/>
    <w:rsid w:val="007737DB"/>
    <w:rsid w:val="00774BAB"/>
    <w:rsid w:val="00781B35"/>
    <w:rsid w:val="00790D7A"/>
    <w:rsid w:val="00790F44"/>
    <w:rsid w:val="00797007"/>
    <w:rsid w:val="007A6C20"/>
    <w:rsid w:val="007B1F89"/>
    <w:rsid w:val="007C1AF8"/>
    <w:rsid w:val="007E2E0D"/>
    <w:rsid w:val="007F24F9"/>
    <w:rsid w:val="00854F5D"/>
    <w:rsid w:val="008649DD"/>
    <w:rsid w:val="00864BE6"/>
    <w:rsid w:val="00867A18"/>
    <w:rsid w:val="008966EB"/>
    <w:rsid w:val="008A2211"/>
    <w:rsid w:val="008B7836"/>
    <w:rsid w:val="008C6B9B"/>
    <w:rsid w:val="008E7BA0"/>
    <w:rsid w:val="008F57FA"/>
    <w:rsid w:val="00926F62"/>
    <w:rsid w:val="00964D67"/>
    <w:rsid w:val="00986D40"/>
    <w:rsid w:val="009D5E8F"/>
    <w:rsid w:val="009E7C9B"/>
    <w:rsid w:val="009F30F7"/>
    <w:rsid w:val="00A065EC"/>
    <w:rsid w:val="00A3255A"/>
    <w:rsid w:val="00A77A55"/>
    <w:rsid w:val="00AA6CB2"/>
    <w:rsid w:val="00AE1EB0"/>
    <w:rsid w:val="00AE3AA8"/>
    <w:rsid w:val="00AF3181"/>
    <w:rsid w:val="00B3526D"/>
    <w:rsid w:val="00B422E2"/>
    <w:rsid w:val="00B6323A"/>
    <w:rsid w:val="00B713D7"/>
    <w:rsid w:val="00B92F60"/>
    <w:rsid w:val="00B951D4"/>
    <w:rsid w:val="00BA6806"/>
    <w:rsid w:val="00BC6B48"/>
    <w:rsid w:val="00BF4F7B"/>
    <w:rsid w:val="00BF754C"/>
    <w:rsid w:val="00C00FC1"/>
    <w:rsid w:val="00C4314B"/>
    <w:rsid w:val="00C47BD8"/>
    <w:rsid w:val="00C84E95"/>
    <w:rsid w:val="00C9261F"/>
    <w:rsid w:val="00CB1576"/>
    <w:rsid w:val="00CB78E3"/>
    <w:rsid w:val="00CD488C"/>
    <w:rsid w:val="00CF3DF2"/>
    <w:rsid w:val="00D04875"/>
    <w:rsid w:val="00D05632"/>
    <w:rsid w:val="00D13AF2"/>
    <w:rsid w:val="00D551E7"/>
    <w:rsid w:val="00D7468E"/>
    <w:rsid w:val="00D760E8"/>
    <w:rsid w:val="00D959F4"/>
    <w:rsid w:val="00DC6F6D"/>
    <w:rsid w:val="00DD1059"/>
    <w:rsid w:val="00DF1718"/>
    <w:rsid w:val="00E01A9D"/>
    <w:rsid w:val="00E14D85"/>
    <w:rsid w:val="00E200C2"/>
    <w:rsid w:val="00E40081"/>
    <w:rsid w:val="00E56288"/>
    <w:rsid w:val="00E7322A"/>
    <w:rsid w:val="00E73C25"/>
    <w:rsid w:val="00E951B6"/>
    <w:rsid w:val="00E96951"/>
    <w:rsid w:val="00EB6529"/>
    <w:rsid w:val="00F47A54"/>
    <w:rsid w:val="00F824F7"/>
    <w:rsid w:val="00F85A08"/>
    <w:rsid w:val="00F90FFF"/>
    <w:rsid w:val="00FA6026"/>
    <w:rsid w:val="00FA61BF"/>
    <w:rsid w:val="00FA7401"/>
    <w:rsid w:val="00FB4EA8"/>
    <w:rsid w:val="00FC3A97"/>
    <w:rsid w:val="00FE18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2C10"/>
  <w15:chartTrackingRefBased/>
  <w15:docId w15:val="{2E90CF41-2FAC-DD4E-B1B2-0B15D394B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A54"/>
    <w:pPr>
      <w:ind w:left="720"/>
      <w:contextualSpacing/>
    </w:pPr>
  </w:style>
  <w:style w:type="character" w:styleId="Hyperlink">
    <w:name w:val="Hyperlink"/>
    <w:basedOn w:val="DefaultParagraphFont"/>
    <w:uiPriority w:val="99"/>
    <w:unhideWhenUsed/>
    <w:rsid w:val="005F35E0"/>
    <w:rPr>
      <w:color w:val="0563C1" w:themeColor="hyperlink"/>
      <w:u w:val="single"/>
    </w:rPr>
  </w:style>
  <w:style w:type="character" w:styleId="UnresolvedMention">
    <w:name w:val="Unresolved Mention"/>
    <w:basedOn w:val="DefaultParagraphFont"/>
    <w:uiPriority w:val="99"/>
    <w:semiHidden/>
    <w:unhideWhenUsed/>
    <w:rsid w:val="005F35E0"/>
    <w:rPr>
      <w:color w:val="605E5C"/>
      <w:shd w:val="clear" w:color="auto" w:fill="E1DFDD"/>
    </w:rPr>
  </w:style>
  <w:style w:type="character" w:styleId="CommentReference">
    <w:name w:val="annotation reference"/>
    <w:basedOn w:val="DefaultParagraphFont"/>
    <w:uiPriority w:val="99"/>
    <w:semiHidden/>
    <w:unhideWhenUsed/>
    <w:rsid w:val="00A065EC"/>
    <w:rPr>
      <w:sz w:val="16"/>
      <w:szCs w:val="16"/>
    </w:rPr>
  </w:style>
  <w:style w:type="paragraph" w:styleId="CommentText">
    <w:name w:val="annotation text"/>
    <w:basedOn w:val="Normal"/>
    <w:link w:val="CommentTextChar"/>
    <w:uiPriority w:val="99"/>
    <w:semiHidden/>
    <w:unhideWhenUsed/>
    <w:rsid w:val="00A065EC"/>
    <w:rPr>
      <w:sz w:val="20"/>
      <w:szCs w:val="20"/>
    </w:rPr>
  </w:style>
  <w:style w:type="character" w:customStyle="1" w:styleId="CommentTextChar">
    <w:name w:val="Comment Text Char"/>
    <w:basedOn w:val="DefaultParagraphFont"/>
    <w:link w:val="CommentText"/>
    <w:uiPriority w:val="99"/>
    <w:semiHidden/>
    <w:rsid w:val="00A065EC"/>
    <w:rPr>
      <w:sz w:val="20"/>
      <w:szCs w:val="20"/>
    </w:rPr>
  </w:style>
  <w:style w:type="paragraph" w:styleId="CommentSubject">
    <w:name w:val="annotation subject"/>
    <w:basedOn w:val="CommentText"/>
    <w:next w:val="CommentText"/>
    <w:link w:val="CommentSubjectChar"/>
    <w:uiPriority w:val="99"/>
    <w:semiHidden/>
    <w:unhideWhenUsed/>
    <w:rsid w:val="00A065EC"/>
    <w:rPr>
      <w:b/>
      <w:bCs/>
    </w:rPr>
  </w:style>
  <w:style w:type="character" w:customStyle="1" w:styleId="CommentSubjectChar">
    <w:name w:val="Comment Subject Char"/>
    <w:basedOn w:val="CommentTextChar"/>
    <w:link w:val="CommentSubject"/>
    <w:uiPriority w:val="99"/>
    <w:semiHidden/>
    <w:rsid w:val="00A065EC"/>
    <w:rPr>
      <w:b/>
      <w:bCs/>
      <w:sz w:val="20"/>
      <w:szCs w:val="20"/>
    </w:rPr>
  </w:style>
  <w:style w:type="paragraph" w:styleId="Revision">
    <w:name w:val="Revision"/>
    <w:hidden/>
    <w:uiPriority w:val="99"/>
    <w:semiHidden/>
    <w:rsid w:val="001C5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796232">
      <w:bodyDiv w:val="1"/>
      <w:marLeft w:val="0"/>
      <w:marRight w:val="0"/>
      <w:marTop w:val="0"/>
      <w:marBottom w:val="0"/>
      <w:divBdr>
        <w:top w:val="none" w:sz="0" w:space="0" w:color="auto"/>
        <w:left w:val="none" w:sz="0" w:space="0" w:color="auto"/>
        <w:bottom w:val="none" w:sz="0" w:space="0" w:color="auto"/>
        <w:right w:val="none" w:sz="0" w:space="0" w:color="auto"/>
      </w:divBdr>
    </w:div>
    <w:div w:id="1473138915">
      <w:bodyDiv w:val="1"/>
      <w:marLeft w:val="0"/>
      <w:marRight w:val="0"/>
      <w:marTop w:val="0"/>
      <w:marBottom w:val="0"/>
      <w:divBdr>
        <w:top w:val="none" w:sz="0" w:space="0" w:color="auto"/>
        <w:left w:val="none" w:sz="0" w:space="0" w:color="auto"/>
        <w:bottom w:val="none" w:sz="0" w:space="0" w:color="auto"/>
        <w:right w:val="none" w:sz="0" w:space="0" w:color="auto"/>
      </w:divBdr>
    </w:div>
    <w:div w:id="1753353055">
      <w:bodyDiv w:val="1"/>
      <w:marLeft w:val="0"/>
      <w:marRight w:val="0"/>
      <w:marTop w:val="0"/>
      <w:marBottom w:val="0"/>
      <w:divBdr>
        <w:top w:val="none" w:sz="0" w:space="0" w:color="auto"/>
        <w:left w:val="none" w:sz="0" w:space="0" w:color="auto"/>
        <w:bottom w:val="none" w:sz="0" w:space="0" w:color="auto"/>
        <w:right w:val="none" w:sz="0" w:space="0" w:color="auto"/>
      </w:divBdr>
      <w:divsChild>
        <w:div w:id="1375543497">
          <w:marLeft w:val="0"/>
          <w:marRight w:val="0"/>
          <w:marTop w:val="0"/>
          <w:marBottom w:val="0"/>
          <w:divBdr>
            <w:top w:val="none" w:sz="0" w:space="0" w:color="auto"/>
            <w:left w:val="none" w:sz="0" w:space="0" w:color="auto"/>
            <w:bottom w:val="none" w:sz="0" w:space="0" w:color="auto"/>
            <w:right w:val="none" w:sz="0" w:space="0" w:color="auto"/>
          </w:divBdr>
        </w:div>
        <w:div w:id="1178813253">
          <w:marLeft w:val="0"/>
          <w:marRight w:val="0"/>
          <w:marTop w:val="0"/>
          <w:marBottom w:val="0"/>
          <w:divBdr>
            <w:top w:val="none" w:sz="0" w:space="0" w:color="auto"/>
            <w:left w:val="none" w:sz="0" w:space="0" w:color="auto"/>
            <w:bottom w:val="none" w:sz="0" w:space="0" w:color="auto"/>
            <w:right w:val="none" w:sz="0" w:space="0" w:color="auto"/>
          </w:divBdr>
        </w:div>
        <w:div w:id="1133987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urnals.plos.org/plosone/s/file?id=ba62/PLOSOne_formatting_sample_title_authors_affiliations.pdf" TargetMode="External"/><Relationship Id="rId5" Type="http://schemas.openxmlformats.org/officeDocument/2006/relationships/hyperlink" Target="https://journals.plos.org/plosone/s/file?id=wjVg/PLOSOne_formatting_sample_main_body.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1180</Words>
  <Characters>6729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 Lust</dc:creator>
  <cp:keywords/>
  <dc:description/>
  <cp:lastModifiedBy>Cody Lust</cp:lastModifiedBy>
  <cp:revision>14</cp:revision>
  <dcterms:created xsi:type="dcterms:W3CDTF">2021-12-10T22:02:00Z</dcterms:created>
  <dcterms:modified xsi:type="dcterms:W3CDTF">2021-12-15T18:51:00Z</dcterms:modified>
</cp:coreProperties>
</file>