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5C31" w14:textId="12758EB1" w:rsidR="00D63F97" w:rsidRPr="007A516A" w:rsidRDefault="00D3124F" w:rsidP="00880AFC">
      <w:pPr>
        <w:spacing w:line="240" w:lineRule="auto"/>
        <w:jc w:val="both"/>
        <w:rPr>
          <w:rFonts w:cstheme="minorHAnsi"/>
        </w:rPr>
      </w:pPr>
      <w:r w:rsidRPr="007A516A">
        <w:rPr>
          <w:rFonts w:cstheme="minorHAnsi"/>
        </w:rPr>
        <w:t>Dear Editor,</w:t>
      </w:r>
    </w:p>
    <w:p w14:paraId="02E76736" w14:textId="35C3E926" w:rsidR="009F7142" w:rsidRPr="007A516A" w:rsidRDefault="009F7142" w:rsidP="00880AFC">
      <w:pPr>
        <w:spacing w:line="240" w:lineRule="auto"/>
        <w:jc w:val="both"/>
        <w:rPr>
          <w:rFonts w:cstheme="minorHAnsi"/>
        </w:rPr>
      </w:pPr>
      <w:r w:rsidRPr="007A516A">
        <w:rPr>
          <w:rFonts w:cstheme="minorHAnsi"/>
        </w:rPr>
        <w:t xml:space="preserve">We thank the reviewers and the editorial team for their constructive comments and feedback. Below, we have responded to the reviews provided by each referee, and we have correspondingly updated the manuscript for resubmission. We believe these changes have significantly improved the manuscript and we hope that it will be deemed suitable for publication </w:t>
      </w:r>
      <w:r w:rsidR="00D3124F" w:rsidRPr="007A516A">
        <w:rPr>
          <w:rFonts w:cstheme="minorHAnsi"/>
        </w:rPr>
        <w:t xml:space="preserve">in </w:t>
      </w:r>
      <w:r w:rsidR="007F35AE" w:rsidRPr="007A516A">
        <w:rPr>
          <w:rFonts w:cstheme="minorHAnsi"/>
        </w:rPr>
        <w:t>PLOS ONE</w:t>
      </w:r>
      <w:r w:rsidRPr="007A516A">
        <w:rPr>
          <w:rFonts w:cstheme="minorHAnsi"/>
        </w:rPr>
        <w:t xml:space="preserve">. We will continue to build upon the findings from this </w:t>
      </w:r>
      <w:proofErr w:type="gramStart"/>
      <w:r w:rsidRPr="007A516A">
        <w:rPr>
          <w:rFonts w:cstheme="minorHAnsi"/>
        </w:rPr>
        <w:t>manuscript</w:t>
      </w:r>
      <w:r w:rsidR="00D3124F" w:rsidRPr="007A516A">
        <w:rPr>
          <w:rFonts w:cstheme="minorHAnsi"/>
        </w:rPr>
        <w:t>,</w:t>
      </w:r>
      <w:r w:rsidRPr="007A516A">
        <w:rPr>
          <w:rFonts w:cstheme="minorHAnsi"/>
        </w:rPr>
        <w:t xml:space="preserve"> and</w:t>
      </w:r>
      <w:proofErr w:type="gramEnd"/>
      <w:r w:rsidRPr="007A516A">
        <w:rPr>
          <w:rFonts w:cstheme="minorHAnsi"/>
        </w:rPr>
        <w:t xml:space="preserve"> look forward to incorporating the suggestions from the reviewers </w:t>
      </w:r>
      <w:r w:rsidR="00D3124F" w:rsidRPr="007A516A">
        <w:rPr>
          <w:rFonts w:cstheme="minorHAnsi"/>
        </w:rPr>
        <w:t>in future studies</w:t>
      </w:r>
      <w:r w:rsidRPr="007A516A">
        <w:rPr>
          <w:rFonts w:cstheme="minorHAnsi"/>
        </w:rPr>
        <w:t xml:space="preserve">. </w:t>
      </w:r>
    </w:p>
    <w:p w14:paraId="2DBA1102" w14:textId="05680CF5" w:rsidR="002A312F" w:rsidRPr="007A516A" w:rsidRDefault="002A312F" w:rsidP="00880AFC">
      <w:pPr>
        <w:spacing w:line="240" w:lineRule="auto"/>
        <w:jc w:val="both"/>
        <w:rPr>
          <w:rFonts w:cstheme="minorHAnsi"/>
        </w:rPr>
      </w:pPr>
      <w:r w:rsidRPr="007A516A">
        <w:rPr>
          <w:rFonts w:cstheme="minorHAnsi"/>
        </w:rPr>
        <w:t xml:space="preserve">We confirm that neither the manuscript nor any parts of its content are currently under consideration or published in another journal. All authors have approved the manuscript and agree with its submission to </w:t>
      </w:r>
      <w:r w:rsidR="007F35AE" w:rsidRPr="007A516A">
        <w:rPr>
          <w:rFonts w:cstheme="minorHAnsi"/>
        </w:rPr>
        <w:t>PLOS ONE</w:t>
      </w:r>
      <w:r w:rsidRPr="007A516A">
        <w:rPr>
          <w:rFonts w:cstheme="minorHAnsi"/>
        </w:rPr>
        <w:t>.</w:t>
      </w:r>
    </w:p>
    <w:p w14:paraId="771E9BBD" w14:textId="77777777" w:rsidR="002A312F" w:rsidRPr="007A516A" w:rsidRDefault="002A312F" w:rsidP="00880AFC">
      <w:pPr>
        <w:spacing w:line="240" w:lineRule="auto"/>
        <w:jc w:val="both"/>
        <w:rPr>
          <w:rFonts w:cstheme="minorHAnsi"/>
        </w:rPr>
      </w:pPr>
    </w:p>
    <w:p w14:paraId="3BC884EC" w14:textId="16A73961" w:rsidR="00D3124F" w:rsidRPr="007A516A" w:rsidRDefault="00D3124F" w:rsidP="00880AFC">
      <w:pPr>
        <w:spacing w:line="240" w:lineRule="auto"/>
        <w:jc w:val="both"/>
        <w:rPr>
          <w:rFonts w:cstheme="minorHAnsi"/>
        </w:rPr>
      </w:pPr>
      <w:r w:rsidRPr="007A516A">
        <w:rPr>
          <w:rFonts w:cstheme="minorHAnsi"/>
        </w:rPr>
        <w:t xml:space="preserve">Sincerely, </w:t>
      </w:r>
    </w:p>
    <w:p w14:paraId="1CB1DCCB" w14:textId="144A22C4" w:rsidR="00D3124F" w:rsidRPr="007A516A" w:rsidRDefault="00D3124F" w:rsidP="00880AFC">
      <w:pPr>
        <w:spacing w:line="240" w:lineRule="auto"/>
        <w:jc w:val="both"/>
        <w:rPr>
          <w:rFonts w:cstheme="minorHAnsi"/>
        </w:rPr>
      </w:pPr>
      <w:r w:rsidRPr="007A516A">
        <w:rPr>
          <w:rFonts w:cstheme="minorHAnsi"/>
        </w:rPr>
        <w:t>Jibran Khokhar</w:t>
      </w:r>
    </w:p>
    <w:p w14:paraId="417954CB" w14:textId="77777777" w:rsidR="004369E1" w:rsidRPr="007A516A" w:rsidRDefault="004369E1" w:rsidP="00880AFC">
      <w:pPr>
        <w:spacing w:line="240" w:lineRule="auto"/>
        <w:jc w:val="both"/>
        <w:rPr>
          <w:rFonts w:cstheme="minorHAnsi"/>
          <w:u w:val="single"/>
        </w:rPr>
      </w:pPr>
    </w:p>
    <w:p w14:paraId="7B24810E" w14:textId="1DEDA901" w:rsidR="00D3124F" w:rsidRPr="007A516A" w:rsidRDefault="00D3124F" w:rsidP="00880AFC">
      <w:pPr>
        <w:spacing w:line="240" w:lineRule="auto"/>
        <w:jc w:val="both"/>
        <w:rPr>
          <w:rFonts w:cstheme="minorHAnsi"/>
          <w:u w:val="single"/>
        </w:rPr>
      </w:pPr>
      <w:r w:rsidRPr="007A516A">
        <w:rPr>
          <w:rFonts w:cstheme="minorHAnsi"/>
          <w:u w:val="single"/>
        </w:rPr>
        <w:t>Responses to Reviewers:</w:t>
      </w:r>
    </w:p>
    <w:p w14:paraId="53E1B8DC" w14:textId="580B8AA2" w:rsidR="00D837D4" w:rsidRPr="007A516A" w:rsidRDefault="00D837D4" w:rsidP="00880AFC">
      <w:pPr>
        <w:spacing w:line="240" w:lineRule="auto"/>
        <w:jc w:val="both"/>
        <w:rPr>
          <w:rFonts w:cstheme="minorHAnsi"/>
          <w:b/>
          <w:bCs/>
        </w:rPr>
      </w:pPr>
      <w:r w:rsidRPr="007A516A">
        <w:rPr>
          <w:rFonts w:cstheme="minorHAnsi"/>
          <w:b/>
          <w:bCs/>
        </w:rPr>
        <w:t>Reviewer 1</w:t>
      </w:r>
    </w:p>
    <w:p w14:paraId="411C2200" w14:textId="5D774857" w:rsidR="00D63F97" w:rsidRPr="007A516A" w:rsidRDefault="00D63F97" w:rsidP="00880AFC">
      <w:pPr>
        <w:spacing w:line="240" w:lineRule="auto"/>
        <w:jc w:val="both"/>
        <w:rPr>
          <w:rFonts w:cstheme="minorHAnsi"/>
        </w:rPr>
      </w:pPr>
      <w:r w:rsidRPr="007A516A">
        <w:rPr>
          <w:rFonts w:cstheme="minorHAnsi"/>
        </w:rPr>
        <w:t xml:space="preserve">Thank you to the reviewers for their continued insight and help with our manuscript. We have addressed the comments below. </w:t>
      </w:r>
    </w:p>
    <w:p w14:paraId="0FD55B70" w14:textId="4245A685" w:rsidR="003D6C9C" w:rsidRPr="007A516A" w:rsidRDefault="003D6C9C" w:rsidP="00880AFC">
      <w:pPr>
        <w:pStyle w:val="ListParagraph"/>
        <w:numPr>
          <w:ilvl w:val="0"/>
          <w:numId w:val="2"/>
        </w:numPr>
        <w:spacing w:after="0" w:line="240" w:lineRule="auto"/>
        <w:jc w:val="both"/>
        <w:rPr>
          <w:rFonts w:eastAsia="Times New Roman" w:cstheme="minorHAnsi"/>
          <w:lang w:eastAsia="en-GB"/>
        </w:rPr>
      </w:pPr>
      <w:r w:rsidRPr="007A516A">
        <w:rPr>
          <w:rFonts w:eastAsia="Times New Roman" w:cstheme="minorHAnsi"/>
          <w:lang w:eastAsia="en-GB"/>
        </w:rPr>
        <w:t>This is very interesting, but I am unclear about a few points. I could not see the questionnaire so the information may be there, but it would be useful in the text. I need more information to fully understand the data included in</w:t>
      </w:r>
      <w:r w:rsidR="00FB50C7" w:rsidRPr="007A516A">
        <w:rPr>
          <w:rFonts w:eastAsia="Times New Roman" w:cstheme="minorHAnsi"/>
          <w:lang w:eastAsia="en-GB"/>
        </w:rPr>
        <w:t xml:space="preserve"> </w:t>
      </w:r>
      <w:r w:rsidRPr="007A516A">
        <w:rPr>
          <w:rFonts w:eastAsia="Times New Roman" w:cstheme="minorHAnsi"/>
          <w:lang w:eastAsia="en-GB"/>
        </w:rPr>
        <w:t>the study.</w:t>
      </w:r>
      <w:r w:rsidR="00103D62" w:rsidRPr="007A516A">
        <w:rPr>
          <w:rFonts w:eastAsia="Times New Roman" w:cstheme="minorHAnsi"/>
          <w:lang w:eastAsia="en-GB"/>
        </w:rPr>
        <w:t xml:space="preserve"> </w:t>
      </w:r>
      <w:r w:rsidRPr="007A516A">
        <w:rPr>
          <w:rFonts w:eastAsia="Times New Roman" w:cstheme="minorHAnsi"/>
          <w:lang w:eastAsia="en-GB"/>
        </w:rPr>
        <w:t>What is meant by cannabis here? Does it include CBD products and synthetic cannabinoid receptor agonists (SCRAs)? So, both illicit drugs and medical products for human and veterinary use? Mixed exposure cases were included or excluded (</w:t>
      </w:r>
      <w:proofErr w:type="gramStart"/>
      <w:r w:rsidRPr="007A516A">
        <w:rPr>
          <w:rFonts w:eastAsia="Times New Roman" w:cstheme="minorHAnsi"/>
          <w:lang w:eastAsia="en-GB"/>
        </w:rPr>
        <w:t>e.g.</w:t>
      </w:r>
      <w:proofErr w:type="gramEnd"/>
      <w:r w:rsidRPr="007A516A">
        <w:rPr>
          <w:rFonts w:eastAsia="Times New Roman" w:cstheme="minorHAnsi"/>
          <w:lang w:eastAsia="en-GB"/>
        </w:rPr>
        <w:t xml:space="preserve"> chocolate, xylitol)?</w:t>
      </w:r>
    </w:p>
    <w:p w14:paraId="025245A2" w14:textId="77777777" w:rsidR="00103D62" w:rsidRPr="007A516A" w:rsidRDefault="00103D62" w:rsidP="00880AFC">
      <w:pPr>
        <w:spacing w:after="0" w:line="240" w:lineRule="auto"/>
        <w:jc w:val="both"/>
        <w:rPr>
          <w:rFonts w:eastAsia="Times New Roman" w:cstheme="minorHAnsi"/>
          <w:lang w:eastAsia="en-GB"/>
        </w:rPr>
      </w:pPr>
    </w:p>
    <w:p w14:paraId="05121AF4" w14:textId="5A2D2912" w:rsidR="00103D62" w:rsidRPr="007A516A" w:rsidRDefault="00103D62" w:rsidP="00880AFC">
      <w:pPr>
        <w:spacing w:after="0" w:line="240" w:lineRule="auto"/>
        <w:jc w:val="both"/>
        <w:rPr>
          <w:rFonts w:cstheme="minorHAnsi"/>
        </w:rPr>
      </w:pPr>
      <w:r w:rsidRPr="007A516A">
        <w:rPr>
          <w:rFonts w:eastAsia="Times New Roman" w:cstheme="minorHAnsi"/>
          <w:lang w:eastAsia="en-GB"/>
        </w:rPr>
        <w:t>We have added a definition for what we refer to as cannabis to the text on lines 84 – 85: “</w:t>
      </w:r>
      <w:r w:rsidRPr="007A516A">
        <w:rPr>
          <w:rFonts w:cstheme="minorHAnsi"/>
        </w:rPr>
        <w:t>In this study, cannabis refers to substances derived from either the cannabis plant or synthetic cannabinoids.”</w:t>
      </w:r>
      <w:r w:rsidR="00A30CC6" w:rsidRPr="007A516A">
        <w:rPr>
          <w:rFonts w:cstheme="minorHAnsi"/>
        </w:rPr>
        <w:t xml:space="preserve"> We did not collect data on whether the cannabis was illicit or for medical purposes for human or veterinary use, therefore, the data may include both types of cannabis products.</w:t>
      </w:r>
      <w:r w:rsidR="00693CFA" w:rsidRPr="007A516A">
        <w:rPr>
          <w:rFonts w:cstheme="minorHAnsi"/>
        </w:rPr>
        <w:t xml:space="preserve"> We also pointed this out on lines 3</w:t>
      </w:r>
      <w:r w:rsidR="00C23546">
        <w:rPr>
          <w:rFonts w:cstheme="minorHAnsi"/>
        </w:rPr>
        <w:t>63</w:t>
      </w:r>
      <w:r w:rsidR="00693CFA" w:rsidRPr="007A516A">
        <w:rPr>
          <w:rFonts w:cstheme="minorHAnsi"/>
        </w:rPr>
        <w:t xml:space="preserve"> </w:t>
      </w:r>
      <w:r w:rsidR="00C23546">
        <w:rPr>
          <w:rFonts w:cstheme="minorHAnsi"/>
        </w:rPr>
        <w:t>–</w:t>
      </w:r>
      <w:r w:rsidR="00693CFA" w:rsidRPr="007A516A">
        <w:rPr>
          <w:rFonts w:cstheme="minorHAnsi"/>
        </w:rPr>
        <w:t xml:space="preserve"> 3</w:t>
      </w:r>
      <w:r w:rsidR="00C23546">
        <w:rPr>
          <w:rFonts w:cstheme="minorHAnsi"/>
        </w:rPr>
        <w:t xml:space="preserve">64 </w:t>
      </w:r>
      <w:r w:rsidR="00693CFA" w:rsidRPr="007A516A">
        <w:rPr>
          <w:rFonts w:cstheme="minorHAnsi"/>
        </w:rPr>
        <w:t>as follows: “however</w:t>
      </w:r>
      <w:r w:rsidR="00C23546">
        <w:rPr>
          <w:rFonts w:cstheme="minorHAnsi"/>
        </w:rPr>
        <w:t>,</w:t>
      </w:r>
      <w:r w:rsidR="00693CFA" w:rsidRPr="007A516A">
        <w:rPr>
          <w:rFonts w:cstheme="minorHAnsi"/>
        </w:rPr>
        <w:t xml:space="preserve"> it is difficult to ascertain from our findings whether these edible products were purchased for human or animal consumption.”</w:t>
      </w:r>
    </w:p>
    <w:p w14:paraId="39BAB5BA" w14:textId="4ADA68BA" w:rsidR="001D6CA0" w:rsidRPr="007A516A" w:rsidRDefault="001D6CA0" w:rsidP="00880AFC">
      <w:pPr>
        <w:spacing w:after="0" w:line="240" w:lineRule="auto"/>
        <w:jc w:val="both"/>
        <w:rPr>
          <w:rFonts w:cstheme="minorHAnsi"/>
        </w:rPr>
      </w:pPr>
    </w:p>
    <w:p w14:paraId="37F07E57" w14:textId="02239DAA" w:rsidR="001D6CA0" w:rsidRPr="007A516A" w:rsidRDefault="001D6CA0" w:rsidP="00880AFC">
      <w:pPr>
        <w:spacing w:after="0" w:line="240" w:lineRule="auto"/>
        <w:jc w:val="both"/>
        <w:rPr>
          <w:rFonts w:eastAsia="Times New Roman" w:cstheme="minorHAnsi"/>
          <w:lang w:eastAsia="en-GB"/>
        </w:rPr>
      </w:pPr>
      <w:r w:rsidRPr="007A516A">
        <w:rPr>
          <w:rFonts w:cstheme="minorHAnsi"/>
        </w:rPr>
        <w:t>We did not distinguish cases based on toxins present in the cannabis product consumed since the data we collected did not contain this information. We therefore discussed this issue in the discussion section of the paper on lines 3</w:t>
      </w:r>
      <w:r w:rsidR="00A0534E">
        <w:rPr>
          <w:rFonts w:cstheme="minorHAnsi"/>
        </w:rPr>
        <w:t>81</w:t>
      </w:r>
      <w:r w:rsidRPr="007A516A">
        <w:rPr>
          <w:rFonts w:cstheme="minorHAnsi"/>
        </w:rPr>
        <w:t xml:space="preserve"> – 3</w:t>
      </w:r>
      <w:r w:rsidR="00A0534E">
        <w:rPr>
          <w:rFonts w:cstheme="minorHAnsi"/>
        </w:rPr>
        <w:t>84</w:t>
      </w:r>
      <w:r w:rsidRPr="007A516A">
        <w:rPr>
          <w:rFonts w:cstheme="minorHAnsi"/>
        </w:rPr>
        <w:t>, 4</w:t>
      </w:r>
      <w:r w:rsidR="00A0534E">
        <w:rPr>
          <w:rFonts w:cstheme="minorHAnsi"/>
        </w:rPr>
        <w:t>50</w:t>
      </w:r>
      <w:r w:rsidRPr="007A516A">
        <w:rPr>
          <w:rFonts w:cstheme="minorHAnsi"/>
        </w:rPr>
        <w:t xml:space="preserve"> – 4</w:t>
      </w:r>
      <w:r w:rsidR="00A0534E">
        <w:rPr>
          <w:rFonts w:cstheme="minorHAnsi"/>
        </w:rPr>
        <w:t>53</w:t>
      </w:r>
      <w:r w:rsidRPr="007A516A">
        <w:rPr>
          <w:rFonts w:cstheme="minorHAnsi"/>
        </w:rPr>
        <w:t xml:space="preserve">, and </w:t>
      </w:r>
      <w:r w:rsidR="00A0534E">
        <w:rPr>
          <w:rFonts w:cstheme="minorHAnsi"/>
        </w:rPr>
        <w:t>510</w:t>
      </w:r>
      <w:r w:rsidRPr="007A516A">
        <w:rPr>
          <w:rFonts w:cstheme="minorHAnsi"/>
        </w:rPr>
        <w:t xml:space="preserve"> – </w:t>
      </w:r>
      <w:r w:rsidR="00A0534E">
        <w:rPr>
          <w:rFonts w:cstheme="minorHAnsi"/>
        </w:rPr>
        <w:t>515</w:t>
      </w:r>
      <w:r w:rsidRPr="007A516A">
        <w:rPr>
          <w:rFonts w:cstheme="minorHAnsi"/>
        </w:rPr>
        <w:t>.</w:t>
      </w:r>
    </w:p>
    <w:p w14:paraId="4D81F3CC" w14:textId="77777777" w:rsidR="003D6C9C" w:rsidRPr="007A516A" w:rsidRDefault="003D6C9C" w:rsidP="00880AFC">
      <w:pPr>
        <w:pStyle w:val="ListParagraph"/>
        <w:spacing w:after="0" w:line="240" w:lineRule="auto"/>
        <w:jc w:val="both"/>
        <w:rPr>
          <w:rFonts w:eastAsia="Times New Roman" w:cstheme="minorHAnsi"/>
          <w:lang w:eastAsia="en-GB"/>
        </w:rPr>
      </w:pPr>
    </w:p>
    <w:p w14:paraId="1016C9BE" w14:textId="138F537F" w:rsidR="003D6C9C" w:rsidRPr="007A516A" w:rsidRDefault="003D6C9C" w:rsidP="00880AFC">
      <w:pPr>
        <w:pStyle w:val="ListParagraph"/>
        <w:numPr>
          <w:ilvl w:val="0"/>
          <w:numId w:val="2"/>
        </w:numPr>
        <w:spacing w:after="0" w:line="240" w:lineRule="auto"/>
        <w:jc w:val="both"/>
        <w:rPr>
          <w:rFonts w:eastAsia="Times New Roman" w:cstheme="minorHAnsi"/>
          <w:lang w:eastAsia="en-GB"/>
        </w:rPr>
      </w:pPr>
      <w:r w:rsidRPr="007A516A">
        <w:rPr>
          <w:rFonts w:eastAsia="Times New Roman" w:cstheme="minorHAnsi"/>
          <w:lang w:eastAsia="en-GB"/>
        </w:rPr>
        <w:t>I do not really understand how the numbers were derived. What were respondents asked about the number of cases? Was it the annual cases they saw or the number of cases between a particular period? This is important as you have numbers before and after legali</w:t>
      </w:r>
      <w:r w:rsidR="0042535C" w:rsidRPr="007A516A">
        <w:rPr>
          <w:rFonts w:eastAsia="Times New Roman" w:cstheme="minorHAnsi"/>
          <w:lang w:eastAsia="en-GB"/>
        </w:rPr>
        <w:t>z</w:t>
      </w:r>
      <w:r w:rsidRPr="007A516A">
        <w:rPr>
          <w:rFonts w:eastAsia="Times New Roman" w:cstheme="minorHAnsi"/>
          <w:lang w:eastAsia="en-GB"/>
        </w:rPr>
        <w:t>ation in Canada. Were they answering from memory or from their practice case database?</w:t>
      </w:r>
    </w:p>
    <w:p w14:paraId="382E0D50" w14:textId="7BAC70E2" w:rsidR="008C3D94" w:rsidRPr="007A516A" w:rsidRDefault="008C3D94" w:rsidP="00880AFC">
      <w:pPr>
        <w:spacing w:after="0" w:line="240" w:lineRule="auto"/>
        <w:jc w:val="both"/>
        <w:rPr>
          <w:rFonts w:eastAsia="Times New Roman" w:cstheme="minorHAnsi"/>
          <w:lang w:eastAsia="en-GB"/>
        </w:rPr>
      </w:pPr>
    </w:p>
    <w:p w14:paraId="7E8FBF50" w14:textId="3FC35EFD" w:rsidR="00C36FD3" w:rsidRPr="007A516A" w:rsidRDefault="008C3D94" w:rsidP="00880AFC">
      <w:pPr>
        <w:autoSpaceDE w:val="0"/>
        <w:autoSpaceDN w:val="0"/>
        <w:adjustRightInd w:val="0"/>
        <w:spacing w:after="0" w:line="240" w:lineRule="auto"/>
        <w:jc w:val="both"/>
        <w:rPr>
          <w:rFonts w:cstheme="minorHAnsi"/>
        </w:rPr>
      </w:pPr>
      <w:r w:rsidRPr="007A516A">
        <w:rPr>
          <w:rFonts w:eastAsia="Times New Roman" w:cstheme="minorHAnsi"/>
          <w:lang w:eastAsia="en-GB"/>
        </w:rPr>
        <w:t>Question #8 in the questionnaire was: “</w:t>
      </w:r>
      <w:r w:rsidRPr="007A516A">
        <w:rPr>
          <w:rFonts w:cstheme="minorHAnsi"/>
        </w:rPr>
        <w:t xml:space="preserve">How many "suspected or confirmed" cannabis toxicosis cases </w:t>
      </w:r>
      <w:proofErr w:type="gramStart"/>
      <w:r w:rsidRPr="007A516A">
        <w:rPr>
          <w:rFonts w:cstheme="minorHAnsi"/>
        </w:rPr>
        <w:t>were</w:t>
      </w:r>
      <w:proofErr w:type="gramEnd"/>
      <w:r w:rsidRPr="007A516A">
        <w:rPr>
          <w:rFonts w:cstheme="minorHAnsi"/>
        </w:rPr>
        <w:t xml:space="preserve"> you presented with yearly as the</w:t>
      </w:r>
      <w:r w:rsidR="00D96183" w:rsidRPr="007A516A">
        <w:rPr>
          <w:rFonts w:cstheme="minorHAnsi"/>
        </w:rPr>
        <w:t xml:space="preserve"> </w:t>
      </w:r>
      <w:r w:rsidRPr="007A516A">
        <w:rPr>
          <w:rFonts w:cstheme="minorHAnsi"/>
        </w:rPr>
        <w:t xml:space="preserve">primary veterinarian before cannabis legalization in Canada (October 17, 2018)?” and </w:t>
      </w:r>
      <w:r w:rsidRPr="007A516A">
        <w:rPr>
          <w:rFonts w:eastAsia="Times New Roman" w:cstheme="minorHAnsi"/>
          <w:lang w:eastAsia="en-GB"/>
        </w:rPr>
        <w:t>Question #9 was</w:t>
      </w:r>
      <w:r w:rsidR="007B5D15" w:rsidRPr="007A516A">
        <w:rPr>
          <w:rFonts w:eastAsia="Times New Roman" w:cstheme="minorHAnsi"/>
          <w:lang w:eastAsia="en-GB"/>
        </w:rPr>
        <w:t>:</w:t>
      </w:r>
      <w:r w:rsidRPr="007A516A">
        <w:rPr>
          <w:rFonts w:eastAsia="Times New Roman" w:cstheme="minorHAnsi"/>
          <w:lang w:eastAsia="en-GB"/>
        </w:rPr>
        <w:t xml:space="preserve"> </w:t>
      </w:r>
      <w:r w:rsidR="007B5D15" w:rsidRPr="007A516A">
        <w:rPr>
          <w:rFonts w:eastAsia="Times New Roman" w:cstheme="minorHAnsi"/>
          <w:lang w:eastAsia="en-GB"/>
        </w:rPr>
        <w:t>“</w:t>
      </w:r>
      <w:r w:rsidRPr="007A516A">
        <w:rPr>
          <w:rFonts w:cstheme="minorHAnsi"/>
        </w:rPr>
        <w:t>How many "suspected or confirmed" cannabis toxicosis cases are you presented with yearly as the</w:t>
      </w:r>
      <w:r w:rsidR="00D96183" w:rsidRPr="007A516A">
        <w:rPr>
          <w:rFonts w:cstheme="minorHAnsi"/>
        </w:rPr>
        <w:t xml:space="preserve"> </w:t>
      </w:r>
      <w:r w:rsidRPr="007A516A">
        <w:rPr>
          <w:rFonts w:cstheme="minorHAnsi"/>
        </w:rPr>
        <w:t xml:space="preserve">primary veterinarian following cannabis legalization in </w:t>
      </w:r>
      <w:r w:rsidRPr="007A516A">
        <w:rPr>
          <w:rFonts w:cstheme="minorHAnsi"/>
        </w:rPr>
        <w:lastRenderedPageBreak/>
        <w:t>Canada (October 17, 2018)?”</w:t>
      </w:r>
      <w:r w:rsidR="00E107CF" w:rsidRPr="007A516A">
        <w:rPr>
          <w:rFonts w:cstheme="minorHAnsi"/>
        </w:rPr>
        <w:t xml:space="preserve"> For both questions, participants were given the option to choose among pre-defined ranges</w:t>
      </w:r>
      <w:r w:rsidR="007B5D15" w:rsidRPr="007A516A">
        <w:rPr>
          <w:rFonts w:cstheme="minorHAnsi"/>
        </w:rPr>
        <w:t xml:space="preserve"> (1 – 12, 13 – 24, 25 – 36, 37 – 48, 49 – 60, and &gt;60</w:t>
      </w:r>
      <w:r w:rsidR="00A0534E">
        <w:rPr>
          <w:rFonts w:cstheme="minorHAnsi"/>
        </w:rPr>
        <w:t>)</w:t>
      </w:r>
      <w:r w:rsidR="00E107CF" w:rsidRPr="007A516A">
        <w:rPr>
          <w:rFonts w:cstheme="minorHAnsi"/>
        </w:rPr>
        <w:t>.</w:t>
      </w:r>
    </w:p>
    <w:p w14:paraId="043AF86D" w14:textId="77777777" w:rsidR="00D96183" w:rsidRPr="007A516A" w:rsidRDefault="00D96183" w:rsidP="00880AFC">
      <w:pPr>
        <w:spacing w:after="0" w:line="240" w:lineRule="auto"/>
        <w:jc w:val="both"/>
        <w:rPr>
          <w:rFonts w:cstheme="minorHAnsi"/>
        </w:rPr>
      </w:pPr>
    </w:p>
    <w:p w14:paraId="5EED80F2" w14:textId="317961CE" w:rsidR="00BF2367" w:rsidRPr="007A516A" w:rsidRDefault="00C36FD3" w:rsidP="00880AFC">
      <w:pPr>
        <w:spacing w:after="0" w:line="240" w:lineRule="auto"/>
        <w:jc w:val="both"/>
        <w:rPr>
          <w:rFonts w:cstheme="minorHAnsi"/>
        </w:rPr>
      </w:pPr>
      <w:r w:rsidRPr="007A516A">
        <w:rPr>
          <w:rFonts w:cstheme="minorHAnsi"/>
        </w:rPr>
        <w:t>T</w:t>
      </w:r>
      <w:r w:rsidR="008C3D94" w:rsidRPr="007A516A">
        <w:rPr>
          <w:rFonts w:cstheme="minorHAnsi"/>
        </w:rPr>
        <w:t>he numbers w</w:t>
      </w:r>
      <w:r w:rsidRPr="007A516A">
        <w:rPr>
          <w:rFonts w:cstheme="minorHAnsi"/>
        </w:rPr>
        <w:t>ere</w:t>
      </w:r>
      <w:r w:rsidR="008C3D94" w:rsidRPr="007A516A">
        <w:rPr>
          <w:rFonts w:cstheme="minorHAnsi"/>
        </w:rPr>
        <w:t xml:space="preserve"> annual number of cases for two periods: 1. </w:t>
      </w:r>
      <w:r w:rsidR="00175A47" w:rsidRPr="007A516A">
        <w:rPr>
          <w:rFonts w:cstheme="minorHAnsi"/>
        </w:rPr>
        <w:t>b</w:t>
      </w:r>
      <w:r w:rsidR="008C3D94" w:rsidRPr="007A516A">
        <w:rPr>
          <w:rFonts w:cstheme="minorHAnsi"/>
        </w:rPr>
        <w:t xml:space="preserve">efore recreational cannabis use legalization and 2. </w:t>
      </w:r>
      <w:r w:rsidR="00175A47" w:rsidRPr="007A516A">
        <w:rPr>
          <w:rFonts w:cstheme="minorHAnsi"/>
        </w:rPr>
        <w:t>a</w:t>
      </w:r>
      <w:r w:rsidR="008C3D94" w:rsidRPr="007A516A">
        <w:rPr>
          <w:rFonts w:cstheme="minorHAnsi"/>
        </w:rPr>
        <w:t xml:space="preserve">fter </w:t>
      </w:r>
      <w:r w:rsidR="00175A47" w:rsidRPr="007A516A">
        <w:rPr>
          <w:rFonts w:cstheme="minorHAnsi"/>
        </w:rPr>
        <w:t xml:space="preserve">recreational </w:t>
      </w:r>
      <w:r w:rsidR="008C3D94" w:rsidRPr="007A516A">
        <w:rPr>
          <w:rFonts w:cstheme="minorHAnsi"/>
        </w:rPr>
        <w:t>cannabis use legalization.</w:t>
      </w:r>
      <w:r w:rsidR="006667A1" w:rsidRPr="007A516A">
        <w:rPr>
          <w:rFonts w:cstheme="minorHAnsi"/>
        </w:rPr>
        <w:t xml:space="preserve"> </w:t>
      </w:r>
      <w:r w:rsidR="003A6BB0" w:rsidRPr="007A516A">
        <w:rPr>
          <w:rFonts w:cstheme="minorHAnsi"/>
        </w:rPr>
        <w:t xml:space="preserve">In </w:t>
      </w:r>
      <w:r w:rsidR="00455AFE">
        <w:rPr>
          <w:rFonts w:cstheme="minorHAnsi"/>
        </w:rPr>
        <w:t>Fig</w:t>
      </w:r>
      <w:r w:rsidR="003A6BB0" w:rsidRPr="007A516A">
        <w:rPr>
          <w:rFonts w:cstheme="minorHAnsi"/>
        </w:rPr>
        <w:t xml:space="preserve"> 2, we have modified the x-axis from “Number of toxicosis cases” to “Annual number of toxicosis cases” to improve clarity.</w:t>
      </w:r>
      <w:r w:rsidR="00BF2367" w:rsidRPr="007A516A">
        <w:rPr>
          <w:rFonts w:cstheme="minorHAnsi"/>
        </w:rPr>
        <w:t xml:space="preserve"> We have also added the word “annual” to the title of </w:t>
      </w:r>
      <w:r w:rsidR="00455AFE">
        <w:rPr>
          <w:rFonts w:cstheme="minorHAnsi"/>
        </w:rPr>
        <w:t>Fig</w:t>
      </w:r>
      <w:r w:rsidR="00BF2367" w:rsidRPr="007A516A">
        <w:rPr>
          <w:rFonts w:cstheme="minorHAnsi"/>
        </w:rPr>
        <w:t xml:space="preserve"> 2 and the legend for clarity as follows:</w:t>
      </w:r>
    </w:p>
    <w:p w14:paraId="27375C0E" w14:textId="77777777" w:rsidR="00BF2367" w:rsidRPr="007A516A" w:rsidRDefault="00BF2367" w:rsidP="00880AFC">
      <w:pPr>
        <w:spacing w:after="0" w:line="240" w:lineRule="auto"/>
        <w:jc w:val="both"/>
        <w:rPr>
          <w:rFonts w:cstheme="minorHAnsi"/>
        </w:rPr>
      </w:pPr>
    </w:p>
    <w:p w14:paraId="2E72DBA3" w14:textId="3F7E2047" w:rsidR="00BF2367" w:rsidRPr="007A516A" w:rsidRDefault="00BF2367" w:rsidP="00880AFC">
      <w:pPr>
        <w:pStyle w:val="Caption"/>
        <w:jc w:val="both"/>
        <w:rPr>
          <w:rFonts w:cstheme="minorHAnsi"/>
          <w:i w:val="0"/>
          <w:iCs w:val="0"/>
          <w:color w:val="auto"/>
          <w:sz w:val="22"/>
          <w:szCs w:val="22"/>
        </w:rPr>
      </w:pPr>
      <w:r w:rsidRPr="007A516A">
        <w:rPr>
          <w:rFonts w:cstheme="minorHAnsi"/>
          <w:i w:val="0"/>
          <w:iCs w:val="0"/>
          <w:sz w:val="22"/>
          <w:szCs w:val="22"/>
        </w:rPr>
        <w:t>“</w:t>
      </w:r>
      <w:r w:rsidRPr="007A516A">
        <w:rPr>
          <w:rFonts w:cstheme="minorHAnsi"/>
          <w:b/>
          <w:bCs/>
          <w:i w:val="0"/>
          <w:iCs w:val="0"/>
          <w:color w:val="auto"/>
          <w:sz w:val="22"/>
          <w:szCs w:val="22"/>
        </w:rPr>
        <w:t xml:space="preserve">Fig </w:t>
      </w:r>
      <w:r w:rsidRPr="007A516A">
        <w:rPr>
          <w:rFonts w:cstheme="minorHAnsi"/>
          <w:b/>
          <w:bCs/>
          <w:i w:val="0"/>
          <w:iCs w:val="0"/>
          <w:color w:val="auto"/>
          <w:sz w:val="22"/>
          <w:szCs w:val="22"/>
        </w:rPr>
        <w:fldChar w:fldCharType="begin"/>
      </w:r>
      <w:r w:rsidRPr="007A516A">
        <w:rPr>
          <w:rFonts w:cstheme="minorHAnsi"/>
          <w:b/>
          <w:bCs/>
          <w:i w:val="0"/>
          <w:iCs w:val="0"/>
          <w:color w:val="auto"/>
          <w:sz w:val="22"/>
          <w:szCs w:val="22"/>
        </w:rPr>
        <w:instrText xml:space="preserve"> SEQ Figure \* ARABIC </w:instrText>
      </w:r>
      <w:r w:rsidRPr="007A516A">
        <w:rPr>
          <w:rFonts w:cstheme="minorHAnsi"/>
          <w:b/>
          <w:bCs/>
          <w:i w:val="0"/>
          <w:iCs w:val="0"/>
          <w:color w:val="auto"/>
          <w:sz w:val="22"/>
          <w:szCs w:val="22"/>
        </w:rPr>
        <w:fldChar w:fldCharType="separate"/>
      </w:r>
      <w:r w:rsidRPr="007A516A">
        <w:rPr>
          <w:rFonts w:cstheme="minorHAnsi"/>
          <w:b/>
          <w:bCs/>
          <w:i w:val="0"/>
          <w:iCs w:val="0"/>
          <w:color w:val="auto"/>
          <w:sz w:val="22"/>
          <w:szCs w:val="22"/>
        </w:rPr>
        <w:t>2</w:t>
      </w:r>
      <w:r w:rsidRPr="007A516A">
        <w:rPr>
          <w:rFonts w:cstheme="minorHAnsi"/>
          <w:b/>
          <w:bCs/>
          <w:i w:val="0"/>
          <w:iCs w:val="0"/>
          <w:color w:val="auto"/>
          <w:sz w:val="22"/>
          <w:szCs w:val="22"/>
        </w:rPr>
        <w:fldChar w:fldCharType="end"/>
      </w:r>
      <w:r w:rsidRPr="007A516A">
        <w:rPr>
          <w:rFonts w:cstheme="minorHAnsi"/>
          <w:b/>
          <w:bCs/>
          <w:i w:val="0"/>
          <w:iCs w:val="0"/>
          <w:color w:val="auto"/>
          <w:sz w:val="22"/>
          <w:szCs w:val="22"/>
        </w:rPr>
        <w:t>. Reported annual number of toxicosis cases before and after October 2018</w:t>
      </w:r>
      <w:r w:rsidRPr="007A516A">
        <w:rPr>
          <w:rFonts w:cstheme="minorHAnsi"/>
          <w:i w:val="0"/>
          <w:iCs w:val="0"/>
          <w:color w:val="auto"/>
          <w:sz w:val="22"/>
          <w:szCs w:val="22"/>
        </w:rPr>
        <w:t>. A. All reported annual cannabis toxicosis cases pre- and post-legalization. Inset: Species in which cannabis toxicosis was observed and the number of participants who reported them. B. Reported annual cannabis toxicosis cases pre- and post-legalization in Canada. C. Reported annual cannabis toxicosis cases before and after October 2018 in the US. D. Reported annual cannabis toxicosis cases pre- and post-legalization in urban settings. E. Reported annual cannabis toxicosis cases pre- and post-legalization in sub-urban settings. F. Reported annual cannabis toxicosis cases pre- and post-legalization in rural settings. G. Reported annual cannabis toxicosis cases pre- and post-legalization by participants who practice emergency medicine. H. Reported annual cannabis toxicosis cases pre- and post-legalization by participants who practice general medicine. I. Reported annual cannabis toxicosis cases pre- and post-legalization by participants who practice other types of medicine. Vets: Number of veterinarians who reported being presented with cannabis toxicosis in a particular species.”</w:t>
      </w:r>
    </w:p>
    <w:p w14:paraId="2DEEFFE1" w14:textId="2854A43E" w:rsidR="003A6BB0" w:rsidRPr="007A516A" w:rsidRDefault="0042535C" w:rsidP="00880AFC">
      <w:pPr>
        <w:spacing w:after="0" w:line="240" w:lineRule="auto"/>
        <w:jc w:val="both"/>
        <w:rPr>
          <w:rFonts w:eastAsia="Times New Roman" w:cstheme="minorHAnsi"/>
          <w:lang w:eastAsia="en-GB"/>
        </w:rPr>
      </w:pPr>
      <w:r w:rsidRPr="007A516A">
        <w:rPr>
          <w:rFonts w:cstheme="minorHAnsi"/>
        </w:rPr>
        <w:t>We discussed th</w:t>
      </w:r>
      <w:r w:rsidR="006667A1" w:rsidRPr="007A516A">
        <w:rPr>
          <w:rFonts w:cstheme="minorHAnsi"/>
        </w:rPr>
        <w:t>e</w:t>
      </w:r>
      <w:r w:rsidRPr="007A516A">
        <w:rPr>
          <w:rFonts w:cstheme="minorHAnsi"/>
        </w:rPr>
        <w:t xml:space="preserve"> issue re</w:t>
      </w:r>
      <w:r w:rsidR="003B74F8">
        <w:rPr>
          <w:rFonts w:cstheme="minorHAnsi"/>
        </w:rPr>
        <w:t>lated to</w:t>
      </w:r>
      <w:r w:rsidRPr="007A516A">
        <w:rPr>
          <w:rFonts w:cstheme="minorHAnsi"/>
        </w:rPr>
        <w:t xml:space="preserve"> recall bias in the limitations section of the paper on lines </w:t>
      </w:r>
      <w:r w:rsidR="00341B67">
        <w:rPr>
          <w:rFonts w:cstheme="minorHAnsi"/>
        </w:rPr>
        <w:t>482</w:t>
      </w:r>
      <w:r w:rsidRPr="007A516A">
        <w:rPr>
          <w:rFonts w:cstheme="minorHAnsi"/>
        </w:rPr>
        <w:t xml:space="preserve"> </w:t>
      </w:r>
      <w:r w:rsidR="00341B67">
        <w:rPr>
          <w:rFonts w:cstheme="minorHAnsi"/>
        </w:rPr>
        <w:t>–</w:t>
      </w:r>
      <w:r w:rsidRPr="007A516A">
        <w:rPr>
          <w:rFonts w:cstheme="minorHAnsi"/>
        </w:rPr>
        <w:t xml:space="preserve"> </w:t>
      </w:r>
      <w:r w:rsidR="00341B67">
        <w:rPr>
          <w:rFonts w:cstheme="minorHAnsi"/>
        </w:rPr>
        <w:t>484</w:t>
      </w:r>
      <w:r w:rsidRPr="007A516A">
        <w:rPr>
          <w:rFonts w:cstheme="minorHAnsi"/>
        </w:rPr>
        <w:t>: “</w:t>
      </w:r>
      <w:r w:rsidRPr="007A516A">
        <w:rPr>
          <w:rStyle w:val="normaltextrun"/>
          <w:rFonts w:cstheme="minorHAnsi"/>
        </w:rPr>
        <w:t>Furthermore, this survey data may be prone to recall bias, as veterinarians may not accurately remember the details of previous cases.”</w:t>
      </w:r>
      <w:r w:rsidR="00263495">
        <w:rPr>
          <w:rStyle w:val="normaltextrun"/>
          <w:rFonts w:cstheme="minorHAnsi"/>
        </w:rPr>
        <w:t xml:space="preserve"> We also added the following sentence to lines 484 – 485:</w:t>
      </w:r>
      <w:r w:rsidRPr="007A516A">
        <w:rPr>
          <w:rStyle w:val="normaltextrun"/>
          <w:rFonts w:cstheme="minorHAnsi"/>
        </w:rPr>
        <w:t xml:space="preserve"> </w:t>
      </w:r>
      <w:r w:rsidR="00263495">
        <w:rPr>
          <w:rStyle w:val="normaltextrun"/>
          <w:rFonts w:cstheme="minorHAnsi"/>
        </w:rPr>
        <w:t>“</w:t>
      </w:r>
      <w:r w:rsidRPr="007A516A">
        <w:rPr>
          <w:rFonts w:cstheme="minorHAnsi"/>
        </w:rPr>
        <w:t>However, from the specific outcomes reported, they might have consulted their records while completing the survey.</w:t>
      </w:r>
      <w:r w:rsidR="00263495">
        <w:rPr>
          <w:rFonts w:cstheme="minorHAnsi"/>
        </w:rPr>
        <w:t>”</w:t>
      </w:r>
    </w:p>
    <w:p w14:paraId="1264168E" w14:textId="77777777" w:rsidR="003D6C9C" w:rsidRPr="007A516A" w:rsidRDefault="003D6C9C" w:rsidP="00880AFC">
      <w:pPr>
        <w:pStyle w:val="ListParagraph"/>
        <w:spacing w:after="0" w:line="240" w:lineRule="auto"/>
        <w:jc w:val="both"/>
        <w:rPr>
          <w:rFonts w:eastAsia="Times New Roman" w:cstheme="minorHAnsi"/>
          <w:lang w:eastAsia="en-GB"/>
        </w:rPr>
      </w:pPr>
    </w:p>
    <w:p w14:paraId="320D60B6" w14:textId="0245F747" w:rsidR="003D6C9C" w:rsidRPr="007A516A" w:rsidRDefault="003D6C9C" w:rsidP="00880AFC">
      <w:pPr>
        <w:pStyle w:val="ListParagraph"/>
        <w:numPr>
          <w:ilvl w:val="0"/>
          <w:numId w:val="2"/>
        </w:numPr>
        <w:spacing w:after="0" w:line="240" w:lineRule="auto"/>
        <w:jc w:val="both"/>
        <w:rPr>
          <w:rFonts w:eastAsia="Times New Roman" w:cstheme="minorHAnsi"/>
          <w:lang w:eastAsia="en-GB"/>
        </w:rPr>
      </w:pPr>
      <w:r w:rsidRPr="007A516A">
        <w:rPr>
          <w:rFonts w:eastAsia="Times New Roman" w:cstheme="minorHAnsi"/>
          <w:lang w:eastAsia="en-GB"/>
        </w:rPr>
        <w:t>What were the signs seen in the animals other than cats or dogs? Can this be extracted? This could be useful, particularly in animals not previously reported with cannabis exposure. How were these non</w:t>
      </w:r>
      <w:r w:rsidR="008D0D94" w:rsidRPr="007A516A">
        <w:rPr>
          <w:rFonts w:eastAsia="Times New Roman" w:cstheme="minorHAnsi"/>
          <w:lang w:eastAsia="en-GB"/>
        </w:rPr>
        <w:t>-</w:t>
      </w:r>
      <w:r w:rsidRPr="007A516A">
        <w:rPr>
          <w:rFonts w:eastAsia="Times New Roman" w:cstheme="minorHAnsi"/>
          <w:lang w:eastAsia="en-GB"/>
        </w:rPr>
        <w:t>dog/cat cases diagnosed? Would you suspect cannabis in a drowsy ferret, for example? Or were drug urine tests or owner history available in these cases?</w:t>
      </w:r>
    </w:p>
    <w:p w14:paraId="7F987D63" w14:textId="7F10B307" w:rsidR="00545ACE" w:rsidRPr="007A516A" w:rsidRDefault="00545ACE" w:rsidP="00880AFC">
      <w:pPr>
        <w:spacing w:after="0" w:line="240" w:lineRule="auto"/>
        <w:jc w:val="both"/>
        <w:rPr>
          <w:rFonts w:eastAsia="Times New Roman" w:cstheme="minorHAnsi"/>
          <w:lang w:eastAsia="en-GB"/>
        </w:rPr>
      </w:pPr>
    </w:p>
    <w:p w14:paraId="3EB11E89" w14:textId="7943E18B" w:rsidR="00545ACE" w:rsidRPr="007A516A" w:rsidRDefault="00545ACE" w:rsidP="00880AFC">
      <w:pPr>
        <w:spacing w:after="0" w:line="240" w:lineRule="auto"/>
        <w:jc w:val="both"/>
        <w:rPr>
          <w:rFonts w:eastAsia="Times New Roman" w:cstheme="minorHAnsi"/>
          <w:lang w:eastAsia="en-GB"/>
        </w:rPr>
      </w:pPr>
      <w:r w:rsidRPr="007A516A">
        <w:rPr>
          <w:rFonts w:eastAsia="Times New Roman" w:cstheme="minorHAnsi"/>
          <w:lang w:eastAsia="en-GB"/>
        </w:rPr>
        <w:t>For brevity</w:t>
      </w:r>
      <w:r w:rsidR="005D6D54">
        <w:rPr>
          <w:rFonts w:eastAsia="Times New Roman" w:cstheme="minorHAnsi"/>
          <w:lang w:eastAsia="en-GB"/>
        </w:rPr>
        <w:t>,</w:t>
      </w:r>
      <w:r w:rsidRPr="007A516A">
        <w:rPr>
          <w:rFonts w:eastAsia="Times New Roman" w:cstheme="minorHAnsi"/>
          <w:lang w:eastAsia="en-GB"/>
        </w:rPr>
        <w:t xml:space="preserve"> and in order not to discourage participants from completing the survey, we did not inquire about the details surrounding the clinical signs presented by pets and the methods used for diagnosis </w:t>
      </w:r>
      <w:r w:rsidR="0037488E" w:rsidRPr="007A516A">
        <w:rPr>
          <w:rFonts w:eastAsia="Times New Roman" w:cstheme="minorHAnsi"/>
          <w:lang w:eastAsia="en-GB"/>
        </w:rPr>
        <w:t>according</w:t>
      </w:r>
      <w:r w:rsidRPr="007A516A">
        <w:rPr>
          <w:rFonts w:eastAsia="Times New Roman" w:cstheme="minorHAnsi"/>
          <w:lang w:eastAsia="en-GB"/>
        </w:rPr>
        <w:t xml:space="preserve"> </w:t>
      </w:r>
      <w:r w:rsidR="0037488E" w:rsidRPr="007A516A">
        <w:rPr>
          <w:rFonts w:eastAsia="Times New Roman" w:cstheme="minorHAnsi"/>
          <w:lang w:eastAsia="en-GB"/>
        </w:rPr>
        <w:t xml:space="preserve">to </w:t>
      </w:r>
      <w:r w:rsidRPr="007A516A">
        <w:rPr>
          <w:rFonts w:eastAsia="Times New Roman" w:cstheme="minorHAnsi"/>
          <w:lang w:eastAsia="en-GB"/>
        </w:rPr>
        <w:t>species of pets.</w:t>
      </w:r>
      <w:r w:rsidR="008D0D94" w:rsidRPr="007A516A">
        <w:rPr>
          <w:rFonts w:eastAsia="Times New Roman" w:cstheme="minorHAnsi"/>
          <w:lang w:eastAsia="en-GB"/>
        </w:rPr>
        <w:t xml:space="preserve"> However, these questions could be answered with more comprehensive surveys in future studies.</w:t>
      </w:r>
    </w:p>
    <w:p w14:paraId="197F7B98" w14:textId="77777777" w:rsidR="003D6C9C" w:rsidRPr="007A516A" w:rsidRDefault="003D6C9C" w:rsidP="00880AFC">
      <w:pPr>
        <w:pStyle w:val="ListParagraph"/>
        <w:spacing w:after="0" w:line="240" w:lineRule="auto"/>
        <w:jc w:val="both"/>
        <w:rPr>
          <w:rFonts w:eastAsia="Times New Roman" w:cstheme="minorHAnsi"/>
          <w:lang w:eastAsia="en-GB"/>
        </w:rPr>
      </w:pPr>
    </w:p>
    <w:p w14:paraId="2752966B" w14:textId="50C4D04C" w:rsidR="003D6C9C" w:rsidRPr="007A516A" w:rsidRDefault="003D6C9C" w:rsidP="00880AFC">
      <w:pPr>
        <w:pStyle w:val="ListParagraph"/>
        <w:numPr>
          <w:ilvl w:val="0"/>
          <w:numId w:val="2"/>
        </w:numPr>
        <w:spacing w:after="0" w:line="240" w:lineRule="auto"/>
        <w:jc w:val="both"/>
        <w:rPr>
          <w:rFonts w:eastAsia="Times New Roman" w:cstheme="minorHAnsi"/>
          <w:lang w:eastAsia="en-GB"/>
        </w:rPr>
      </w:pPr>
      <w:r w:rsidRPr="007A516A">
        <w:rPr>
          <w:rFonts w:eastAsia="Times New Roman" w:cstheme="minorHAnsi"/>
          <w:lang w:eastAsia="en-GB"/>
        </w:rPr>
        <w:t>Line 255. Cannabis poisoning has been reported in a ferret</w:t>
      </w:r>
      <w:r w:rsidRPr="007A516A">
        <w:rPr>
          <w:rFonts w:eastAsia="Times New Roman" w:cstheme="minorHAnsi"/>
          <w:lang w:eastAsia="en-GB"/>
        </w:rPr>
        <w:br/>
        <w:t xml:space="preserve">Smith RA. Coma in a ferret after ingestion of cannabis. Vet Hum </w:t>
      </w:r>
      <w:proofErr w:type="spellStart"/>
      <w:r w:rsidRPr="007A516A">
        <w:rPr>
          <w:rFonts w:eastAsia="Times New Roman" w:cstheme="minorHAnsi"/>
          <w:lang w:eastAsia="en-GB"/>
        </w:rPr>
        <w:t>Toxicol</w:t>
      </w:r>
      <w:proofErr w:type="spellEnd"/>
      <w:r w:rsidRPr="007A516A">
        <w:rPr>
          <w:rFonts w:eastAsia="Times New Roman" w:cstheme="minorHAnsi"/>
          <w:lang w:eastAsia="en-GB"/>
        </w:rPr>
        <w:t>. 1988 Oct;30(5):486.</w:t>
      </w:r>
    </w:p>
    <w:p w14:paraId="5279E012" w14:textId="77777777" w:rsidR="00DE369D" w:rsidRPr="007A516A" w:rsidRDefault="00DE369D" w:rsidP="00880AFC">
      <w:pPr>
        <w:spacing w:after="0" w:line="240" w:lineRule="auto"/>
        <w:jc w:val="both"/>
        <w:rPr>
          <w:rFonts w:eastAsia="Times New Roman" w:cstheme="minorHAnsi"/>
          <w:lang w:eastAsia="en-GB"/>
        </w:rPr>
      </w:pPr>
    </w:p>
    <w:p w14:paraId="2977D50E" w14:textId="7992C854" w:rsidR="00DE369D" w:rsidRPr="007A516A" w:rsidRDefault="00DE369D" w:rsidP="00880AFC">
      <w:pPr>
        <w:spacing w:after="0" w:line="240" w:lineRule="auto"/>
        <w:jc w:val="both"/>
        <w:rPr>
          <w:rFonts w:eastAsia="Times New Roman" w:cstheme="minorHAnsi"/>
          <w:lang w:eastAsia="en-GB"/>
        </w:rPr>
      </w:pPr>
      <w:r w:rsidRPr="007A516A">
        <w:rPr>
          <w:rFonts w:eastAsia="Times New Roman" w:cstheme="minorHAnsi"/>
          <w:lang w:eastAsia="en-GB"/>
        </w:rPr>
        <w:t>We have revised the sentence a</w:t>
      </w:r>
      <w:r w:rsidR="003D1EE2" w:rsidRPr="007A516A">
        <w:rPr>
          <w:rFonts w:eastAsia="Times New Roman" w:cstheme="minorHAnsi"/>
          <w:lang w:eastAsia="en-GB"/>
        </w:rPr>
        <w:t>nd</w:t>
      </w:r>
      <w:r w:rsidRPr="007A516A">
        <w:rPr>
          <w:rFonts w:eastAsia="Times New Roman" w:cstheme="minorHAnsi"/>
          <w:lang w:eastAsia="en-GB"/>
        </w:rPr>
        <w:t xml:space="preserve"> added the reference you suggested</w:t>
      </w:r>
      <w:r w:rsidR="003D1EE2" w:rsidRPr="007A516A">
        <w:rPr>
          <w:rFonts w:eastAsia="Times New Roman" w:cstheme="minorHAnsi"/>
          <w:lang w:eastAsia="en-GB"/>
        </w:rPr>
        <w:t xml:space="preserve"> to lines 2</w:t>
      </w:r>
      <w:r w:rsidR="003A54EA">
        <w:rPr>
          <w:rFonts w:eastAsia="Times New Roman" w:cstheme="minorHAnsi"/>
          <w:lang w:eastAsia="en-GB"/>
        </w:rPr>
        <w:t>81</w:t>
      </w:r>
      <w:r w:rsidR="003D1EE2" w:rsidRPr="007A516A">
        <w:rPr>
          <w:rFonts w:eastAsia="Times New Roman" w:cstheme="minorHAnsi"/>
          <w:lang w:eastAsia="en-GB"/>
        </w:rPr>
        <w:t xml:space="preserve"> - 2</w:t>
      </w:r>
      <w:r w:rsidR="003A54EA">
        <w:rPr>
          <w:rFonts w:eastAsia="Times New Roman" w:cstheme="minorHAnsi"/>
          <w:lang w:eastAsia="en-GB"/>
        </w:rPr>
        <w:t>83</w:t>
      </w:r>
      <w:r w:rsidRPr="007A516A">
        <w:rPr>
          <w:rFonts w:eastAsia="Times New Roman" w:cstheme="minorHAnsi"/>
          <w:lang w:eastAsia="en-GB"/>
        </w:rPr>
        <w:t xml:space="preserve"> as follows: “</w:t>
      </w:r>
      <w:r w:rsidRPr="007A516A">
        <w:rPr>
          <w:rFonts w:cstheme="minorHAnsi"/>
        </w:rPr>
        <w:t xml:space="preserve">Consistent with previous work, participants also reported cannabis toxicoses in other companion animal species such as horses, ferrets, and iguanas </w:t>
      </w:r>
      <w:r w:rsidRPr="007A516A">
        <w:rPr>
          <w:rFonts w:cstheme="minorHAnsi"/>
        </w:rPr>
        <w:fldChar w:fldCharType="begin">
          <w:fldData xml:space="preserve">PEVuZE5vdGU+PENpdGU+PEF1dGhvcj5Eb25hbGRzb248L0F1dGhvcj48WWVhcj4yMDAyPC9ZZWFy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</w:fldData>
        </w:fldChar>
      </w:r>
      <w:r w:rsidRPr="007A516A">
        <w:rPr>
          <w:rFonts w:cstheme="minorHAnsi"/>
        </w:rPr>
        <w:instrText xml:space="preserve"> ADDIN EN.CITE </w:instrText>
      </w:r>
      <w:r w:rsidRPr="007A516A">
        <w:rPr>
          <w:rFonts w:cstheme="minorHAnsi"/>
        </w:rPr>
        <w:fldChar w:fldCharType="begin">
          <w:fldData xml:space="preserve">PEVuZE5vdGU+PENpdGU+PEF1dGhvcj5Eb25hbGRzb248L0F1dGhvcj48WWVhcj4yMDAyPC9ZZWFy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</w:fldData>
        </w:fldChar>
      </w:r>
      <w:r w:rsidRPr="007A516A">
        <w:rPr>
          <w:rFonts w:cstheme="minorHAnsi"/>
        </w:rPr>
        <w:instrText xml:space="preserve"> ADDIN EN.CITE.DATA </w:instrText>
      </w:r>
      <w:r w:rsidRPr="007A516A">
        <w:rPr>
          <w:rFonts w:cstheme="minorHAnsi"/>
        </w:rPr>
      </w:r>
      <w:r w:rsidRPr="007A516A">
        <w:rPr>
          <w:rFonts w:cstheme="minorHAnsi"/>
        </w:rPr>
        <w:fldChar w:fldCharType="end"/>
      </w:r>
      <w:r w:rsidRPr="007A516A">
        <w:rPr>
          <w:rFonts w:cstheme="minorHAnsi"/>
        </w:rPr>
      </w:r>
      <w:r w:rsidRPr="007A516A">
        <w:rPr>
          <w:rFonts w:cstheme="minorHAnsi"/>
        </w:rPr>
        <w:fldChar w:fldCharType="separate"/>
      </w:r>
      <w:r w:rsidRPr="007A516A">
        <w:rPr>
          <w:rFonts w:cstheme="minorHAnsi"/>
        </w:rPr>
        <w:t>(7, 9, 10)</w:t>
      </w:r>
      <w:r w:rsidRPr="007A516A">
        <w:rPr>
          <w:rFonts w:cstheme="minorHAnsi"/>
        </w:rPr>
        <w:fldChar w:fldCharType="end"/>
      </w:r>
      <w:r w:rsidRPr="007A516A">
        <w:rPr>
          <w:rFonts w:cstheme="minorHAnsi"/>
        </w:rPr>
        <w:t>, and also in previously unreported species such as pet cockatoos.”</w:t>
      </w:r>
    </w:p>
    <w:p w14:paraId="5668D178" w14:textId="77777777" w:rsidR="003D6C9C" w:rsidRPr="007A516A" w:rsidRDefault="003D6C9C" w:rsidP="00880AFC">
      <w:pPr>
        <w:pStyle w:val="ListParagraph"/>
        <w:spacing w:after="0" w:line="240" w:lineRule="auto"/>
        <w:jc w:val="both"/>
        <w:rPr>
          <w:rFonts w:eastAsia="Times New Roman" w:cstheme="minorHAnsi"/>
          <w:lang w:eastAsia="en-GB"/>
        </w:rPr>
      </w:pPr>
    </w:p>
    <w:p w14:paraId="5433E952" w14:textId="79B2B187" w:rsidR="003D6C9C" w:rsidRPr="007A516A" w:rsidRDefault="003D6C9C" w:rsidP="00880AFC">
      <w:pPr>
        <w:pStyle w:val="ListParagraph"/>
        <w:numPr>
          <w:ilvl w:val="0"/>
          <w:numId w:val="2"/>
        </w:numPr>
        <w:spacing w:after="0" w:line="240" w:lineRule="auto"/>
        <w:jc w:val="both"/>
        <w:rPr>
          <w:rFonts w:eastAsia="Times New Roman" w:cstheme="minorHAnsi"/>
          <w:lang w:eastAsia="en-GB"/>
        </w:rPr>
      </w:pPr>
      <w:r w:rsidRPr="007A516A">
        <w:rPr>
          <w:rFonts w:eastAsia="Times New Roman" w:cstheme="minorHAnsi"/>
          <w:lang w:eastAsia="en-GB"/>
        </w:rPr>
        <w:t>Figure 3. I do not understand these figures. Over what period are these changes in case numbers? Is the decrease in US cases in 3c an effect of the different timing of legali</w:t>
      </w:r>
      <w:r w:rsidR="00B7208E" w:rsidRPr="007A516A">
        <w:rPr>
          <w:rFonts w:eastAsia="Times New Roman" w:cstheme="minorHAnsi"/>
          <w:lang w:eastAsia="en-GB"/>
        </w:rPr>
        <w:t>z</w:t>
      </w:r>
      <w:r w:rsidRPr="007A516A">
        <w:rPr>
          <w:rFonts w:eastAsia="Times New Roman" w:cstheme="minorHAnsi"/>
          <w:lang w:eastAsia="en-GB"/>
        </w:rPr>
        <w:t>ation?</w:t>
      </w:r>
    </w:p>
    <w:p w14:paraId="7D1D506C" w14:textId="77777777" w:rsidR="003C22E8" w:rsidRPr="007A516A" w:rsidRDefault="003C22E8" w:rsidP="00880AFC">
      <w:pPr>
        <w:spacing w:after="0" w:line="240" w:lineRule="auto"/>
        <w:jc w:val="both"/>
        <w:rPr>
          <w:rFonts w:eastAsia="Times New Roman" w:cstheme="minorHAnsi"/>
          <w:lang w:eastAsia="en-GB"/>
        </w:rPr>
      </w:pPr>
    </w:p>
    <w:p w14:paraId="4CAFFB88" w14:textId="49F25527" w:rsidR="00B7208E" w:rsidRDefault="003C22E8" w:rsidP="00880AFC">
      <w:pPr>
        <w:spacing w:after="0" w:line="240" w:lineRule="auto"/>
        <w:jc w:val="both"/>
        <w:rPr>
          <w:rFonts w:eastAsia="Times New Roman" w:cstheme="minorHAnsi"/>
          <w:lang w:eastAsia="en-GB"/>
        </w:rPr>
      </w:pPr>
      <w:r w:rsidRPr="007A516A">
        <w:rPr>
          <w:rFonts w:eastAsia="Times New Roman" w:cstheme="minorHAnsi"/>
          <w:lang w:eastAsia="en-GB"/>
        </w:rPr>
        <w:t xml:space="preserve">We have revised the titles of the graphs in </w:t>
      </w:r>
      <w:r w:rsidR="00AD42DA">
        <w:rPr>
          <w:rFonts w:eastAsia="Times New Roman" w:cstheme="minorHAnsi"/>
          <w:lang w:eastAsia="en-GB"/>
        </w:rPr>
        <w:t>F</w:t>
      </w:r>
      <w:r w:rsidRPr="007A516A">
        <w:rPr>
          <w:rFonts w:eastAsia="Times New Roman" w:cstheme="minorHAnsi"/>
          <w:lang w:eastAsia="en-GB"/>
        </w:rPr>
        <w:t xml:space="preserve">ig 3 from “Changes in Toxicosis Case Numbers” to “Changes in Annual Toxicosis Case Numbers” for clarity. We have also added the word “annual” to the </w:t>
      </w:r>
      <w:r w:rsidR="00B7208E" w:rsidRPr="007A516A">
        <w:rPr>
          <w:rFonts w:eastAsia="Times New Roman" w:cstheme="minorHAnsi"/>
          <w:lang w:eastAsia="en-GB"/>
        </w:rPr>
        <w:t xml:space="preserve">legend title and the legend for </w:t>
      </w:r>
      <w:r w:rsidR="00AD42DA">
        <w:rPr>
          <w:rFonts w:eastAsia="Times New Roman" w:cstheme="minorHAnsi"/>
          <w:lang w:eastAsia="en-GB"/>
        </w:rPr>
        <w:t>F</w:t>
      </w:r>
      <w:r w:rsidR="00B7208E" w:rsidRPr="007A516A">
        <w:rPr>
          <w:rFonts w:eastAsia="Times New Roman" w:cstheme="minorHAnsi"/>
          <w:lang w:eastAsia="en-GB"/>
        </w:rPr>
        <w:t>ig 3 as follows:</w:t>
      </w:r>
    </w:p>
    <w:p w14:paraId="70B98957" w14:textId="77777777" w:rsidR="00AD42DA" w:rsidRPr="007A516A" w:rsidRDefault="00AD42DA" w:rsidP="00880AFC">
      <w:pPr>
        <w:spacing w:after="0" w:line="240" w:lineRule="auto"/>
        <w:jc w:val="both"/>
        <w:rPr>
          <w:rFonts w:eastAsia="Times New Roman" w:cstheme="minorHAnsi"/>
          <w:lang w:eastAsia="en-GB"/>
        </w:rPr>
      </w:pPr>
    </w:p>
    <w:p w14:paraId="2253CAB9" w14:textId="3B4A0000" w:rsidR="00B7208E" w:rsidRPr="007A516A" w:rsidRDefault="00B7208E" w:rsidP="00880AFC">
      <w:pPr>
        <w:spacing w:after="0" w:line="240" w:lineRule="auto"/>
        <w:jc w:val="both"/>
        <w:rPr>
          <w:rFonts w:eastAsia="Times New Roman" w:cstheme="minorHAnsi"/>
          <w:lang w:eastAsia="en-GB"/>
        </w:rPr>
      </w:pPr>
      <w:r w:rsidRPr="007A516A">
        <w:rPr>
          <w:rFonts w:eastAsia="Times New Roman" w:cstheme="minorHAnsi"/>
          <w:lang w:eastAsia="en-GB"/>
        </w:rPr>
        <w:lastRenderedPageBreak/>
        <w:t>“</w:t>
      </w:r>
      <w:r w:rsidRPr="007A516A">
        <w:rPr>
          <w:rFonts w:cstheme="minorHAnsi"/>
          <w:b/>
          <w:bCs/>
        </w:rPr>
        <w:t xml:space="preserve">Fig </w:t>
      </w:r>
      <w:r w:rsidRPr="007A516A">
        <w:rPr>
          <w:rFonts w:cstheme="minorHAnsi"/>
          <w:b/>
          <w:bCs/>
        </w:rPr>
        <w:fldChar w:fldCharType="begin"/>
      </w:r>
      <w:r w:rsidRPr="007A516A">
        <w:rPr>
          <w:rFonts w:cstheme="minorHAnsi"/>
          <w:b/>
          <w:bCs/>
        </w:rPr>
        <w:instrText xml:space="preserve"> SEQ Figure \* ARABIC </w:instrText>
      </w:r>
      <w:r w:rsidRPr="007A516A">
        <w:rPr>
          <w:rFonts w:cstheme="minorHAnsi"/>
          <w:b/>
          <w:bCs/>
        </w:rPr>
        <w:fldChar w:fldCharType="separate"/>
      </w:r>
      <w:r w:rsidRPr="007A516A">
        <w:rPr>
          <w:rFonts w:cstheme="minorHAnsi"/>
          <w:b/>
          <w:bCs/>
        </w:rPr>
        <w:t>3</w:t>
      </w:r>
      <w:r w:rsidRPr="007A516A">
        <w:rPr>
          <w:rFonts w:cstheme="minorHAnsi"/>
          <w:b/>
          <w:bCs/>
        </w:rPr>
        <w:fldChar w:fldCharType="end"/>
      </w:r>
      <w:r w:rsidRPr="007A516A">
        <w:rPr>
          <w:rFonts w:cstheme="minorHAnsi"/>
          <w:b/>
          <w:bCs/>
        </w:rPr>
        <w:t>. Changes in annual cannabis toxicosis case numbers reported by each participant.</w:t>
      </w:r>
      <w:r w:rsidRPr="007A516A">
        <w:rPr>
          <w:rFonts w:cstheme="minorHAnsi"/>
        </w:rPr>
        <w:t xml:space="preserve"> A. Graph showing changes in annual cannabis toxicosis case numbers reported by all participants. Insets: Pie chart showing number of participants who reported equal annual number of cases pre- and post-legalization (no change) and those who reported different annual numbers of cases pre- and post-legalization (change) B. Changes in annual cannabis toxicosis case numbers reported by participants in Canada. C. Changes in annual cannabis toxicosis case numbers reported by participants in the US. Increase: participants who reported increases in annual numbers of cannabis toxicosis cases pre- and post-legalization; Decrease: participants who reported decreases in annual numbers of cannabis toxicosis cases pre- and post-legalization. Inset pie chart: No change: participants who reported equal annual numbers of cannabis toxicosis cases pre- and post-legalization; Change: participants who reported different annual numbers of cannabis toxicosis cases pre- and post-legalization.”</w:t>
      </w:r>
    </w:p>
    <w:p w14:paraId="6E6A6BA8" w14:textId="04806504" w:rsidR="003C22E8" w:rsidRPr="007A516A" w:rsidRDefault="003C22E8" w:rsidP="00880AFC">
      <w:pPr>
        <w:spacing w:after="0" w:line="240" w:lineRule="auto"/>
        <w:jc w:val="both"/>
        <w:rPr>
          <w:rFonts w:eastAsia="Times New Roman" w:cstheme="minorHAnsi"/>
          <w:lang w:eastAsia="en-GB"/>
        </w:rPr>
      </w:pPr>
      <w:r w:rsidRPr="007A516A">
        <w:rPr>
          <w:rFonts w:eastAsia="Times New Roman" w:cstheme="minorHAnsi"/>
          <w:lang w:eastAsia="en-GB"/>
        </w:rPr>
        <w:t xml:space="preserve">  </w:t>
      </w:r>
    </w:p>
    <w:p w14:paraId="0D1C6818" w14:textId="40E0C0BE" w:rsidR="003D6C9C" w:rsidRPr="007A516A" w:rsidRDefault="00705FA3" w:rsidP="00880AFC">
      <w:pPr>
        <w:spacing w:after="0" w:line="240" w:lineRule="auto"/>
        <w:jc w:val="both"/>
        <w:rPr>
          <w:rFonts w:eastAsia="Times New Roman" w:cstheme="minorHAnsi"/>
          <w:lang w:eastAsia="en-GB"/>
        </w:rPr>
      </w:pPr>
      <w:r w:rsidRPr="007A516A">
        <w:rPr>
          <w:rFonts w:eastAsia="Times New Roman" w:cstheme="minorHAnsi"/>
          <w:lang w:eastAsia="en-GB"/>
        </w:rPr>
        <w:t>The decrease in US cases could be due to the different timing of legalization</w:t>
      </w:r>
      <w:r w:rsidR="00B87CFE">
        <w:rPr>
          <w:rFonts w:eastAsia="Times New Roman" w:cstheme="minorHAnsi"/>
          <w:lang w:eastAsia="en-GB"/>
        </w:rPr>
        <w:t xml:space="preserve"> across states and </w:t>
      </w:r>
      <w:r w:rsidR="005F5016">
        <w:rPr>
          <w:rFonts w:eastAsia="Times New Roman" w:cstheme="minorHAnsi"/>
          <w:lang w:eastAsia="en-GB"/>
        </w:rPr>
        <w:t>when compared to Canada</w:t>
      </w:r>
      <w:r w:rsidRPr="007A516A">
        <w:rPr>
          <w:rFonts w:eastAsia="Times New Roman" w:cstheme="minorHAnsi"/>
          <w:lang w:eastAsia="en-GB"/>
        </w:rPr>
        <w:t xml:space="preserve">, since several studies have reported increases in number of </w:t>
      </w:r>
      <w:proofErr w:type="gramStart"/>
      <w:r w:rsidRPr="007A516A">
        <w:rPr>
          <w:rFonts w:eastAsia="Times New Roman" w:cstheme="minorHAnsi"/>
          <w:lang w:eastAsia="en-GB"/>
        </w:rPr>
        <w:t>cannabis</w:t>
      </w:r>
      <w:proofErr w:type="gramEnd"/>
      <w:r w:rsidRPr="007A516A">
        <w:rPr>
          <w:rFonts w:eastAsia="Times New Roman" w:cstheme="minorHAnsi"/>
          <w:lang w:eastAsia="en-GB"/>
        </w:rPr>
        <w:t xml:space="preserve"> toxicosis cases in pets in the US.</w:t>
      </w:r>
    </w:p>
    <w:p w14:paraId="59B96742" w14:textId="77777777" w:rsidR="00705FA3" w:rsidRPr="007A516A" w:rsidRDefault="00705FA3" w:rsidP="00880AFC">
      <w:pPr>
        <w:spacing w:after="0" w:line="240" w:lineRule="auto"/>
        <w:jc w:val="both"/>
        <w:rPr>
          <w:rFonts w:eastAsia="Times New Roman" w:cstheme="minorHAnsi"/>
          <w:lang w:eastAsia="en-GB"/>
        </w:rPr>
      </w:pPr>
    </w:p>
    <w:p w14:paraId="2770165E" w14:textId="6BC3665A" w:rsidR="003D6C9C" w:rsidRPr="007A516A" w:rsidRDefault="003D6C9C" w:rsidP="00880AFC">
      <w:pPr>
        <w:pStyle w:val="ListParagraph"/>
        <w:numPr>
          <w:ilvl w:val="0"/>
          <w:numId w:val="2"/>
        </w:numPr>
        <w:spacing w:after="0" w:line="240" w:lineRule="auto"/>
        <w:jc w:val="both"/>
        <w:rPr>
          <w:rFonts w:eastAsia="Times New Roman" w:cstheme="minorHAnsi"/>
          <w:lang w:eastAsia="en-GB"/>
        </w:rPr>
      </w:pPr>
      <w:r w:rsidRPr="007A516A">
        <w:rPr>
          <w:rFonts w:eastAsia="Times New Roman" w:cstheme="minorHAnsi"/>
          <w:lang w:eastAsia="en-GB"/>
        </w:rPr>
        <w:t>Line 412. Were all the fatal cases in dogs?</w:t>
      </w:r>
    </w:p>
    <w:p w14:paraId="423A69B4" w14:textId="28FAF449" w:rsidR="00E0414D" w:rsidRPr="007A516A" w:rsidRDefault="00E0414D" w:rsidP="00880AFC">
      <w:pPr>
        <w:spacing w:after="0" w:line="240" w:lineRule="auto"/>
        <w:jc w:val="both"/>
        <w:rPr>
          <w:rFonts w:eastAsia="Times New Roman" w:cstheme="minorHAnsi"/>
          <w:lang w:eastAsia="en-GB"/>
        </w:rPr>
      </w:pPr>
    </w:p>
    <w:p w14:paraId="3E7A4F57" w14:textId="23BA9768" w:rsidR="00E0414D" w:rsidRPr="007A516A" w:rsidRDefault="00334615" w:rsidP="00880AFC">
      <w:pPr>
        <w:spacing w:after="0" w:line="240" w:lineRule="auto"/>
        <w:jc w:val="both"/>
        <w:rPr>
          <w:rFonts w:eastAsia="Times New Roman" w:cstheme="minorHAnsi"/>
          <w:lang w:eastAsia="en-GB"/>
        </w:rPr>
      </w:pPr>
      <w:r w:rsidRPr="007A516A">
        <w:rPr>
          <w:rFonts w:eastAsia="Times New Roman" w:cstheme="minorHAnsi"/>
          <w:lang w:eastAsia="en-GB"/>
        </w:rPr>
        <w:t xml:space="preserve">As we did not ask participants about the species of pets in which deaths occurred, we can only speculate that since </w:t>
      </w:r>
      <w:r w:rsidR="009F1873" w:rsidRPr="007A516A">
        <w:rPr>
          <w:rFonts w:eastAsia="Times New Roman" w:cstheme="minorHAnsi"/>
          <w:lang w:eastAsia="en-GB"/>
        </w:rPr>
        <w:t>most of the</w:t>
      </w:r>
      <w:r w:rsidRPr="007A516A">
        <w:rPr>
          <w:rFonts w:eastAsia="Times New Roman" w:cstheme="minorHAnsi"/>
          <w:lang w:eastAsia="en-GB"/>
        </w:rPr>
        <w:t xml:space="preserve"> toxicosis</w:t>
      </w:r>
      <w:r w:rsidR="009F1873" w:rsidRPr="007A516A">
        <w:rPr>
          <w:rFonts w:eastAsia="Times New Roman" w:cstheme="minorHAnsi"/>
          <w:lang w:eastAsia="en-GB"/>
        </w:rPr>
        <w:t xml:space="preserve"> cases were reported in dogs,</w:t>
      </w:r>
      <w:r w:rsidRPr="007A516A">
        <w:rPr>
          <w:rFonts w:eastAsia="Times New Roman" w:cstheme="minorHAnsi"/>
          <w:lang w:eastAsia="en-GB"/>
        </w:rPr>
        <w:t xml:space="preserve"> it </w:t>
      </w:r>
      <w:r w:rsidR="009F1873" w:rsidRPr="007A516A">
        <w:rPr>
          <w:rFonts w:eastAsia="Times New Roman" w:cstheme="minorHAnsi"/>
          <w:lang w:eastAsia="en-GB"/>
        </w:rPr>
        <w:t>also</w:t>
      </w:r>
      <w:r w:rsidRPr="007A516A">
        <w:rPr>
          <w:rFonts w:eastAsia="Times New Roman" w:cstheme="minorHAnsi"/>
          <w:lang w:eastAsia="en-GB"/>
        </w:rPr>
        <w:t xml:space="preserve"> likely</w:t>
      </w:r>
      <w:r w:rsidR="009F1873" w:rsidRPr="007A516A">
        <w:rPr>
          <w:rFonts w:eastAsia="Times New Roman" w:cstheme="minorHAnsi"/>
          <w:lang w:eastAsia="en-GB"/>
        </w:rPr>
        <w:t xml:space="preserve"> that most of the fatal cases were in dogs as well; however, fu</w:t>
      </w:r>
      <w:r w:rsidR="005F5016">
        <w:rPr>
          <w:rFonts w:eastAsia="Times New Roman" w:cstheme="minorHAnsi"/>
          <w:lang w:eastAsia="en-GB"/>
        </w:rPr>
        <w:t>ture</w:t>
      </w:r>
      <w:r w:rsidR="009F1873" w:rsidRPr="007A516A">
        <w:rPr>
          <w:rFonts w:eastAsia="Times New Roman" w:cstheme="minorHAnsi"/>
          <w:lang w:eastAsia="en-GB"/>
        </w:rPr>
        <w:t xml:space="preserve"> studies will be required to confirm this.</w:t>
      </w:r>
    </w:p>
    <w:p w14:paraId="5E0B004B" w14:textId="77777777" w:rsidR="003D6C9C" w:rsidRPr="007A516A" w:rsidRDefault="003D6C9C" w:rsidP="00880AFC">
      <w:pPr>
        <w:pStyle w:val="ListParagraph"/>
        <w:spacing w:after="0" w:line="240" w:lineRule="auto"/>
        <w:jc w:val="both"/>
        <w:rPr>
          <w:rFonts w:eastAsia="Times New Roman" w:cstheme="minorHAnsi"/>
          <w:lang w:eastAsia="en-GB"/>
        </w:rPr>
      </w:pPr>
    </w:p>
    <w:p w14:paraId="547BA4D9" w14:textId="09F7A272" w:rsidR="003D6C9C" w:rsidRPr="007A516A" w:rsidRDefault="003D6C9C" w:rsidP="00880AFC">
      <w:pPr>
        <w:pStyle w:val="ListParagraph"/>
        <w:numPr>
          <w:ilvl w:val="0"/>
          <w:numId w:val="2"/>
        </w:numPr>
        <w:spacing w:after="0" w:line="240" w:lineRule="auto"/>
        <w:jc w:val="both"/>
        <w:rPr>
          <w:rFonts w:eastAsia="Times New Roman" w:cstheme="minorHAnsi"/>
          <w:lang w:eastAsia="en-GB"/>
        </w:rPr>
      </w:pPr>
      <w:r w:rsidRPr="007A516A">
        <w:rPr>
          <w:rFonts w:eastAsia="Times New Roman" w:cstheme="minorHAnsi"/>
          <w:lang w:eastAsia="en-GB"/>
        </w:rPr>
        <w:t>Line 353. I would say SRACs are ‘known to be potentially lethal in dogs’, as not all cases are fatal and there are hundreds of SCRAs.</w:t>
      </w:r>
      <w:r w:rsidRPr="007A516A">
        <w:rPr>
          <w:rFonts w:eastAsia="Times New Roman" w:cstheme="minorHAnsi"/>
          <w:lang w:eastAsia="en-GB"/>
        </w:rPr>
        <w:br/>
        <w:t>Van-de-Velde M, Bates N, Edwards N. Suspected synthetic cannabinoid ingestion in dogs: a case series [abstract]. Clinical Toxicology. 2017;55(5):44-45. https://www.eapcct.org/publicfile.php?folder=congress&amp;file=Abstracts_Basel.pdf</w:t>
      </w:r>
      <w:r w:rsidRPr="007A516A">
        <w:rPr>
          <w:rFonts w:eastAsia="Times New Roman" w:cstheme="minorHAnsi"/>
          <w:lang w:eastAsia="en-GB"/>
        </w:rPr>
        <w:br/>
      </w:r>
      <w:proofErr w:type="spellStart"/>
      <w:r w:rsidRPr="007A516A">
        <w:rPr>
          <w:rFonts w:eastAsia="Times New Roman" w:cstheme="minorHAnsi"/>
          <w:lang w:eastAsia="en-GB"/>
        </w:rPr>
        <w:t>Sioris</w:t>
      </w:r>
      <w:proofErr w:type="spellEnd"/>
      <w:r w:rsidRPr="007A516A">
        <w:rPr>
          <w:rFonts w:eastAsia="Times New Roman" w:cstheme="minorHAnsi"/>
          <w:lang w:eastAsia="en-GB"/>
        </w:rPr>
        <w:t xml:space="preserve"> KM, </w:t>
      </w:r>
      <w:proofErr w:type="spellStart"/>
      <w:r w:rsidRPr="007A516A">
        <w:rPr>
          <w:rFonts w:eastAsia="Times New Roman" w:cstheme="minorHAnsi"/>
          <w:lang w:eastAsia="en-GB"/>
        </w:rPr>
        <w:t>Keyler</w:t>
      </w:r>
      <w:proofErr w:type="spellEnd"/>
      <w:r w:rsidRPr="007A516A">
        <w:rPr>
          <w:rFonts w:eastAsia="Times New Roman" w:cstheme="minorHAnsi"/>
          <w:lang w:eastAsia="en-GB"/>
        </w:rPr>
        <w:t xml:space="preserve"> D. 2014 K2 and K9s [abstract]. Clin </w:t>
      </w:r>
      <w:proofErr w:type="spellStart"/>
      <w:r w:rsidRPr="007A516A">
        <w:rPr>
          <w:rFonts w:eastAsia="Times New Roman" w:cstheme="minorHAnsi"/>
          <w:lang w:eastAsia="en-GB"/>
        </w:rPr>
        <w:t>Toxicol</w:t>
      </w:r>
      <w:proofErr w:type="spellEnd"/>
      <w:r w:rsidRPr="007A516A">
        <w:rPr>
          <w:rFonts w:eastAsia="Times New Roman" w:cstheme="minorHAnsi"/>
          <w:lang w:eastAsia="en-GB"/>
        </w:rPr>
        <w:t xml:space="preserve"> 52:710.</w:t>
      </w:r>
      <w:r w:rsidRPr="007A516A">
        <w:rPr>
          <w:rFonts w:eastAsia="Times New Roman" w:cstheme="minorHAnsi"/>
          <w:lang w:eastAsia="en-GB"/>
        </w:rPr>
        <w:br/>
      </w:r>
      <w:hyperlink r:id="rId5" w:history="1">
        <w:r w:rsidRPr="007A516A">
          <w:rPr>
            <w:rStyle w:val="Hyperlink"/>
            <w:rFonts w:eastAsia="Times New Roman" w:cstheme="minorHAnsi"/>
            <w:lang w:eastAsia="en-GB"/>
          </w:rPr>
          <w:t>https://www.eapcct.org/publicfile.php?folder=congress&amp;file=Abstracts_NewOrleans2.pdf</w:t>
        </w:r>
      </w:hyperlink>
    </w:p>
    <w:p w14:paraId="3E78FCE6" w14:textId="77777777" w:rsidR="003D6C9C" w:rsidRPr="007A516A" w:rsidRDefault="003D6C9C" w:rsidP="00880AFC">
      <w:pPr>
        <w:pStyle w:val="ListParagraph"/>
        <w:spacing w:after="0" w:line="240" w:lineRule="auto"/>
        <w:jc w:val="both"/>
        <w:rPr>
          <w:rFonts w:eastAsia="Times New Roman" w:cstheme="minorHAnsi"/>
          <w:lang w:eastAsia="en-GB"/>
        </w:rPr>
      </w:pPr>
    </w:p>
    <w:p w14:paraId="43F21BE6" w14:textId="774FB0D6" w:rsidR="00C64343" w:rsidRPr="007A516A" w:rsidRDefault="00C64343" w:rsidP="00880AFC">
      <w:pPr>
        <w:autoSpaceDE w:val="0"/>
        <w:autoSpaceDN w:val="0"/>
        <w:adjustRightInd w:val="0"/>
        <w:spacing w:line="240" w:lineRule="auto"/>
        <w:jc w:val="both"/>
        <w:rPr>
          <w:rFonts w:cstheme="minorHAnsi"/>
        </w:rPr>
      </w:pPr>
      <w:r w:rsidRPr="007A516A">
        <w:rPr>
          <w:rFonts w:eastAsia="Times New Roman" w:cstheme="minorHAnsi"/>
          <w:lang w:eastAsia="en-GB"/>
        </w:rPr>
        <w:t>We have modified the sentence and cited the reference</w:t>
      </w:r>
      <w:r w:rsidR="005F5016">
        <w:rPr>
          <w:rFonts w:eastAsia="Times New Roman" w:cstheme="minorHAnsi"/>
          <w:lang w:eastAsia="en-GB"/>
        </w:rPr>
        <w:t>s that</w:t>
      </w:r>
      <w:r w:rsidRPr="007A516A">
        <w:rPr>
          <w:rFonts w:eastAsia="Times New Roman" w:cstheme="minorHAnsi"/>
          <w:lang w:eastAsia="en-GB"/>
        </w:rPr>
        <w:t xml:space="preserve"> you suggested </w:t>
      </w:r>
      <w:r w:rsidR="009702DE" w:rsidRPr="007A516A">
        <w:rPr>
          <w:rFonts w:eastAsia="Times New Roman" w:cstheme="minorHAnsi"/>
          <w:lang w:eastAsia="en-GB"/>
        </w:rPr>
        <w:t>online 3</w:t>
      </w:r>
      <w:r w:rsidR="00AD42DA">
        <w:rPr>
          <w:rFonts w:eastAsia="Times New Roman" w:cstheme="minorHAnsi"/>
          <w:lang w:eastAsia="en-GB"/>
        </w:rPr>
        <w:t>85</w:t>
      </w:r>
      <w:r w:rsidR="009702DE" w:rsidRPr="007A516A">
        <w:rPr>
          <w:rFonts w:eastAsia="Times New Roman" w:cstheme="minorHAnsi"/>
          <w:lang w:eastAsia="en-GB"/>
        </w:rPr>
        <w:t xml:space="preserve"> </w:t>
      </w:r>
      <w:r w:rsidRPr="007A516A">
        <w:rPr>
          <w:rFonts w:eastAsia="Times New Roman" w:cstheme="minorHAnsi"/>
          <w:lang w:eastAsia="en-GB"/>
        </w:rPr>
        <w:t>as follows:</w:t>
      </w:r>
      <w:r w:rsidR="00374E00" w:rsidRPr="007A516A">
        <w:rPr>
          <w:rFonts w:eastAsia="Times New Roman" w:cstheme="minorHAnsi"/>
          <w:lang w:eastAsia="en-GB"/>
        </w:rPr>
        <w:t xml:space="preserve"> “</w:t>
      </w:r>
      <w:r w:rsidR="00374E00" w:rsidRPr="007A516A">
        <w:rPr>
          <w:rFonts w:cstheme="minorHAnsi"/>
        </w:rPr>
        <w:t xml:space="preserve">Even though less common, the ingestion of synthetic cannabinoids also leads to more severe clinical signs </w:t>
      </w:r>
      <w:r w:rsidR="00374E00" w:rsidRPr="007A516A">
        <w:rPr>
          <w:rFonts w:cstheme="minorHAnsi"/>
        </w:rPr>
        <w:fldChar w:fldCharType="begin"/>
      </w:r>
      <w:r w:rsidR="00374E00" w:rsidRPr="007A516A">
        <w:rPr>
          <w:rFonts w:cstheme="minorHAnsi"/>
        </w:rPr>
        <w:instrText xml:space="preserve"> ADDIN EN.CITE &lt;EndNote&gt;&lt;Cite&gt;&lt;Author&gt;Williams&lt;/Author&gt;&lt;Year&gt;2015&lt;/Year&gt;&lt;RecNum&gt;35&lt;/RecNum&gt;&lt;DisplayText&gt;(44)&lt;/DisplayText&gt;&lt;record&gt;&lt;rec-number&gt;35&lt;/rec-number&gt;&lt;foreign-keys&gt;&lt;key app="EN" db-id="dx9vtpeestd5x6eexd550pzx90ztdaer2p9a" timestamp="1623682494"&gt;35&lt;/key&gt;&lt;/foreign-keys&gt;&lt;ref-type name="Journal Article"&gt;17&lt;/ref-type&gt;&lt;contributors&gt;&lt;authors&gt;&lt;author&gt;Williams, K.&lt;/author&gt;&lt;author&gt;Wells, R. J.&lt;/author&gt;&lt;author&gt;McLean, M. K.&lt;/author&gt;&lt;/authors&gt;&lt;/contributors&gt;&lt;auth-address&gt;From the Emergency Animal Clinic, Gilbert, AZ.&amp;#xD;Emergency Animal Clinic, 86 West Juniper Avenue, Gilbert, AZ 85233 (Wells);&amp;#xD;ASPCA National Animal Poison Control Center, Urbana, IL. 61802.&amp;#xD;Department of Clinical Sciences, Colorado State University, Fort Collins, CO 80523.&lt;/auth-address&gt;&lt;titles&gt;&lt;title&gt;Suspected synthetic cannabinoid toxicosis in a dog&lt;/title&gt;&lt;secondary-title&gt;J Vet Emerg Crit Care (San Antonio)&lt;/secondary-title&gt;&lt;/titles&gt;&lt;periodical&gt;&lt;full-title&gt;J Vet Emerg Crit Care (San Antonio)&lt;/full-title&gt;&lt;/periodical&gt;&lt;pages&gt;739-44&lt;/pages&gt;&lt;volume&gt;25&lt;/volume&gt;&lt;number&gt;6&lt;/number&gt;&lt;edition&gt;2015/10/17&lt;/edition&gt;&lt;keywords&gt;&lt;keyword&gt;Althaea&lt;/keyword&gt;&lt;keyword&gt;Animals&lt;/keyword&gt;&lt;keyword&gt;Cannabinoids/*toxicity&lt;/keyword&gt;&lt;keyword&gt;Dog Diseases/*chemically induced&lt;/keyword&gt;&lt;keyword&gt;Dogs&lt;/keyword&gt;&lt;keyword&gt;Fluid Therapy&lt;/keyword&gt;&lt;keyword&gt;Male&lt;/keyword&gt;&lt;keyword&gt;Oxygen&lt;/keyword&gt;&lt;keyword&gt;Respiration, Artificial&lt;/keyword&gt;&lt;keyword&gt;Turnera&lt;/keyword&gt;&lt;keyword&gt;intravenous lipid emulsion&lt;/keyword&gt;&lt;keyword&gt;marijuana&lt;/keyword&gt;&lt;keyword&gt;mechanical ventilation&lt;/keyword&gt;&lt;keyword&gt;toxicity&lt;/keyword&gt;&lt;/keywords&gt;&lt;dates&gt;&lt;year&gt;2015&lt;/year&gt;&lt;pub-dates&gt;&lt;date&gt;Nov-Dec&lt;/date&gt;&lt;/pub-dates&gt;&lt;/dates&gt;&lt;isbn&gt;1476-4431&lt;/isbn&gt;&lt;accession-num&gt;26473510&lt;/accession-num&gt;&lt;urls&gt;&lt;/urls&gt;&lt;electronic-resource-num&gt;10.1111/vec.12378&lt;/electronic-resource-num&gt;&lt;remote-database-provider&gt;NLM&lt;/remote-database-provider&gt;&lt;language&gt;eng&lt;/language&gt;&lt;/record&gt;&lt;/Cite&gt;&lt;/EndNote&gt;</w:instrText>
      </w:r>
      <w:r w:rsidR="00374E00" w:rsidRPr="007A516A">
        <w:rPr>
          <w:rFonts w:cstheme="minorHAnsi"/>
        </w:rPr>
        <w:fldChar w:fldCharType="separate"/>
      </w:r>
      <w:r w:rsidR="00374E00" w:rsidRPr="007A516A">
        <w:rPr>
          <w:rFonts w:cstheme="minorHAnsi"/>
        </w:rPr>
        <w:t>(4</w:t>
      </w:r>
      <w:r w:rsidR="00263495">
        <w:rPr>
          <w:rFonts w:cstheme="minorHAnsi"/>
        </w:rPr>
        <w:t>5</w:t>
      </w:r>
      <w:r w:rsidR="00374E00" w:rsidRPr="007A516A">
        <w:rPr>
          <w:rFonts w:cstheme="minorHAnsi"/>
        </w:rPr>
        <w:t>)</w:t>
      </w:r>
      <w:r w:rsidR="00374E00" w:rsidRPr="007A516A">
        <w:rPr>
          <w:rFonts w:cstheme="minorHAnsi"/>
        </w:rPr>
        <w:fldChar w:fldCharType="end"/>
      </w:r>
      <w:r w:rsidR="00374E00" w:rsidRPr="007A516A">
        <w:rPr>
          <w:rFonts w:cstheme="minorHAnsi"/>
        </w:rPr>
        <w:t xml:space="preserve">, and is known to be potentially lethal in dogs </w:t>
      </w:r>
      <w:r w:rsidR="00374E00" w:rsidRPr="007A516A">
        <w:rPr>
          <w:rFonts w:cstheme="minorHAnsi"/>
        </w:rPr>
        <w:fldChar w:fldCharType="begin"/>
      </w:r>
      <w:r w:rsidR="00374E00" w:rsidRPr="007A516A">
        <w:rPr>
          <w:rFonts w:cstheme="minorHAnsi"/>
        </w:rPr>
        <w:instrText xml:space="preserve"> ADDIN EN.CITE &lt;EndNote&gt;&lt;Cite&gt;&lt;Author&gt;Hanasono&lt;/Author&gt;&lt;Year&gt;1987&lt;/Year&gt;&lt;RecNum&gt;47&lt;/RecNum&gt;&lt;DisplayText&gt;(45, 46)&lt;/DisplayText&gt;&lt;record&gt;&lt;rec-number&gt;47&lt;/rec-number&gt;&lt;foreign-keys&gt;&lt;key app="EN" db-id="dx9vtpeestd5x6eexd550pzx90ztdaer2p9a" timestamp="1624987372"&gt;47&lt;/key&gt;&lt;/foreign-keys&gt;&lt;ref-type name="Journal Article"&gt;17&lt;/ref-type&gt;&lt;contributors&gt;&lt;authors&gt;&lt;author&gt;Hanasono, GK&lt;/author&gt;&lt;author&gt;Sullivan, HR&lt;/author&gt;&lt;author&gt;Gries, CL&lt;/author&gt;&lt;author&gt;Jordan, WH&lt;/author&gt;&lt;author&gt;Emmerson, JL&lt;/author&gt;&lt;/authors&gt;&lt;/contributors&gt;&lt;titles&gt;&lt;title&gt;A species comparison of the toxicity of nabilone, a new synthetic cannabinoid&lt;/title&gt;&lt;secondary-title&gt;Fundamental and Applied Toxicology&lt;/secondary-title&gt;&lt;/titles&gt;&lt;periodical&gt;&lt;full-title&gt;Fundamental and Applied Toxicology&lt;/full-title&gt;&lt;/periodical&gt;&lt;pages&gt;185-197&lt;/pages&gt;&lt;volume&gt;9&lt;/volume&gt;&lt;number&gt;2&lt;/number&gt;&lt;dates&gt;&lt;year&gt;1987&lt;/year&gt;&lt;/dates&gt;&lt;isbn&gt;0272-0590&lt;/isbn&gt;&lt;urls&gt;&lt;/urls&gt;&lt;/record&gt;&lt;/Cite&gt;&lt;Cite&gt;&lt;Author&gt;Van-de-Velde&lt;/Author&gt;&lt;Year&gt;2017&lt;/Year&gt;&lt;RecNum&gt;71&lt;/RecNum&gt;&lt;record&gt;&lt;rec-number&gt;71&lt;/rec-number&gt;&lt;foreign-keys&gt;&lt;key app="EN" db-id="dx9vtpeestd5x6eexd550pzx90ztdaer2p9a" timestamp="1643815584"&gt;71&lt;/key&gt;&lt;/foreign-keys&gt;&lt;ref-type name="Journal Article"&gt;17&lt;/ref-type&gt;&lt;contributors&gt;&lt;authors&gt;&lt;author&gt;Van-de-Velde, M&lt;/author&gt;&lt;author&gt;Bates, N&lt;/author&gt;&lt;author&gt;Edwards, N&lt;/author&gt;&lt;/authors&gt;&lt;/contributors&gt;&lt;titles&gt;&lt;title&gt;Suspected synthetic cannabinoid ingestion in dogs: a case series [abstract]&lt;/title&gt;&lt;secondary-title&gt;Clinical Toxicology&lt;/secondary-title&gt;&lt;/titles&gt;&lt;periodical&gt;&lt;full-title&gt;Clinical Toxicology&lt;/full-title&gt;&lt;/periodical&gt;&lt;pages&gt;414 - 415&lt;/pages&gt;&lt;volume&gt;55&lt;/volume&gt;&lt;number&gt;5&lt;/number&gt;&lt;dates&gt;&lt;year&gt;2017&lt;/year&gt;&lt;/dates&gt;&lt;urls&gt;&lt;/urls&gt;&lt;/record&gt;&lt;/Cite&gt;&lt;/EndNote&gt;</w:instrText>
      </w:r>
      <w:r w:rsidR="00374E00" w:rsidRPr="007A516A">
        <w:rPr>
          <w:rFonts w:cstheme="minorHAnsi"/>
        </w:rPr>
        <w:fldChar w:fldCharType="separate"/>
      </w:r>
      <w:r w:rsidR="00374E00" w:rsidRPr="007A516A">
        <w:rPr>
          <w:rFonts w:cstheme="minorHAnsi"/>
        </w:rPr>
        <w:t>(4</w:t>
      </w:r>
      <w:r w:rsidR="00263495">
        <w:rPr>
          <w:rFonts w:cstheme="minorHAnsi"/>
        </w:rPr>
        <w:t>6</w:t>
      </w:r>
      <w:r w:rsidR="00374E00" w:rsidRPr="007A516A">
        <w:rPr>
          <w:rFonts w:cstheme="minorHAnsi"/>
        </w:rPr>
        <w:t>, 4</w:t>
      </w:r>
      <w:r w:rsidR="00263495">
        <w:rPr>
          <w:rFonts w:cstheme="minorHAnsi"/>
        </w:rPr>
        <w:t>7</w:t>
      </w:r>
      <w:r w:rsidR="00374E00" w:rsidRPr="007A516A">
        <w:rPr>
          <w:rFonts w:cstheme="minorHAnsi"/>
        </w:rPr>
        <w:t>)</w:t>
      </w:r>
      <w:r w:rsidR="00374E00" w:rsidRPr="007A516A">
        <w:rPr>
          <w:rFonts w:cstheme="minorHAnsi"/>
        </w:rPr>
        <w:fldChar w:fldCharType="end"/>
      </w:r>
      <w:r w:rsidR="00374E00" w:rsidRPr="007A516A">
        <w:rPr>
          <w:rFonts w:cstheme="minorHAnsi"/>
        </w:rPr>
        <w:t>.”</w:t>
      </w:r>
    </w:p>
    <w:p w14:paraId="3CA37C83" w14:textId="77777777" w:rsidR="00C64343" w:rsidRPr="007A516A" w:rsidRDefault="00C64343" w:rsidP="00880AFC">
      <w:pPr>
        <w:spacing w:after="0" w:line="240" w:lineRule="auto"/>
        <w:jc w:val="both"/>
        <w:rPr>
          <w:rFonts w:eastAsia="Times New Roman" w:cstheme="minorHAnsi"/>
          <w:lang w:eastAsia="en-GB"/>
        </w:rPr>
      </w:pPr>
    </w:p>
    <w:p w14:paraId="15F8B91E" w14:textId="57F9DA80" w:rsidR="003D6C9C" w:rsidRPr="007A516A" w:rsidRDefault="003D6C9C" w:rsidP="00880AFC">
      <w:pPr>
        <w:pStyle w:val="ListParagraph"/>
        <w:numPr>
          <w:ilvl w:val="0"/>
          <w:numId w:val="2"/>
        </w:numPr>
        <w:spacing w:after="0" w:line="240" w:lineRule="auto"/>
        <w:jc w:val="both"/>
        <w:rPr>
          <w:rFonts w:eastAsia="Times New Roman" w:cstheme="minorHAnsi"/>
          <w:lang w:eastAsia="en-GB"/>
        </w:rPr>
      </w:pPr>
      <w:r w:rsidRPr="007A516A">
        <w:rPr>
          <w:rFonts w:eastAsia="Times New Roman" w:cstheme="minorHAnsi"/>
          <w:lang w:eastAsia="en-GB"/>
        </w:rPr>
        <w:t>Line 356. Users may give cannabis products to pets while they are under the influence.</w:t>
      </w:r>
    </w:p>
    <w:p w14:paraId="081288AB" w14:textId="43C46B3A" w:rsidR="003D6C9C" w:rsidRPr="007A516A" w:rsidRDefault="003D6C9C" w:rsidP="00880AFC">
      <w:pPr>
        <w:pStyle w:val="ListParagraph"/>
        <w:spacing w:after="0" w:line="240" w:lineRule="auto"/>
        <w:jc w:val="both"/>
        <w:rPr>
          <w:rFonts w:eastAsia="Times New Roman" w:cstheme="minorHAnsi"/>
          <w:lang w:eastAsia="en-GB"/>
        </w:rPr>
      </w:pPr>
    </w:p>
    <w:p w14:paraId="26B33150" w14:textId="0CE8B89C" w:rsidR="00FF340E" w:rsidRPr="007A516A" w:rsidRDefault="00FF340E" w:rsidP="00880AFC">
      <w:pPr>
        <w:autoSpaceDE w:val="0"/>
        <w:autoSpaceDN w:val="0"/>
        <w:adjustRightInd w:val="0"/>
        <w:spacing w:line="240" w:lineRule="auto"/>
        <w:jc w:val="both"/>
        <w:rPr>
          <w:rFonts w:cstheme="minorHAnsi"/>
        </w:rPr>
      </w:pPr>
      <w:r w:rsidRPr="007A516A">
        <w:rPr>
          <w:rFonts w:eastAsia="Times New Roman" w:cstheme="minorHAnsi"/>
          <w:lang w:eastAsia="en-GB"/>
        </w:rPr>
        <w:t>We have added a sentence to the text on lines 3</w:t>
      </w:r>
      <w:r w:rsidR="000316CE">
        <w:rPr>
          <w:rFonts w:eastAsia="Times New Roman" w:cstheme="minorHAnsi"/>
          <w:lang w:eastAsia="en-GB"/>
        </w:rPr>
        <w:t>95</w:t>
      </w:r>
      <w:r w:rsidRPr="007A516A">
        <w:rPr>
          <w:rFonts w:eastAsia="Times New Roman" w:cstheme="minorHAnsi"/>
          <w:lang w:eastAsia="en-GB"/>
        </w:rPr>
        <w:t xml:space="preserve"> – 3</w:t>
      </w:r>
      <w:r w:rsidR="000316CE">
        <w:rPr>
          <w:rFonts w:eastAsia="Times New Roman" w:cstheme="minorHAnsi"/>
          <w:lang w:eastAsia="en-GB"/>
        </w:rPr>
        <w:t>9</w:t>
      </w:r>
      <w:r w:rsidR="00565673" w:rsidRPr="007A516A">
        <w:rPr>
          <w:rFonts w:eastAsia="Times New Roman" w:cstheme="minorHAnsi"/>
          <w:lang w:eastAsia="en-GB"/>
        </w:rPr>
        <w:t>7</w:t>
      </w:r>
      <w:r w:rsidRPr="007A516A">
        <w:rPr>
          <w:rFonts w:eastAsia="Times New Roman" w:cstheme="minorHAnsi"/>
          <w:lang w:eastAsia="en-GB"/>
        </w:rPr>
        <w:t xml:space="preserve"> as follows: “</w:t>
      </w:r>
      <w:r w:rsidRPr="007A516A">
        <w:rPr>
          <w:rFonts w:cstheme="minorHAnsi"/>
        </w:rPr>
        <w:t>Another possibility, which was not captured in this study, is cannabis users exposing pets to cannabis products while they were themselves intoxicated with cannabis.”</w:t>
      </w:r>
    </w:p>
    <w:p w14:paraId="58CB95BD" w14:textId="77777777" w:rsidR="00FF340E" w:rsidRPr="000316CE" w:rsidRDefault="00FF340E" w:rsidP="000316CE">
      <w:pPr>
        <w:spacing w:after="0" w:line="240" w:lineRule="auto"/>
        <w:jc w:val="both"/>
        <w:rPr>
          <w:rFonts w:eastAsia="Times New Roman" w:cstheme="minorHAnsi"/>
          <w:lang w:eastAsia="en-GB"/>
        </w:rPr>
      </w:pPr>
    </w:p>
    <w:p w14:paraId="1494AE5B" w14:textId="0B8C3070" w:rsidR="003D6C9C" w:rsidRPr="007A516A" w:rsidRDefault="003D6C9C" w:rsidP="00880AFC">
      <w:pPr>
        <w:pStyle w:val="ListParagraph"/>
        <w:numPr>
          <w:ilvl w:val="0"/>
          <w:numId w:val="2"/>
        </w:numPr>
        <w:spacing w:after="0" w:line="240" w:lineRule="auto"/>
        <w:jc w:val="both"/>
        <w:rPr>
          <w:rFonts w:eastAsia="Times New Roman" w:cstheme="minorHAnsi"/>
          <w:lang w:eastAsia="en-GB"/>
        </w:rPr>
      </w:pPr>
      <w:r w:rsidRPr="007A516A">
        <w:rPr>
          <w:rFonts w:eastAsia="Times New Roman" w:cstheme="minorHAnsi"/>
          <w:lang w:eastAsia="en-GB"/>
        </w:rPr>
        <w:t>Line 389. Was repeat dose activated charcoal used in these cases or single dose activated charcoal.</w:t>
      </w:r>
    </w:p>
    <w:p w14:paraId="1C2AF59B" w14:textId="667B9F97" w:rsidR="005F42B6" w:rsidRPr="007A516A" w:rsidRDefault="005F42B6" w:rsidP="00880AFC">
      <w:pPr>
        <w:spacing w:after="0" w:line="240" w:lineRule="auto"/>
        <w:jc w:val="both"/>
        <w:rPr>
          <w:rFonts w:eastAsia="Times New Roman" w:cstheme="minorHAnsi"/>
          <w:lang w:eastAsia="en-GB"/>
        </w:rPr>
      </w:pPr>
    </w:p>
    <w:p w14:paraId="2FA63F92" w14:textId="56FF00FA" w:rsidR="005F42B6" w:rsidRPr="007A516A" w:rsidRDefault="005F42B6" w:rsidP="00880AFC">
      <w:pPr>
        <w:spacing w:after="0" w:line="240" w:lineRule="auto"/>
        <w:jc w:val="both"/>
        <w:rPr>
          <w:rFonts w:eastAsia="Times New Roman" w:cstheme="minorHAnsi"/>
          <w:lang w:eastAsia="en-GB"/>
        </w:rPr>
      </w:pPr>
      <w:r w:rsidRPr="007A516A">
        <w:rPr>
          <w:rFonts w:eastAsia="Times New Roman" w:cstheme="minorHAnsi"/>
          <w:lang w:eastAsia="en-GB"/>
        </w:rPr>
        <w:t>From the data we collected, it is impossible to answer this question since the details of the treatments were not captured.</w:t>
      </w:r>
    </w:p>
    <w:p w14:paraId="4195BEE6" w14:textId="77777777" w:rsidR="005F42B6" w:rsidRPr="007A516A" w:rsidRDefault="005F42B6" w:rsidP="00880AFC">
      <w:pPr>
        <w:spacing w:after="0" w:line="240" w:lineRule="auto"/>
        <w:jc w:val="both"/>
        <w:rPr>
          <w:rFonts w:eastAsia="Times New Roman" w:cstheme="minorHAnsi"/>
          <w:lang w:eastAsia="en-GB"/>
        </w:rPr>
      </w:pPr>
    </w:p>
    <w:p w14:paraId="458EBFAB" w14:textId="77777777" w:rsidR="003D6C9C" w:rsidRPr="007A516A" w:rsidRDefault="003D6C9C" w:rsidP="00880AFC">
      <w:pPr>
        <w:pStyle w:val="ListParagraph"/>
        <w:spacing w:after="0" w:line="240" w:lineRule="auto"/>
        <w:jc w:val="both"/>
        <w:rPr>
          <w:rFonts w:eastAsia="Times New Roman" w:cstheme="minorHAnsi"/>
          <w:lang w:eastAsia="en-GB"/>
        </w:rPr>
      </w:pPr>
    </w:p>
    <w:p w14:paraId="2B366B6A" w14:textId="26ADCA74" w:rsidR="003D6C9C" w:rsidRPr="007A516A" w:rsidRDefault="003D6C9C" w:rsidP="00880AFC">
      <w:pPr>
        <w:pStyle w:val="ListParagraph"/>
        <w:numPr>
          <w:ilvl w:val="0"/>
          <w:numId w:val="2"/>
        </w:numPr>
        <w:spacing w:after="0" w:line="240" w:lineRule="auto"/>
        <w:jc w:val="both"/>
        <w:rPr>
          <w:rFonts w:eastAsia="Times New Roman" w:cstheme="minorHAnsi"/>
          <w:lang w:eastAsia="en-GB"/>
        </w:rPr>
      </w:pPr>
      <w:r w:rsidRPr="007A516A">
        <w:rPr>
          <w:rFonts w:eastAsia="Times New Roman" w:cstheme="minorHAnsi"/>
          <w:lang w:eastAsia="en-GB"/>
        </w:rPr>
        <w:t>Line 398. ’Intra-lipids’ is a trade name (Intralipid®) so would be better to use intravenous lipid emulsion (IVLE).</w:t>
      </w:r>
    </w:p>
    <w:p w14:paraId="743C84CD" w14:textId="29AD289A" w:rsidR="00174389" w:rsidRPr="007A516A" w:rsidRDefault="00174389" w:rsidP="00880AFC">
      <w:pPr>
        <w:spacing w:after="0" w:line="240" w:lineRule="auto"/>
        <w:jc w:val="both"/>
        <w:rPr>
          <w:rFonts w:eastAsia="Times New Roman" w:cstheme="minorHAnsi"/>
          <w:lang w:eastAsia="en-GB"/>
        </w:rPr>
      </w:pPr>
      <w:r w:rsidRPr="007A516A">
        <w:rPr>
          <w:rFonts w:eastAsia="Times New Roman" w:cstheme="minorHAnsi"/>
          <w:lang w:eastAsia="en-GB"/>
        </w:rPr>
        <w:lastRenderedPageBreak/>
        <w:t>We have revised the sentence on line</w:t>
      </w:r>
      <w:r w:rsidR="000316CE">
        <w:rPr>
          <w:rFonts w:eastAsia="Times New Roman" w:cstheme="minorHAnsi"/>
          <w:lang w:eastAsia="en-GB"/>
        </w:rPr>
        <w:t>s</w:t>
      </w:r>
      <w:r w:rsidRPr="007A516A">
        <w:rPr>
          <w:rFonts w:eastAsia="Times New Roman" w:cstheme="minorHAnsi"/>
          <w:lang w:eastAsia="en-GB"/>
        </w:rPr>
        <w:t xml:space="preserve"> 4</w:t>
      </w:r>
      <w:r w:rsidR="000316CE">
        <w:rPr>
          <w:rFonts w:eastAsia="Times New Roman" w:cstheme="minorHAnsi"/>
          <w:lang w:eastAsia="en-GB"/>
        </w:rPr>
        <w:t xml:space="preserve">31 – 433 </w:t>
      </w:r>
      <w:r w:rsidRPr="007A516A">
        <w:rPr>
          <w:rFonts w:eastAsia="Times New Roman" w:cstheme="minorHAnsi"/>
          <w:lang w:eastAsia="en-GB"/>
        </w:rPr>
        <w:t>as follows: “</w:t>
      </w:r>
      <w:r w:rsidRPr="007A516A">
        <w:rPr>
          <w:rFonts w:cstheme="minorHAnsi"/>
        </w:rPr>
        <w:t>The administration of intravenous lipid emulsion was a treatment method reported by several participants in our study.”</w:t>
      </w:r>
      <w:r w:rsidR="00395B56">
        <w:rPr>
          <w:rFonts w:cstheme="minorHAnsi"/>
        </w:rPr>
        <w:t xml:space="preserve"> We also made similar changes in </w:t>
      </w:r>
      <w:r w:rsidR="000316CE">
        <w:rPr>
          <w:rFonts w:cstheme="minorHAnsi"/>
        </w:rPr>
        <w:t>F</w:t>
      </w:r>
      <w:r w:rsidR="00395B56">
        <w:rPr>
          <w:rFonts w:cstheme="minorHAnsi"/>
        </w:rPr>
        <w:t>ig 5b.</w:t>
      </w:r>
    </w:p>
    <w:p w14:paraId="629C2E22" w14:textId="77777777" w:rsidR="003D6C9C" w:rsidRPr="007A516A" w:rsidRDefault="003D6C9C" w:rsidP="00880AFC">
      <w:pPr>
        <w:pStyle w:val="ListParagraph"/>
        <w:spacing w:after="0" w:line="240" w:lineRule="auto"/>
        <w:jc w:val="both"/>
        <w:rPr>
          <w:rFonts w:eastAsia="Times New Roman" w:cstheme="minorHAnsi"/>
          <w:lang w:eastAsia="en-GB"/>
        </w:rPr>
      </w:pPr>
    </w:p>
    <w:p w14:paraId="5F265E90" w14:textId="1E12BC1A" w:rsidR="003D6C9C" w:rsidRPr="007A516A" w:rsidRDefault="003D6C9C" w:rsidP="00880AFC">
      <w:pPr>
        <w:pStyle w:val="ListParagraph"/>
        <w:numPr>
          <w:ilvl w:val="0"/>
          <w:numId w:val="2"/>
        </w:numPr>
        <w:spacing w:after="0" w:line="240" w:lineRule="auto"/>
        <w:jc w:val="both"/>
        <w:rPr>
          <w:rFonts w:eastAsia="Times New Roman" w:cstheme="minorHAnsi"/>
          <w:lang w:eastAsia="en-GB"/>
        </w:rPr>
      </w:pPr>
      <w:r w:rsidRPr="007A516A">
        <w:rPr>
          <w:rFonts w:eastAsia="Times New Roman" w:cstheme="minorHAnsi"/>
          <w:lang w:eastAsia="en-GB"/>
        </w:rPr>
        <w:t xml:space="preserve">Figure 4. It is interesting you mention human </w:t>
      </w:r>
      <w:proofErr w:type="spellStart"/>
      <w:r w:rsidRPr="007A516A">
        <w:rPr>
          <w:rFonts w:eastAsia="Times New Roman" w:cstheme="minorHAnsi"/>
          <w:lang w:eastAsia="en-GB"/>
        </w:rPr>
        <w:t>faeces</w:t>
      </w:r>
      <w:proofErr w:type="spellEnd"/>
      <w:r w:rsidRPr="007A516A">
        <w:rPr>
          <w:rFonts w:eastAsia="Times New Roman" w:cstheme="minorHAnsi"/>
          <w:lang w:eastAsia="en-GB"/>
        </w:rPr>
        <w:t xml:space="preserve"> as a source of exposure. This paper has just been published.</w:t>
      </w:r>
      <w:r w:rsidRPr="007A516A">
        <w:rPr>
          <w:rFonts w:eastAsia="Times New Roman" w:cstheme="minorHAnsi"/>
          <w:lang w:eastAsia="en-GB"/>
        </w:rPr>
        <w:br/>
        <w:t xml:space="preserve">Lauinger CA, Peacock R. Marijuana toxicosis in dogs in Melbourne, Australia, following suspected ingestion of human </w:t>
      </w:r>
      <w:proofErr w:type="spellStart"/>
      <w:r w:rsidRPr="007A516A">
        <w:rPr>
          <w:rFonts w:eastAsia="Times New Roman" w:cstheme="minorHAnsi"/>
          <w:lang w:eastAsia="en-GB"/>
        </w:rPr>
        <w:t>faeces</w:t>
      </w:r>
      <w:proofErr w:type="spellEnd"/>
      <w:r w:rsidRPr="007A516A">
        <w:rPr>
          <w:rFonts w:eastAsia="Times New Roman" w:cstheme="minorHAnsi"/>
          <w:lang w:eastAsia="en-GB"/>
        </w:rPr>
        <w:t xml:space="preserve">: 15 cases (2011-2020). Aust Vet J. 2021 Nov 16. </w:t>
      </w:r>
      <w:proofErr w:type="spellStart"/>
      <w:r w:rsidRPr="007A516A">
        <w:rPr>
          <w:rFonts w:eastAsia="Times New Roman" w:cstheme="minorHAnsi"/>
          <w:lang w:eastAsia="en-GB"/>
        </w:rPr>
        <w:t>doi</w:t>
      </w:r>
      <w:proofErr w:type="spellEnd"/>
      <w:r w:rsidRPr="007A516A">
        <w:rPr>
          <w:rFonts w:eastAsia="Times New Roman" w:cstheme="minorHAnsi"/>
          <w:lang w:eastAsia="en-GB"/>
        </w:rPr>
        <w:t xml:space="preserve">: 10.1111/avj.13134. </w:t>
      </w:r>
      <w:proofErr w:type="spellStart"/>
      <w:r w:rsidRPr="007A516A">
        <w:rPr>
          <w:rFonts w:eastAsia="Times New Roman" w:cstheme="minorHAnsi"/>
          <w:lang w:eastAsia="en-GB"/>
        </w:rPr>
        <w:t>Epub</w:t>
      </w:r>
      <w:proofErr w:type="spellEnd"/>
      <w:r w:rsidRPr="007A516A">
        <w:rPr>
          <w:rFonts w:eastAsia="Times New Roman" w:cstheme="minorHAnsi"/>
          <w:lang w:eastAsia="en-GB"/>
        </w:rPr>
        <w:t xml:space="preserve"> ahead of print.</w:t>
      </w:r>
    </w:p>
    <w:p w14:paraId="4FC70211" w14:textId="15631F61" w:rsidR="00196016" w:rsidRPr="007A516A" w:rsidRDefault="00196016" w:rsidP="00880AFC">
      <w:pPr>
        <w:spacing w:after="0" w:line="240" w:lineRule="auto"/>
        <w:jc w:val="both"/>
        <w:rPr>
          <w:rFonts w:eastAsia="Times New Roman" w:cstheme="minorHAnsi"/>
          <w:lang w:eastAsia="en-GB"/>
        </w:rPr>
      </w:pPr>
    </w:p>
    <w:p w14:paraId="1A7D0C34" w14:textId="67D7B9A2" w:rsidR="00196016" w:rsidRPr="007A516A" w:rsidRDefault="00196016" w:rsidP="00880AFC">
      <w:pPr>
        <w:spacing w:line="240" w:lineRule="auto"/>
        <w:jc w:val="both"/>
        <w:rPr>
          <w:rFonts w:cstheme="minorHAnsi"/>
        </w:rPr>
      </w:pPr>
      <w:r w:rsidRPr="007A516A">
        <w:rPr>
          <w:rFonts w:cstheme="minorHAnsi"/>
        </w:rPr>
        <w:t>We have added a sentence on lines 3</w:t>
      </w:r>
      <w:r w:rsidR="000316CE">
        <w:rPr>
          <w:rFonts w:cstheme="minorHAnsi"/>
        </w:rPr>
        <w:t>69</w:t>
      </w:r>
      <w:r w:rsidRPr="007A516A">
        <w:rPr>
          <w:rFonts w:cstheme="minorHAnsi"/>
        </w:rPr>
        <w:t xml:space="preserve"> – </w:t>
      </w:r>
      <w:r w:rsidR="000316CE">
        <w:rPr>
          <w:rFonts w:cstheme="minorHAnsi"/>
        </w:rPr>
        <w:t>372</w:t>
      </w:r>
      <w:r w:rsidRPr="007A516A">
        <w:rPr>
          <w:rFonts w:cstheme="minorHAnsi"/>
        </w:rPr>
        <w:t xml:space="preserve"> to this effect as follows: “It is interesting that we captured human feces ingestion as a source of cannabis toxicosis in pets in North America, since a recent study in Melbourne, Australia reported similar findings in dogs </w:t>
      </w:r>
      <w:r w:rsidR="00845251">
        <w:rPr>
          <w:rFonts w:cstheme="minorHAnsi"/>
        </w:rPr>
        <w:t>suggesting</w:t>
      </w:r>
      <w:r w:rsidRPr="007A516A">
        <w:rPr>
          <w:rFonts w:cstheme="minorHAnsi"/>
        </w:rPr>
        <w:t xml:space="preserve"> the need for pet owners to </w:t>
      </w:r>
      <w:r w:rsidR="00845251">
        <w:rPr>
          <w:rFonts w:cstheme="minorHAnsi"/>
        </w:rPr>
        <w:t>be cautious</w:t>
      </w:r>
      <w:r w:rsidRPr="007A516A">
        <w:rPr>
          <w:rFonts w:cstheme="minorHAnsi"/>
        </w:rPr>
        <w:t xml:space="preserve"> </w:t>
      </w:r>
      <w:r w:rsidR="007070FA">
        <w:rPr>
          <w:rFonts w:cstheme="minorHAnsi"/>
        </w:rPr>
        <w:t>around accidental consumption</w:t>
      </w:r>
      <w:r w:rsidRPr="007A516A">
        <w:rPr>
          <w:rFonts w:cstheme="minorHAnsi"/>
        </w:rPr>
        <w:t xml:space="preserve">, especially outdoors </w:t>
      </w:r>
      <w:r w:rsidRPr="007A516A">
        <w:rPr>
          <w:rFonts w:cstheme="minorHAnsi"/>
        </w:rPr>
        <w:fldChar w:fldCharType="begin"/>
      </w:r>
      <w:r w:rsidRPr="007A516A">
        <w:rPr>
          <w:rFonts w:cstheme="minorHAnsi"/>
        </w:rPr>
        <w:instrText xml:space="preserve"> ADDIN EN.CITE &lt;EndNote&gt;&lt;Cite&gt;&lt;Author&gt;Lauinger&lt;/Author&gt;&lt;Year&gt;2021&lt;/Year&gt;&lt;RecNum&gt;72&lt;/RecNum&gt;&lt;DisplayText&gt;(43)&lt;/DisplayText&gt;&lt;record&gt;&lt;rec-number&gt;72&lt;/rec-number&gt;&lt;foreign-keys&gt;&lt;key app="EN" db-id="dx9vtpeestd5x6eexd550pzx90ztdaer2p9a" timestamp="1643817773"&gt;72&lt;/key&gt;&lt;/foreign-keys&gt;&lt;ref-type name="Journal Article"&gt;17&lt;/ref-type&gt;&lt;contributors&gt;&lt;authors&gt;&lt;author&gt;Lauinger, CA&lt;/author&gt;&lt;author&gt;Peacock, R&lt;/author&gt;&lt;/authors&gt;&lt;/contributors&gt;&lt;titles&gt;&lt;title&gt;Marijuana toxicosis in dogs in Melbourne, Australia, following suspected ingestion of human faeces: 15 cases (2011–2020)&lt;/title&gt;&lt;secondary-title&gt;Australian veterinary journal&lt;/secondary-title&gt;&lt;/titles&gt;&lt;periodical&gt;&lt;full-title&gt;Australian veterinary journal&lt;/full-title&gt;&lt;/periodical&gt;&lt;dates&gt;&lt;year&gt;2021&lt;/year&gt;&lt;/dates&gt;&lt;isbn&gt;0005-0423&lt;/isbn&gt;&lt;urls&gt;&lt;/urls&gt;&lt;/record&gt;&lt;/Cite&gt;&lt;/EndNote&gt;</w:instrText>
      </w:r>
      <w:r w:rsidRPr="007A516A">
        <w:rPr>
          <w:rFonts w:cstheme="minorHAnsi"/>
        </w:rPr>
        <w:fldChar w:fldCharType="separate"/>
      </w:r>
      <w:r w:rsidRPr="007A516A">
        <w:rPr>
          <w:rFonts w:cstheme="minorHAnsi"/>
        </w:rPr>
        <w:t>(43)</w:t>
      </w:r>
      <w:r w:rsidRPr="007A516A">
        <w:rPr>
          <w:rFonts w:cstheme="minorHAnsi"/>
        </w:rPr>
        <w:fldChar w:fldCharType="end"/>
      </w:r>
      <w:r w:rsidRPr="007A516A">
        <w:rPr>
          <w:rFonts w:cstheme="minorHAnsi"/>
        </w:rPr>
        <w:t>.”</w:t>
      </w:r>
    </w:p>
    <w:p w14:paraId="16B78BDB" w14:textId="77777777" w:rsidR="00196016" w:rsidRPr="007A516A" w:rsidRDefault="00196016" w:rsidP="00880AFC">
      <w:pPr>
        <w:spacing w:after="0" w:line="240" w:lineRule="auto"/>
        <w:jc w:val="both"/>
        <w:rPr>
          <w:rFonts w:eastAsia="Times New Roman" w:cstheme="minorHAnsi"/>
          <w:lang w:eastAsia="en-GB"/>
        </w:rPr>
      </w:pPr>
    </w:p>
    <w:p w14:paraId="71840474" w14:textId="446CD153" w:rsidR="003D6C9C" w:rsidRPr="007A516A" w:rsidRDefault="003D6C9C" w:rsidP="00880AFC">
      <w:pPr>
        <w:spacing w:after="0" w:line="240" w:lineRule="auto"/>
        <w:jc w:val="both"/>
        <w:rPr>
          <w:rFonts w:eastAsia="Times New Roman" w:cstheme="minorHAnsi"/>
          <w:lang w:eastAsia="en-GB"/>
        </w:rPr>
      </w:pPr>
    </w:p>
    <w:p w14:paraId="1DA72CBB" w14:textId="316BB1AA" w:rsidR="003D6C9C" w:rsidRPr="007A516A" w:rsidRDefault="003D6C9C" w:rsidP="00880AFC">
      <w:pPr>
        <w:spacing w:after="0" w:line="240" w:lineRule="auto"/>
        <w:jc w:val="both"/>
        <w:rPr>
          <w:rFonts w:eastAsia="Times New Roman" w:cstheme="minorHAnsi"/>
          <w:lang w:eastAsia="en-GB"/>
        </w:rPr>
      </w:pPr>
    </w:p>
    <w:p w14:paraId="0B8B9549" w14:textId="7D1C9894" w:rsidR="003D6C9C" w:rsidRPr="007A516A" w:rsidRDefault="003D6C9C" w:rsidP="00880AFC">
      <w:pPr>
        <w:spacing w:after="0" w:line="240" w:lineRule="auto"/>
        <w:jc w:val="both"/>
        <w:rPr>
          <w:rFonts w:eastAsia="Times New Roman" w:cstheme="minorHAnsi"/>
          <w:lang w:eastAsia="en-GB"/>
        </w:rPr>
      </w:pPr>
      <w:r w:rsidRPr="007A516A">
        <w:rPr>
          <w:rFonts w:eastAsia="Times New Roman" w:cstheme="minorHAnsi"/>
          <w:lang w:eastAsia="en-GB"/>
        </w:rPr>
        <w:t>Reviewer 2</w:t>
      </w:r>
    </w:p>
    <w:p w14:paraId="4D166BD0" w14:textId="7032E2C0" w:rsidR="003D6C9C" w:rsidRPr="007A516A" w:rsidRDefault="003D6C9C" w:rsidP="00880AFC">
      <w:pPr>
        <w:spacing w:after="0" w:line="240" w:lineRule="auto"/>
        <w:jc w:val="both"/>
        <w:rPr>
          <w:rFonts w:eastAsia="Times New Roman" w:cstheme="minorHAnsi"/>
          <w:lang w:eastAsia="en-GB"/>
        </w:rPr>
      </w:pPr>
    </w:p>
    <w:p w14:paraId="2EF83B32" w14:textId="77777777" w:rsidR="005636B6" w:rsidRPr="007A516A" w:rsidRDefault="005636B6" w:rsidP="00880AFC">
      <w:pPr>
        <w:pStyle w:val="ListParagraph"/>
        <w:numPr>
          <w:ilvl w:val="0"/>
          <w:numId w:val="6"/>
        </w:numPr>
        <w:spacing w:after="0" w:line="240" w:lineRule="auto"/>
        <w:jc w:val="both"/>
        <w:rPr>
          <w:rFonts w:eastAsia="Times New Roman" w:cstheme="minorHAnsi"/>
          <w:lang w:eastAsia="en-GB"/>
        </w:rPr>
      </w:pPr>
      <w:r w:rsidRPr="007A516A">
        <w:rPr>
          <w:rFonts w:eastAsia="Times New Roman" w:cstheme="minorHAnsi"/>
          <w:lang w:eastAsia="en-GB"/>
        </w:rPr>
        <w:t>This is a very interesting paper concerning a type of intoxication that seems to have some incidence in Canada and USA, with an increase after legalization of cannabis use in these countries. This can be relevant for other countries where this legalization occurs.</w:t>
      </w:r>
      <w:r w:rsidRPr="007A516A">
        <w:rPr>
          <w:rFonts w:eastAsia="Times New Roman" w:cstheme="minorHAnsi"/>
          <w:lang w:eastAsia="en-GB"/>
        </w:rPr>
        <w:br/>
        <w:t>The information about clinical signs, products and route of exposure and diagnosis and treatment of the intoxication is also important and well reported and discuss.</w:t>
      </w:r>
      <w:r w:rsidRPr="007A516A">
        <w:rPr>
          <w:rFonts w:eastAsia="Times New Roman" w:cstheme="minorHAnsi"/>
          <w:lang w:eastAsia="en-GB"/>
        </w:rPr>
        <w:br/>
        <w:t>The study have some limitation that were identified by the authors.</w:t>
      </w:r>
      <w:r w:rsidRPr="007A516A">
        <w:rPr>
          <w:rFonts w:eastAsia="Times New Roman" w:cstheme="minorHAnsi"/>
          <w:lang w:eastAsia="en-GB"/>
        </w:rPr>
        <w:br/>
        <w:t xml:space="preserve">Only graphs from </w:t>
      </w:r>
      <w:proofErr w:type="gramStart"/>
      <w:r w:rsidRPr="007A516A">
        <w:rPr>
          <w:rFonts w:eastAsia="Times New Roman" w:cstheme="minorHAnsi"/>
          <w:lang w:eastAsia="en-GB"/>
        </w:rPr>
        <w:t>figure</w:t>
      </w:r>
      <w:proofErr w:type="gramEnd"/>
      <w:r w:rsidRPr="007A516A">
        <w:rPr>
          <w:rFonts w:eastAsia="Times New Roman" w:cstheme="minorHAnsi"/>
          <w:lang w:eastAsia="en-GB"/>
        </w:rPr>
        <w:t xml:space="preserve"> 2 and 3 are not so well done because x-axis is not explicit. Can the authors try to better explain these data?</w:t>
      </w:r>
    </w:p>
    <w:p w14:paraId="6B31D7EF" w14:textId="19E80A56" w:rsidR="003D6C9C" w:rsidRDefault="003D6C9C" w:rsidP="008B5085">
      <w:pPr>
        <w:spacing w:after="0" w:line="240" w:lineRule="auto"/>
        <w:jc w:val="both"/>
        <w:rPr>
          <w:rFonts w:eastAsia="Times New Roman" w:cstheme="minorHAnsi"/>
          <w:lang w:eastAsia="en-GB"/>
        </w:rPr>
      </w:pPr>
    </w:p>
    <w:p w14:paraId="75E1380A" w14:textId="11828CBB" w:rsidR="008B5085" w:rsidRPr="008B5085" w:rsidRDefault="008B5085" w:rsidP="008B5085">
      <w:pPr>
        <w:spacing w:after="0" w:line="240" w:lineRule="auto"/>
        <w:jc w:val="both"/>
        <w:rPr>
          <w:rFonts w:eastAsia="Times New Roman" w:cstheme="minorHAnsi"/>
          <w:lang w:eastAsia="en-GB"/>
        </w:rPr>
      </w:pPr>
      <w:r>
        <w:rPr>
          <w:rFonts w:eastAsia="Times New Roman" w:cstheme="minorHAnsi"/>
          <w:lang w:eastAsia="en-GB"/>
        </w:rPr>
        <w:t xml:space="preserve">Thank you for your comment. We have modified the titles of the graphs in </w:t>
      </w:r>
      <w:r w:rsidR="000316CE">
        <w:rPr>
          <w:rFonts w:eastAsia="Times New Roman" w:cstheme="minorHAnsi"/>
          <w:lang w:eastAsia="en-GB"/>
        </w:rPr>
        <w:t>F</w:t>
      </w:r>
      <w:r>
        <w:rPr>
          <w:rFonts w:eastAsia="Times New Roman" w:cstheme="minorHAnsi"/>
          <w:lang w:eastAsia="en-GB"/>
        </w:rPr>
        <w:t>ig</w:t>
      </w:r>
      <w:r w:rsidR="001D5533">
        <w:rPr>
          <w:rFonts w:eastAsia="Times New Roman" w:cstheme="minorHAnsi"/>
          <w:lang w:eastAsia="en-GB"/>
        </w:rPr>
        <w:t xml:space="preserve"> 2 and</w:t>
      </w:r>
      <w:r>
        <w:rPr>
          <w:rFonts w:eastAsia="Times New Roman" w:cstheme="minorHAnsi"/>
          <w:lang w:eastAsia="en-GB"/>
        </w:rPr>
        <w:t xml:space="preserve"> 3 and the title</w:t>
      </w:r>
      <w:r w:rsidR="001D5533">
        <w:rPr>
          <w:rFonts w:eastAsia="Times New Roman" w:cstheme="minorHAnsi"/>
          <w:lang w:eastAsia="en-GB"/>
        </w:rPr>
        <w:t xml:space="preserve">s </w:t>
      </w:r>
      <w:r>
        <w:rPr>
          <w:rFonts w:eastAsia="Times New Roman" w:cstheme="minorHAnsi"/>
          <w:lang w:eastAsia="en-GB"/>
        </w:rPr>
        <w:t>of the x-axis</w:t>
      </w:r>
      <w:r w:rsidR="001D5533">
        <w:rPr>
          <w:rFonts w:eastAsia="Times New Roman" w:cstheme="minorHAnsi"/>
          <w:lang w:eastAsia="en-GB"/>
        </w:rPr>
        <w:t xml:space="preserve"> in the graphs for both figures to improve clarity. Additionally, we have revised the text in the legends for both figures</w:t>
      </w:r>
      <w:r w:rsidR="00D57970">
        <w:rPr>
          <w:rFonts w:eastAsia="Times New Roman" w:cstheme="minorHAnsi"/>
          <w:lang w:eastAsia="en-GB"/>
        </w:rPr>
        <w:t>. Please see our responses for comments 2 and 5 from Reviewer 1.</w:t>
      </w:r>
    </w:p>
    <w:p w14:paraId="3FA52483" w14:textId="3D7697F9" w:rsidR="003D6C9C" w:rsidRPr="007A516A" w:rsidRDefault="003D6C9C" w:rsidP="00880AFC">
      <w:pPr>
        <w:spacing w:after="0" w:line="240" w:lineRule="auto"/>
        <w:jc w:val="both"/>
        <w:rPr>
          <w:rFonts w:eastAsia="Times New Roman" w:cstheme="minorHAnsi"/>
          <w:lang w:eastAsia="en-GB"/>
        </w:rPr>
      </w:pPr>
    </w:p>
    <w:p w14:paraId="09B0F1E5" w14:textId="77777777" w:rsidR="003D6C9C" w:rsidRPr="007A516A" w:rsidRDefault="003D6C9C" w:rsidP="00880AFC">
      <w:pPr>
        <w:spacing w:after="0" w:line="240" w:lineRule="auto"/>
        <w:jc w:val="both"/>
        <w:rPr>
          <w:rFonts w:eastAsia="Times New Roman" w:cstheme="minorHAnsi"/>
          <w:lang w:eastAsia="en-GB"/>
        </w:rPr>
      </w:pPr>
    </w:p>
    <w:p w14:paraId="0A1C6C29" w14:textId="77777777" w:rsidR="00F36A7A" w:rsidRPr="007A516A" w:rsidRDefault="00F36A7A" w:rsidP="00880AFC">
      <w:pPr>
        <w:spacing w:line="240" w:lineRule="auto"/>
        <w:jc w:val="both"/>
        <w:rPr>
          <w:rFonts w:cstheme="minorHAnsi"/>
        </w:rPr>
      </w:pPr>
    </w:p>
    <w:sectPr w:rsidR="00F36A7A" w:rsidRPr="007A5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49E9"/>
    <w:multiLevelType w:val="hybridMultilevel"/>
    <w:tmpl w:val="71880E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A64726"/>
    <w:multiLevelType w:val="hybridMultilevel"/>
    <w:tmpl w:val="88744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D76A0"/>
    <w:multiLevelType w:val="hybridMultilevel"/>
    <w:tmpl w:val="3F806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42D668E"/>
    <w:multiLevelType w:val="multilevel"/>
    <w:tmpl w:val="6A4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315832"/>
    <w:multiLevelType w:val="hybridMultilevel"/>
    <w:tmpl w:val="98E63A2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D1976FC"/>
    <w:multiLevelType w:val="hybridMultilevel"/>
    <w:tmpl w:val="98E63A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97"/>
    <w:rsid w:val="000160A8"/>
    <w:rsid w:val="000310F1"/>
    <w:rsid w:val="000316CE"/>
    <w:rsid w:val="0003225F"/>
    <w:rsid w:val="000342DF"/>
    <w:rsid w:val="00036E8D"/>
    <w:rsid w:val="000615E6"/>
    <w:rsid w:val="00066C8C"/>
    <w:rsid w:val="000779E8"/>
    <w:rsid w:val="000A38CF"/>
    <w:rsid w:val="000C24ED"/>
    <w:rsid w:val="000F7F73"/>
    <w:rsid w:val="00100610"/>
    <w:rsid w:val="00103D62"/>
    <w:rsid w:val="001535D1"/>
    <w:rsid w:val="00161DEC"/>
    <w:rsid w:val="00174389"/>
    <w:rsid w:val="00175A47"/>
    <w:rsid w:val="001804B2"/>
    <w:rsid w:val="00196016"/>
    <w:rsid w:val="001D27EE"/>
    <w:rsid w:val="001D5533"/>
    <w:rsid w:val="001D6CA0"/>
    <w:rsid w:val="00254945"/>
    <w:rsid w:val="00263495"/>
    <w:rsid w:val="0028415D"/>
    <w:rsid w:val="002915FB"/>
    <w:rsid w:val="002A312F"/>
    <w:rsid w:val="002B3D23"/>
    <w:rsid w:val="002C5BD2"/>
    <w:rsid w:val="002F610E"/>
    <w:rsid w:val="00316882"/>
    <w:rsid w:val="0033129B"/>
    <w:rsid w:val="00334615"/>
    <w:rsid w:val="00337D54"/>
    <w:rsid w:val="00341B67"/>
    <w:rsid w:val="0037488E"/>
    <w:rsid w:val="00374E00"/>
    <w:rsid w:val="00380357"/>
    <w:rsid w:val="00395B56"/>
    <w:rsid w:val="003A54EA"/>
    <w:rsid w:val="003A6BB0"/>
    <w:rsid w:val="003B74F8"/>
    <w:rsid w:val="003C22E8"/>
    <w:rsid w:val="003D08AD"/>
    <w:rsid w:val="003D1EE2"/>
    <w:rsid w:val="003D6C9C"/>
    <w:rsid w:val="003F0738"/>
    <w:rsid w:val="003F28F3"/>
    <w:rsid w:val="003F3759"/>
    <w:rsid w:val="00411647"/>
    <w:rsid w:val="00424323"/>
    <w:rsid w:val="0042535C"/>
    <w:rsid w:val="004369E1"/>
    <w:rsid w:val="00455AFE"/>
    <w:rsid w:val="004823C9"/>
    <w:rsid w:val="004D6011"/>
    <w:rsid w:val="0050561F"/>
    <w:rsid w:val="00545ACE"/>
    <w:rsid w:val="005636B6"/>
    <w:rsid w:val="00565673"/>
    <w:rsid w:val="005B7A26"/>
    <w:rsid w:val="005D5C7B"/>
    <w:rsid w:val="005D6D54"/>
    <w:rsid w:val="005F2088"/>
    <w:rsid w:val="005F42B6"/>
    <w:rsid w:val="005F5016"/>
    <w:rsid w:val="00600A55"/>
    <w:rsid w:val="006013EA"/>
    <w:rsid w:val="00640E0A"/>
    <w:rsid w:val="00641F7E"/>
    <w:rsid w:val="006667A1"/>
    <w:rsid w:val="00693CFA"/>
    <w:rsid w:val="006B1406"/>
    <w:rsid w:val="006C16AE"/>
    <w:rsid w:val="006C4C6A"/>
    <w:rsid w:val="006E01EE"/>
    <w:rsid w:val="006E38EF"/>
    <w:rsid w:val="00700C6D"/>
    <w:rsid w:val="007053ED"/>
    <w:rsid w:val="00705FA3"/>
    <w:rsid w:val="007070FA"/>
    <w:rsid w:val="00710BCA"/>
    <w:rsid w:val="00713578"/>
    <w:rsid w:val="00726AE0"/>
    <w:rsid w:val="00774D93"/>
    <w:rsid w:val="00776709"/>
    <w:rsid w:val="00796E59"/>
    <w:rsid w:val="007A516A"/>
    <w:rsid w:val="007B5D15"/>
    <w:rsid w:val="007D2838"/>
    <w:rsid w:val="007E248D"/>
    <w:rsid w:val="007F35AE"/>
    <w:rsid w:val="008177FE"/>
    <w:rsid w:val="00840199"/>
    <w:rsid w:val="00845251"/>
    <w:rsid w:val="008707ED"/>
    <w:rsid w:val="00880AFC"/>
    <w:rsid w:val="008962BF"/>
    <w:rsid w:val="008B5085"/>
    <w:rsid w:val="008C3D94"/>
    <w:rsid w:val="008D0D94"/>
    <w:rsid w:val="008E1B0F"/>
    <w:rsid w:val="008E4BAE"/>
    <w:rsid w:val="008F6F69"/>
    <w:rsid w:val="00923709"/>
    <w:rsid w:val="00936D24"/>
    <w:rsid w:val="00937FC0"/>
    <w:rsid w:val="009424F0"/>
    <w:rsid w:val="009702DE"/>
    <w:rsid w:val="00972A4A"/>
    <w:rsid w:val="00996492"/>
    <w:rsid w:val="009965CF"/>
    <w:rsid w:val="009B45FD"/>
    <w:rsid w:val="009B66CB"/>
    <w:rsid w:val="009C628F"/>
    <w:rsid w:val="009F1873"/>
    <w:rsid w:val="009F7142"/>
    <w:rsid w:val="00A0534E"/>
    <w:rsid w:val="00A2418E"/>
    <w:rsid w:val="00A30CC6"/>
    <w:rsid w:val="00A34D6A"/>
    <w:rsid w:val="00A719DF"/>
    <w:rsid w:val="00A72DD8"/>
    <w:rsid w:val="00AD42DA"/>
    <w:rsid w:val="00AD586F"/>
    <w:rsid w:val="00AE397B"/>
    <w:rsid w:val="00AF342E"/>
    <w:rsid w:val="00B178C4"/>
    <w:rsid w:val="00B520C1"/>
    <w:rsid w:val="00B70195"/>
    <w:rsid w:val="00B7208E"/>
    <w:rsid w:val="00B87CFE"/>
    <w:rsid w:val="00BA6DC3"/>
    <w:rsid w:val="00BB364F"/>
    <w:rsid w:val="00BF2367"/>
    <w:rsid w:val="00C048A4"/>
    <w:rsid w:val="00C07330"/>
    <w:rsid w:val="00C23546"/>
    <w:rsid w:val="00C329F3"/>
    <w:rsid w:val="00C36FD3"/>
    <w:rsid w:val="00C64343"/>
    <w:rsid w:val="00C75CDB"/>
    <w:rsid w:val="00C83382"/>
    <w:rsid w:val="00C94DC7"/>
    <w:rsid w:val="00CD7C93"/>
    <w:rsid w:val="00CE73CD"/>
    <w:rsid w:val="00CF0AE9"/>
    <w:rsid w:val="00D3124F"/>
    <w:rsid w:val="00D36E2F"/>
    <w:rsid w:val="00D3731F"/>
    <w:rsid w:val="00D47328"/>
    <w:rsid w:val="00D5585F"/>
    <w:rsid w:val="00D57970"/>
    <w:rsid w:val="00D63F97"/>
    <w:rsid w:val="00D76728"/>
    <w:rsid w:val="00D837D4"/>
    <w:rsid w:val="00D96183"/>
    <w:rsid w:val="00DA282B"/>
    <w:rsid w:val="00DA7A8A"/>
    <w:rsid w:val="00DB60F1"/>
    <w:rsid w:val="00DC2161"/>
    <w:rsid w:val="00DE369D"/>
    <w:rsid w:val="00E023E0"/>
    <w:rsid w:val="00E0414D"/>
    <w:rsid w:val="00E107CF"/>
    <w:rsid w:val="00E12FCB"/>
    <w:rsid w:val="00E21793"/>
    <w:rsid w:val="00E527CA"/>
    <w:rsid w:val="00E664A9"/>
    <w:rsid w:val="00E90D4B"/>
    <w:rsid w:val="00EB1DC2"/>
    <w:rsid w:val="00EC2ECD"/>
    <w:rsid w:val="00EE5212"/>
    <w:rsid w:val="00EF76D6"/>
    <w:rsid w:val="00F36A7A"/>
    <w:rsid w:val="00F47AE6"/>
    <w:rsid w:val="00F505AD"/>
    <w:rsid w:val="00F54030"/>
    <w:rsid w:val="00F67068"/>
    <w:rsid w:val="00F85ACC"/>
    <w:rsid w:val="00FA398F"/>
    <w:rsid w:val="00FB50C7"/>
    <w:rsid w:val="00FF34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5162"/>
  <w15:chartTrackingRefBased/>
  <w15:docId w15:val="{E043F383-9EC0-4062-98F4-40F81DC9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D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F97"/>
    <w:pPr>
      <w:ind w:left="720"/>
      <w:contextualSpacing/>
    </w:pPr>
  </w:style>
  <w:style w:type="character" w:styleId="CommentReference">
    <w:name w:val="annotation reference"/>
    <w:basedOn w:val="DefaultParagraphFont"/>
    <w:uiPriority w:val="99"/>
    <w:semiHidden/>
    <w:unhideWhenUsed/>
    <w:rsid w:val="00936D24"/>
    <w:rPr>
      <w:sz w:val="16"/>
      <w:szCs w:val="16"/>
    </w:rPr>
  </w:style>
  <w:style w:type="paragraph" w:styleId="CommentText">
    <w:name w:val="annotation text"/>
    <w:basedOn w:val="Normal"/>
    <w:link w:val="CommentTextChar"/>
    <w:uiPriority w:val="99"/>
    <w:semiHidden/>
    <w:unhideWhenUsed/>
    <w:rsid w:val="00936D24"/>
    <w:pPr>
      <w:spacing w:line="240" w:lineRule="auto"/>
    </w:pPr>
    <w:rPr>
      <w:sz w:val="20"/>
      <w:szCs w:val="20"/>
    </w:rPr>
  </w:style>
  <w:style w:type="character" w:customStyle="1" w:styleId="CommentTextChar">
    <w:name w:val="Comment Text Char"/>
    <w:basedOn w:val="DefaultParagraphFont"/>
    <w:link w:val="CommentText"/>
    <w:uiPriority w:val="99"/>
    <w:semiHidden/>
    <w:rsid w:val="00936D24"/>
    <w:rPr>
      <w:sz w:val="20"/>
      <w:szCs w:val="20"/>
    </w:rPr>
  </w:style>
  <w:style w:type="paragraph" w:styleId="CommentSubject">
    <w:name w:val="annotation subject"/>
    <w:basedOn w:val="CommentText"/>
    <w:next w:val="CommentText"/>
    <w:link w:val="CommentSubjectChar"/>
    <w:uiPriority w:val="99"/>
    <w:semiHidden/>
    <w:unhideWhenUsed/>
    <w:rsid w:val="00936D24"/>
    <w:rPr>
      <w:b/>
      <w:bCs/>
    </w:rPr>
  </w:style>
  <w:style w:type="character" w:customStyle="1" w:styleId="CommentSubjectChar">
    <w:name w:val="Comment Subject Char"/>
    <w:basedOn w:val="CommentTextChar"/>
    <w:link w:val="CommentSubject"/>
    <w:uiPriority w:val="99"/>
    <w:semiHidden/>
    <w:rsid w:val="00936D24"/>
    <w:rPr>
      <w:b/>
      <w:bCs/>
      <w:sz w:val="20"/>
      <w:szCs w:val="20"/>
    </w:rPr>
  </w:style>
  <w:style w:type="character" w:styleId="Hyperlink">
    <w:name w:val="Hyperlink"/>
    <w:basedOn w:val="DefaultParagraphFont"/>
    <w:uiPriority w:val="99"/>
    <w:unhideWhenUsed/>
    <w:rsid w:val="003D6C9C"/>
    <w:rPr>
      <w:color w:val="0563C1" w:themeColor="hyperlink"/>
      <w:u w:val="single"/>
    </w:rPr>
  </w:style>
  <w:style w:type="character" w:styleId="UnresolvedMention">
    <w:name w:val="Unresolved Mention"/>
    <w:basedOn w:val="DefaultParagraphFont"/>
    <w:uiPriority w:val="99"/>
    <w:semiHidden/>
    <w:unhideWhenUsed/>
    <w:rsid w:val="003D6C9C"/>
    <w:rPr>
      <w:color w:val="605E5C"/>
      <w:shd w:val="clear" w:color="auto" w:fill="E1DFDD"/>
    </w:rPr>
  </w:style>
  <w:style w:type="paragraph" w:styleId="BalloonText">
    <w:name w:val="Balloon Text"/>
    <w:basedOn w:val="Normal"/>
    <w:link w:val="BalloonTextChar"/>
    <w:uiPriority w:val="99"/>
    <w:semiHidden/>
    <w:unhideWhenUsed/>
    <w:rsid w:val="00103D6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3D62"/>
    <w:rPr>
      <w:rFonts w:ascii="Times New Roman" w:hAnsi="Times New Roman" w:cs="Times New Roman"/>
      <w:sz w:val="18"/>
      <w:szCs w:val="18"/>
      <w:lang w:val="en-US"/>
    </w:rPr>
  </w:style>
  <w:style w:type="paragraph" w:styleId="Caption">
    <w:name w:val="caption"/>
    <w:basedOn w:val="Normal"/>
    <w:next w:val="Normal"/>
    <w:uiPriority w:val="35"/>
    <w:unhideWhenUsed/>
    <w:qFormat/>
    <w:rsid w:val="00BF2367"/>
    <w:pPr>
      <w:spacing w:after="200" w:line="240" w:lineRule="auto"/>
    </w:pPr>
    <w:rPr>
      <w:i/>
      <w:iCs/>
      <w:color w:val="44546A" w:themeColor="text2"/>
      <w:sz w:val="18"/>
      <w:szCs w:val="18"/>
    </w:rPr>
  </w:style>
  <w:style w:type="character" w:customStyle="1" w:styleId="normaltextrun">
    <w:name w:val="normaltextrun"/>
    <w:basedOn w:val="DefaultParagraphFont"/>
    <w:rsid w:val="0042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03629">
      <w:bodyDiv w:val="1"/>
      <w:marLeft w:val="0"/>
      <w:marRight w:val="0"/>
      <w:marTop w:val="0"/>
      <w:marBottom w:val="0"/>
      <w:divBdr>
        <w:top w:val="none" w:sz="0" w:space="0" w:color="auto"/>
        <w:left w:val="none" w:sz="0" w:space="0" w:color="auto"/>
        <w:bottom w:val="none" w:sz="0" w:space="0" w:color="auto"/>
        <w:right w:val="none" w:sz="0" w:space="0" w:color="auto"/>
      </w:divBdr>
    </w:div>
    <w:div w:id="559026327">
      <w:bodyDiv w:val="1"/>
      <w:marLeft w:val="0"/>
      <w:marRight w:val="0"/>
      <w:marTop w:val="0"/>
      <w:marBottom w:val="0"/>
      <w:divBdr>
        <w:top w:val="none" w:sz="0" w:space="0" w:color="auto"/>
        <w:left w:val="none" w:sz="0" w:space="0" w:color="auto"/>
        <w:bottom w:val="none" w:sz="0" w:space="0" w:color="auto"/>
        <w:right w:val="none" w:sz="0" w:space="0" w:color="auto"/>
      </w:divBdr>
    </w:div>
    <w:div w:id="633491286">
      <w:bodyDiv w:val="1"/>
      <w:marLeft w:val="0"/>
      <w:marRight w:val="0"/>
      <w:marTop w:val="0"/>
      <w:marBottom w:val="0"/>
      <w:divBdr>
        <w:top w:val="none" w:sz="0" w:space="0" w:color="auto"/>
        <w:left w:val="none" w:sz="0" w:space="0" w:color="auto"/>
        <w:bottom w:val="none" w:sz="0" w:space="0" w:color="auto"/>
        <w:right w:val="none" w:sz="0" w:space="0" w:color="auto"/>
      </w:divBdr>
    </w:div>
    <w:div w:id="636571524">
      <w:bodyDiv w:val="1"/>
      <w:marLeft w:val="0"/>
      <w:marRight w:val="0"/>
      <w:marTop w:val="0"/>
      <w:marBottom w:val="0"/>
      <w:divBdr>
        <w:top w:val="none" w:sz="0" w:space="0" w:color="auto"/>
        <w:left w:val="none" w:sz="0" w:space="0" w:color="auto"/>
        <w:bottom w:val="none" w:sz="0" w:space="0" w:color="auto"/>
        <w:right w:val="none" w:sz="0" w:space="0" w:color="auto"/>
      </w:divBdr>
    </w:div>
    <w:div w:id="771752425">
      <w:bodyDiv w:val="1"/>
      <w:marLeft w:val="0"/>
      <w:marRight w:val="0"/>
      <w:marTop w:val="0"/>
      <w:marBottom w:val="0"/>
      <w:divBdr>
        <w:top w:val="none" w:sz="0" w:space="0" w:color="auto"/>
        <w:left w:val="none" w:sz="0" w:space="0" w:color="auto"/>
        <w:bottom w:val="none" w:sz="0" w:space="0" w:color="auto"/>
        <w:right w:val="none" w:sz="0" w:space="0" w:color="auto"/>
      </w:divBdr>
    </w:div>
    <w:div w:id="843975123">
      <w:bodyDiv w:val="1"/>
      <w:marLeft w:val="0"/>
      <w:marRight w:val="0"/>
      <w:marTop w:val="0"/>
      <w:marBottom w:val="0"/>
      <w:divBdr>
        <w:top w:val="none" w:sz="0" w:space="0" w:color="auto"/>
        <w:left w:val="none" w:sz="0" w:space="0" w:color="auto"/>
        <w:bottom w:val="none" w:sz="0" w:space="0" w:color="auto"/>
        <w:right w:val="none" w:sz="0" w:space="0" w:color="auto"/>
      </w:divBdr>
    </w:div>
    <w:div w:id="914824843">
      <w:bodyDiv w:val="1"/>
      <w:marLeft w:val="0"/>
      <w:marRight w:val="0"/>
      <w:marTop w:val="0"/>
      <w:marBottom w:val="0"/>
      <w:divBdr>
        <w:top w:val="none" w:sz="0" w:space="0" w:color="auto"/>
        <w:left w:val="none" w:sz="0" w:space="0" w:color="auto"/>
        <w:bottom w:val="none" w:sz="0" w:space="0" w:color="auto"/>
        <w:right w:val="none" w:sz="0" w:space="0" w:color="auto"/>
      </w:divBdr>
    </w:div>
    <w:div w:id="1026367170">
      <w:bodyDiv w:val="1"/>
      <w:marLeft w:val="0"/>
      <w:marRight w:val="0"/>
      <w:marTop w:val="0"/>
      <w:marBottom w:val="0"/>
      <w:divBdr>
        <w:top w:val="none" w:sz="0" w:space="0" w:color="auto"/>
        <w:left w:val="none" w:sz="0" w:space="0" w:color="auto"/>
        <w:bottom w:val="none" w:sz="0" w:space="0" w:color="auto"/>
        <w:right w:val="none" w:sz="0" w:space="0" w:color="auto"/>
      </w:divBdr>
    </w:div>
    <w:div w:id="1122652191">
      <w:bodyDiv w:val="1"/>
      <w:marLeft w:val="0"/>
      <w:marRight w:val="0"/>
      <w:marTop w:val="0"/>
      <w:marBottom w:val="0"/>
      <w:divBdr>
        <w:top w:val="none" w:sz="0" w:space="0" w:color="auto"/>
        <w:left w:val="none" w:sz="0" w:space="0" w:color="auto"/>
        <w:bottom w:val="none" w:sz="0" w:space="0" w:color="auto"/>
        <w:right w:val="none" w:sz="0" w:space="0" w:color="auto"/>
      </w:divBdr>
    </w:div>
    <w:div w:id="1236671414">
      <w:bodyDiv w:val="1"/>
      <w:marLeft w:val="0"/>
      <w:marRight w:val="0"/>
      <w:marTop w:val="0"/>
      <w:marBottom w:val="0"/>
      <w:divBdr>
        <w:top w:val="none" w:sz="0" w:space="0" w:color="auto"/>
        <w:left w:val="none" w:sz="0" w:space="0" w:color="auto"/>
        <w:bottom w:val="none" w:sz="0" w:space="0" w:color="auto"/>
        <w:right w:val="none" w:sz="0" w:space="0" w:color="auto"/>
      </w:divBdr>
    </w:div>
    <w:div w:id="1377974823">
      <w:bodyDiv w:val="1"/>
      <w:marLeft w:val="0"/>
      <w:marRight w:val="0"/>
      <w:marTop w:val="0"/>
      <w:marBottom w:val="0"/>
      <w:divBdr>
        <w:top w:val="none" w:sz="0" w:space="0" w:color="auto"/>
        <w:left w:val="none" w:sz="0" w:space="0" w:color="auto"/>
        <w:bottom w:val="none" w:sz="0" w:space="0" w:color="auto"/>
        <w:right w:val="none" w:sz="0" w:space="0" w:color="auto"/>
      </w:divBdr>
    </w:div>
    <w:div w:id="1381398353">
      <w:bodyDiv w:val="1"/>
      <w:marLeft w:val="0"/>
      <w:marRight w:val="0"/>
      <w:marTop w:val="0"/>
      <w:marBottom w:val="0"/>
      <w:divBdr>
        <w:top w:val="none" w:sz="0" w:space="0" w:color="auto"/>
        <w:left w:val="none" w:sz="0" w:space="0" w:color="auto"/>
        <w:bottom w:val="none" w:sz="0" w:space="0" w:color="auto"/>
        <w:right w:val="none" w:sz="0" w:space="0" w:color="auto"/>
      </w:divBdr>
    </w:div>
    <w:div w:id="1431975474">
      <w:bodyDiv w:val="1"/>
      <w:marLeft w:val="0"/>
      <w:marRight w:val="0"/>
      <w:marTop w:val="0"/>
      <w:marBottom w:val="0"/>
      <w:divBdr>
        <w:top w:val="none" w:sz="0" w:space="0" w:color="auto"/>
        <w:left w:val="none" w:sz="0" w:space="0" w:color="auto"/>
        <w:bottom w:val="none" w:sz="0" w:space="0" w:color="auto"/>
        <w:right w:val="none" w:sz="0" w:space="0" w:color="auto"/>
      </w:divBdr>
    </w:div>
    <w:div w:id="1531143405">
      <w:bodyDiv w:val="1"/>
      <w:marLeft w:val="0"/>
      <w:marRight w:val="0"/>
      <w:marTop w:val="0"/>
      <w:marBottom w:val="0"/>
      <w:divBdr>
        <w:top w:val="none" w:sz="0" w:space="0" w:color="auto"/>
        <w:left w:val="none" w:sz="0" w:space="0" w:color="auto"/>
        <w:bottom w:val="none" w:sz="0" w:space="0" w:color="auto"/>
        <w:right w:val="none" w:sz="0" w:space="0" w:color="auto"/>
      </w:divBdr>
    </w:div>
    <w:div w:id="1752310489">
      <w:bodyDiv w:val="1"/>
      <w:marLeft w:val="0"/>
      <w:marRight w:val="0"/>
      <w:marTop w:val="0"/>
      <w:marBottom w:val="0"/>
      <w:divBdr>
        <w:top w:val="none" w:sz="0" w:space="0" w:color="auto"/>
        <w:left w:val="none" w:sz="0" w:space="0" w:color="auto"/>
        <w:bottom w:val="none" w:sz="0" w:space="0" w:color="auto"/>
        <w:right w:val="none" w:sz="0" w:space="0" w:color="auto"/>
      </w:divBdr>
    </w:div>
    <w:div w:id="1867979986">
      <w:bodyDiv w:val="1"/>
      <w:marLeft w:val="0"/>
      <w:marRight w:val="0"/>
      <w:marTop w:val="0"/>
      <w:marBottom w:val="0"/>
      <w:divBdr>
        <w:top w:val="none" w:sz="0" w:space="0" w:color="auto"/>
        <w:left w:val="none" w:sz="0" w:space="0" w:color="auto"/>
        <w:bottom w:val="none" w:sz="0" w:space="0" w:color="auto"/>
        <w:right w:val="none" w:sz="0" w:space="0" w:color="auto"/>
      </w:divBdr>
    </w:div>
    <w:div w:id="1916090310">
      <w:bodyDiv w:val="1"/>
      <w:marLeft w:val="0"/>
      <w:marRight w:val="0"/>
      <w:marTop w:val="0"/>
      <w:marBottom w:val="0"/>
      <w:divBdr>
        <w:top w:val="none" w:sz="0" w:space="0" w:color="auto"/>
        <w:left w:val="none" w:sz="0" w:space="0" w:color="auto"/>
        <w:bottom w:val="none" w:sz="0" w:space="0" w:color="auto"/>
        <w:right w:val="none" w:sz="0" w:space="0" w:color="auto"/>
      </w:divBdr>
    </w:div>
    <w:div w:id="202227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pcct.org/publicfile.php?folder=congress&amp;file=Abstracts_NewOrleans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2439</Words>
  <Characters>13905</Characters>
  <Application>Microsoft Office Word</Application>
  <DocSecurity>0</DocSecurity>
  <Lines>115</Lines>
  <Paragraphs>32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Kayir</dc:creator>
  <cp:keywords/>
  <dc:description/>
  <cp:lastModifiedBy>Jibran Khokhar</cp:lastModifiedBy>
  <cp:revision>80</cp:revision>
  <dcterms:created xsi:type="dcterms:W3CDTF">2022-01-31T20:20:00Z</dcterms:created>
  <dcterms:modified xsi:type="dcterms:W3CDTF">2022-02-28T17:46:00Z</dcterms:modified>
</cp:coreProperties>
</file>