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00" w:type="dxa"/>
        <w:jc w:val="center"/>
        <w:tblLayout w:type="fixed"/>
        <w:tblCellMar>
          <w:top w:w="15" w:type="dxa"/>
        </w:tblCellMar>
        <w:tblLook w:val="04A0" w:firstRow="1" w:lastRow="0" w:firstColumn="1" w:lastColumn="0" w:noHBand="0" w:noVBand="1"/>
      </w:tblPr>
      <w:tblGrid>
        <w:gridCol w:w="2610"/>
        <w:gridCol w:w="1440"/>
        <w:gridCol w:w="6750"/>
      </w:tblGrid>
      <w:tr w:rsidR="00AD1F59" w:rsidRPr="00C23CF7" w14:paraId="09268E29" w14:textId="776C4E1B" w:rsidTr="00F56BEA">
        <w:trPr>
          <w:trHeight w:val="327"/>
          <w:tblHeader/>
          <w:jc w:val="center"/>
        </w:trPr>
        <w:tc>
          <w:tcPr>
            <w:tcW w:w="10800" w:type="dxa"/>
            <w:gridSpan w:val="3"/>
            <w:tcBorders>
              <w:top w:val="nil"/>
              <w:left w:val="nil"/>
              <w:bottom w:val="double" w:sz="4" w:space="0" w:color="auto"/>
              <w:right w:val="nil"/>
            </w:tcBorders>
            <w:shd w:val="clear" w:color="auto" w:fill="auto"/>
            <w:noWrap/>
            <w:vAlign w:val="bottom"/>
            <w:hideMark/>
          </w:tcPr>
          <w:p w14:paraId="10FD507B" w14:textId="0C237CF8" w:rsidR="00AD1F59" w:rsidRPr="00C23CF7" w:rsidRDefault="00AD1F59" w:rsidP="00AD1F59">
            <w:pPr>
              <w:spacing w:after="0" w:line="240" w:lineRule="auto"/>
              <w:rPr>
                <w:rFonts w:eastAsia="Times New Roman" w:cs="Calibri"/>
                <w:color w:val="000000"/>
                <w:sz w:val="20"/>
                <w:szCs w:val="20"/>
              </w:rPr>
            </w:pPr>
            <w:r w:rsidRPr="00C23CF7">
              <w:rPr>
                <w:rFonts w:eastAsia="Times New Roman" w:cs="Calibri"/>
                <w:color w:val="000000"/>
                <w:sz w:val="20"/>
                <w:szCs w:val="20"/>
              </w:rPr>
              <w:t>S</w:t>
            </w:r>
            <w:r w:rsidR="00FD53DC">
              <w:rPr>
                <w:rFonts w:eastAsia="Times New Roman" w:cs="Calibri"/>
                <w:color w:val="000000"/>
                <w:sz w:val="20"/>
                <w:szCs w:val="20"/>
              </w:rPr>
              <w:t>1</w:t>
            </w:r>
            <w:r w:rsidR="00405F0C">
              <w:rPr>
                <w:rFonts w:eastAsia="Times New Roman" w:cs="Calibri"/>
                <w:color w:val="000000"/>
                <w:sz w:val="20"/>
                <w:szCs w:val="20"/>
              </w:rPr>
              <w:t xml:space="preserve"> </w:t>
            </w:r>
            <w:r w:rsidR="00FD53DC">
              <w:rPr>
                <w:rFonts w:eastAsia="Times New Roman" w:cs="Calibri"/>
                <w:color w:val="000000"/>
                <w:sz w:val="20"/>
                <w:szCs w:val="20"/>
              </w:rPr>
              <w:t>File</w:t>
            </w:r>
            <w:r w:rsidRPr="00C23CF7">
              <w:rPr>
                <w:rFonts w:eastAsia="Times New Roman" w:cs="Calibri"/>
                <w:color w:val="000000"/>
                <w:sz w:val="20"/>
                <w:szCs w:val="20"/>
              </w:rPr>
              <w:t xml:space="preserve">: Description of </w:t>
            </w:r>
            <w:r w:rsidR="00DA2EC6">
              <w:rPr>
                <w:rFonts w:eastAsia="Times New Roman" w:cs="Calibri"/>
                <w:color w:val="000000"/>
                <w:sz w:val="20"/>
                <w:szCs w:val="20"/>
              </w:rPr>
              <w:t xml:space="preserve">GAGE </w:t>
            </w:r>
            <w:r w:rsidR="00405F0C">
              <w:rPr>
                <w:rFonts w:eastAsia="Times New Roman" w:cs="Calibri"/>
                <w:color w:val="000000"/>
                <w:sz w:val="20"/>
                <w:szCs w:val="20"/>
              </w:rPr>
              <w:t>COVID</w:t>
            </w:r>
            <w:r w:rsidR="00DA2EC6">
              <w:rPr>
                <w:rFonts w:eastAsia="Times New Roman" w:cs="Calibri"/>
                <w:color w:val="000000"/>
                <w:sz w:val="20"/>
                <w:szCs w:val="20"/>
              </w:rPr>
              <w:t>-R1 and COVID-R2</w:t>
            </w:r>
            <w:r w:rsidR="00405F0C">
              <w:rPr>
                <w:rFonts w:eastAsia="Times New Roman" w:cs="Calibri"/>
                <w:color w:val="000000"/>
                <w:sz w:val="20"/>
                <w:szCs w:val="20"/>
              </w:rPr>
              <w:t xml:space="preserve"> </w:t>
            </w:r>
            <w:r w:rsidR="00DA2EC6">
              <w:rPr>
                <w:rFonts w:eastAsia="Times New Roman" w:cs="Calibri"/>
                <w:color w:val="000000"/>
                <w:sz w:val="20"/>
                <w:szCs w:val="20"/>
              </w:rPr>
              <w:t>s</w:t>
            </w:r>
            <w:r w:rsidR="00405F0C">
              <w:rPr>
                <w:rFonts w:eastAsia="Times New Roman" w:cs="Calibri"/>
                <w:color w:val="000000"/>
                <w:sz w:val="20"/>
                <w:szCs w:val="20"/>
              </w:rPr>
              <w:t xml:space="preserve">urvey </w:t>
            </w:r>
            <w:r w:rsidR="00DA2EC6">
              <w:rPr>
                <w:rFonts w:eastAsia="Times New Roman" w:cs="Calibri"/>
                <w:color w:val="000000"/>
                <w:sz w:val="20"/>
                <w:szCs w:val="20"/>
              </w:rPr>
              <w:t>o</w:t>
            </w:r>
            <w:r w:rsidRPr="00C23CF7">
              <w:rPr>
                <w:rFonts w:eastAsia="Times New Roman" w:cs="Calibri"/>
                <w:color w:val="000000"/>
                <w:sz w:val="20"/>
                <w:szCs w:val="20"/>
              </w:rPr>
              <w:t>utcomes</w:t>
            </w:r>
          </w:p>
        </w:tc>
      </w:tr>
      <w:tr w:rsidR="00AD1F59" w:rsidRPr="00C23CF7" w14:paraId="5973938C" w14:textId="61053D19" w:rsidTr="001C4294">
        <w:trPr>
          <w:trHeight w:val="327"/>
          <w:tblHeader/>
          <w:jc w:val="center"/>
        </w:trPr>
        <w:tc>
          <w:tcPr>
            <w:tcW w:w="2610" w:type="dxa"/>
            <w:tcBorders>
              <w:top w:val="double" w:sz="4" w:space="0" w:color="auto"/>
              <w:left w:val="nil"/>
              <w:bottom w:val="single" w:sz="4" w:space="0" w:color="auto"/>
              <w:right w:val="nil"/>
            </w:tcBorders>
            <w:shd w:val="clear" w:color="auto" w:fill="auto"/>
            <w:vAlign w:val="center"/>
            <w:hideMark/>
          </w:tcPr>
          <w:p w14:paraId="272878CA" w14:textId="5A7ABC32" w:rsidR="00AD1F59" w:rsidRPr="00C23CF7" w:rsidRDefault="00AD1F59" w:rsidP="00180B80">
            <w:pPr>
              <w:spacing w:after="0" w:line="240" w:lineRule="auto"/>
              <w:rPr>
                <w:rFonts w:eastAsia="Times New Roman" w:cs="Calibri"/>
                <w:color w:val="000000"/>
                <w:sz w:val="20"/>
                <w:szCs w:val="20"/>
              </w:rPr>
            </w:pPr>
            <w:r w:rsidRPr="00C23CF7">
              <w:rPr>
                <w:rFonts w:eastAsia="Times New Roman" w:cs="Calibri"/>
                <w:color w:val="000000"/>
                <w:sz w:val="20"/>
                <w:szCs w:val="20"/>
              </w:rPr>
              <w:t>Outcome</w:t>
            </w:r>
          </w:p>
        </w:tc>
        <w:tc>
          <w:tcPr>
            <w:tcW w:w="1440" w:type="dxa"/>
            <w:tcBorders>
              <w:top w:val="double" w:sz="4" w:space="0" w:color="auto"/>
              <w:left w:val="nil"/>
              <w:bottom w:val="single" w:sz="4" w:space="0" w:color="auto"/>
              <w:right w:val="nil"/>
            </w:tcBorders>
            <w:shd w:val="clear" w:color="auto" w:fill="auto"/>
            <w:vAlign w:val="center"/>
            <w:hideMark/>
          </w:tcPr>
          <w:p w14:paraId="56AE9235" w14:textId="339E5B21" w:rsidR="00AD1F59" w:rsidRPr="00C23CF7" w:rsidRDefault="00AD1F59" w:rsidP="00180B80">
            <w:pPr>
              <w:spacing w:after="0" w:line="240" w:lineRule="auto"/>
              <w:rPr>
                <w:rFonts w:eastAsia="Times New Roman" w:cs="Calibri"/>
                <w:color w:val="000000"/>
                <w:sz w:val="20"/>
                <w:szCs w:val="20"/>
              </w:rPr>
            </w:pPr>
            <w:r w:rsidRPr="00C23CF7">
              <w:rPr>
                <w:rFonts w:eastAsia="Times New Roman" w:cs="Calibri"/>
                <w:color w:val="000000"/>
                <w:sz w:val="20"/>
                <w:szCs w:val="20"/>
              </w:rPr>
              <w:t>Respondent/</w:t>
            </w:r>
            <w:r w:rsidR="00C859C0">
              <w:rPr>
                <w:rFonts w:eastAsia="Times New Roman" w:cs="Calibri"/>
                <w:color w:val="000000"/>
                <w:sz w:val="20"/>
                <w:szCs w:val="20"/>
              </w:rPr>
              <w:t xml:space="preserve"> </w:t>
            </w:r>
            <w:r w:rsidRPr="00C23CF7">
              <w:rPr>
                <w:rFonts w:eastAsia="Times New Roman" w:cs="Calibri"/>
                <w:color w:val="000000"/>
                <w:sz w:val="20"/>
                <w:szCs w:val="20"/>
              </w:rPr>
              <w:t>Subgroup</w:t>
            </w:r>
          </w:p>
        </w:tc>
        <w:tc>
          <w:tcPr>
            <w:tcW w:w="6750" w:type="dxa"/>
            <w:tcBorders>
              <w:top w:val="double" w:sz="4" w:space="0" w:color="auto"/>
              <w:left w:val="nil"/>
              <w:bottom w:val="single" w:sz="4" w:space="0" w:color="auto"/>
              <w:right w:val="nil"/>
            </w:tcBorders>
            <w:shd w:val="clear" w:color="auto" w:fill="auto"/>
            <w:vAlign w:val="center"/>
          </w:tcPr>
          <w:p w14:paraId="2105CDB0" w14:textId="2DC77A96" w:rsidR="00AD1F59" w:rsidRPr="00C23CF7" w:rsidRDefault="00AD1F59" w:rsidP="00180B80">
            <w:pPr>
              <w:spacing w:after="0" w:line="240" w:lineRule="auto"/>
              <w:rPr>
                <w:rFonts w:eastAsia="Times New Roman" w:cs="Calibri"/>
                <w:color w:val="000000"/>
                <w:sz w:val="20"/>
                <w:szCs w:val="20"/>
              </w:rPr>
            </w:pPr>
            <w:r w:rsidRPr="00C23CF7">
              <w:rPr>
                <w:rFonts w:eastAsia="Times New Roman" w:cs="Calibri"/>
                <w:color w:val="000000"/>
                <w:sz w:val="20"/>
                <w:szCs w:val="20"/>
              </w:rPr>
              <w:t>Description of Outcome</w:t>
            </w:r>
          </w:p>
        </w:tc>
      </w:tr>
      <w:tr w:rsidR="00474057" w:rsidRPr="00C23CF7" w14:paraId="3ED3964C" w14:textId="301EFFF2" w:rsidTr="00C23CF7">
        <w:trPr>
          <w:trHeight w:val="327"/>
          <w:jc w:val="center"/>
        </w:trPr>
        <w:tc>
          <w:tcPr>
            <w:tcW w:w="10800" w:type="dxa"/>
            <w:gridSpan w:val="3"/>
            <w:tcBorders>
              <w:top w:val="single" w:sz="4" w:space="0" w:color="auto"/>
              <w:left w:val="nil"/>
              <w:bottom w:val="single" w:sz="2" w:space="0" w:color="auto"/>
              <w:right w:val="nil"/>
            </w:tcBorders>
            <w:shd w:val="clear" w:color="auto" w:fill="auto"/>
            <w:noWrap/>
            <w:vAlign w:val="center"/>
          </w:tcPr>
          <w:p w14:paraId="304DA841" w14:textId="4A4060B9" w:rsidR="00474057" w:rsidRPr="00C23CF7" w:rsidRDefault="00474057" w:rsidP="00180B80">
            <w:pPr>
              <w:spacing w:after="0" w:line="240" w:lineRule="auto"/>
              <w:rPr>
                <w:rFonts w:eastAsia="Times New Roman" w:cs="Calibri"/>
                <w:color w:val="000000"/>
                <w:sz w:val="20"/>
                <w:szCs w:val="20"/>
              </w:rPr>
            </w:pPr>
            <w:r w:rsidRPr="00C23CF7">
              <w:rPr>
                <w:rFonts w:eastAsia="Times New Roman" w:cs="Calibri"/>
                <w:color w:val="000000"/>
                <w:sz w:val="20"/>
                <w:szCs w:val="20"/>
              </w:rPr>
              <w:t>Disruption to services (Table 4)</w:t>
            </w:r>
          </w:p>
        </w:tc>
      </w:tr>
      <w:tr w:rsidR="00AD1F59" w:rsidRPr="00C23CF7" w14:paraId="2A569AED" w14:textId="77777777" w:rsidTr="001C4294">
        <w:trPr>
          <w:trHeight w:val="327"/>
          <w:jc w:val="center"/>
        </w:trPr>
        <w:tc>
          <w:tcPr>
            <w:tcW w:w="2610" w:type="dxa"/>
            <w:tcBorders>
              <w:top w:val="single" w:sz="2" w:space="0" w:color="auto"/>
              <w:left w:val="nil"/>
              <w:right w:val="nil"/>
            </w:tcBorders>
            <w:shd w:val="clear" w:color="auto" w:fill="auto"/>
            <w:noWrap/>
          </w:tcPr>
          <w:p w14:paraId="094CDF60" w14:textId="7FE07FCB" w:rsidR="00AD1F59" w:rsidRPr="00C23CF7" w:rsidRDefault="004774C1" w:rsidP="00C23CF7">
            <w:pPr>
              <w:spacing w:after="120" w:line="240" w:lineRule="auto"/>
              <w:rPr>
                <w:rFonts w:eastAsia="Times New Roman" w:cs="Calibri"/>
                <w:color w:val="000000"/>
                <w:sz w:val="20"/>
                <w:szCs w:val="20"/>
              </w:rPr>
            </w:pPr>
            <w:r w:rsidRPr="00C23CF7">
              <w:rPr>
                <w:rFonts w:ascii="Calibri" w:eastAsia="Times New Roman" w:hAnsi="Calibri" w:cs="Calibri"/>
                <w:color w:val="000000"/>
                <w:sz w:val="20"/>
                <w:szCs w:val="20"/>
              </w:rPr>
              <w:t>Household lost any employment due to pandemic</w:t>
            </w:r>
          </w:p>
        </w:tc>
        <w:tc>
          <w:tcPr>
            <w:tcW w:w="1440" w:type="dxa"/>
            <w:tcBorders>
              <w:top w:val="single" w:sz="2" w:space="0" w:color="auto"/>
              <w:left w:val="nil"/>
              <w:right w:val="nil"/>
            </w:tcBorders>
            <w:shd w:val="clear" w:color="auto" w:fill="auto"/>
            <w:noWrap/>
          </w:tcPr>
          <w:p w14:paraId="6522123B" w14:textId="16121160" w:rsidR="00AD1F59" w:rsidRPr="00C23CF7" w:rsidRDefault="00F56BEA" w:rsidP="00C859C0">
            <w:pPr>
              <w:spacing w:after="120" w:line="240" w:lineRule="auto"/>
              <w:rPr>
                <w:rFonts w:eastAsia="Times New Roman" w:cs="Calibri"/>
                <w:color w:val="000000"/>
                <w:sz w:val="20"/>
                <w:szCs w:val="20"/>
              </w:rPr>
            </w:pPr>
            <w:r w:rsidRPr="00C23CF7">
              <w:rPr>
                <w:rFonts w:eastAsia="Times New Roman" w:cs="Calibri"/>
                <w:color w:val="000000"/>
                <w:sz w:val="20"/>
                <w:szCs w:val="20"/>
              </w:rPr>
              <w:t>Adult female caregiver*</w:t>
            </w:r>
          </w:p>
        </w:tc>
        <w:tc>
          <w:tcPr>
            <w:tcW w:w="6750" w:type="dxa"/>
            <w:tcBorders>
              <w:top w:val="single" w:sz="2" w:space="0" w:color="auto"/>
              <w:left w:val="nil"/>
              <w:right w:val="nil"/>
            </w:tcBorders>
            <w:shd w:val="clear" w:color="auto" w:fill="auto"/>
            <w:noWrap/>
          </w:tcPr>
          <w:p w14:paraId="67224FA7" w14:textId="7F0CA8DB" w:rsidR="00AD1F59" w:rsidRPr="00C23CF7" w:rsidRDefault="001B4CC9" w:rsidP="00C23CF7">
            <w:pPr>
              <w:spacing w:after="120" w:line="240" w:lineRule="auto"/>
              <w:rPr>
                <w:rFonts w:eastAsia="Times New Roman" w:cs="Calibri"/>
                <w:color w:val="000000"/>
                <w:sz w:val="20"/>
                <w:szCs w:val="20"/>
              </w:rPr>
            </w:pPr>
            <w:r>
              <w:rPr>
                <w:rFonts w:eastAsia="Times New Roman" w:cs="Calibri"/>
                <w:color w:val="000000"/>
                <w:sz w:val="20"/>
                <w:szCs w:val="20"/>
              </w:rPr>
              <w:t xml:space="preserve">Indicates </w:t>
            </w:r>
            <w:r w:rsidR="00F56BEA" w:rsidRPr="00C23CF7">
              <w:rPr>
                <w:rFonts w:eastAsia="Times New Roman" w:cs="Calibri"/>
                <w:color w:val="000000"/>
                <w:sz w:val="20"/>
                <w:szCs w:val="20"/>
              </w:rPr>
              <w:t>whether any household member lost employment</w:t>
            </w:r>
            <w:r>
              <w:rPr>
                <w:rFonts w:eastAsia="Times New Roman" w:cs="Calibri"/>
                <w:color w:val="000000"/>
                <w:sz w:val="20"/>
                <w:szCs w:val="20"/>
              </w:rPr>
              <w:t xml:space="preserve"> (including self-employment)</w:t>
            </w:r>
            <w:r w:rsidR="00F56BEA" w:rsidRPr="00C23CF7">
              <w:rPr>
                <w:rFonts w:eastAsia="Times New Roman" w:cs="Calibri"/>
                <w:color w:val="000000"/>
                <w:sz w:val="20"/>
                <w:szCs w:val="20"/>
              </w:rPr>
              <w:t xml:space="preserve"> due to the pandemic and subsequent control measures, either temporarily or permanently. Note that households where no one was working prior to the pandemic are considered to not have lost any employment. </w:t>
            </w:r>
          </w:p>
        </w:tc>
      </w:tr>
      <w:tr w:rsidR="00AD1F59" w:rsidRPr="00C23CF7" w14:paraId="24A22454" w14:textId="77777777" w:rsidTr="001C4294">
        <w:trPr>
          <w:trHeight w:val="327"/>
          <w:jc w:val="center"/>
        </w:trPr>
        <w:tc>
          <w:tcPr>
            <w:tcW w:w="2610" w:type="dxa"/>
            <w:tcBorders>
              <w:left w:val="nil"/>
              <w:right w:val="nil"/>
            </w:tcBorders>
            <w:shd w:val="clear" w:color="auto" w:fill="auto"/>
            <w:noWrap/>
          </w:tcPr>
          <w:p w14:paraId="77CF535C" w14:textId="165982D6" w:rsidR="00AD1F59" w:rsidRPr="00C23CF7" w:rsidRDefault="004774C1" w:rsidP="00C23CF7">
            <w:pPr>
              <w:spacing w:after="120" w:line="240" w:lineRule="auto"/>
              <w:rPr>
                <w:rFonts w:eastAsia="Times New Roman" w:cs="Calibri"/>
                <w:color w:val="000000"/>
                <w:sz w:val="20"/>
                <w:szCs w:val="20"/>
              </w:rPr>
            </w:pPr>
            <w:r w:rsidRPr="00C23CF7">
              <w:rPr>
                <w:rFonts w:ascii="Calibri" w:eastAsia="Times New Roman" w:hAnsi="Calibri" w:cs="Calibri"/>
                <w:color w:val="000000"/>
                <w:sz w:val="20"/>
                <w:szCs w:val="20"/>
              </w:rPr>
              <w:t>Household lost any income due to pandemic</w:t>
            </w:r>
          </w:p>
        </w:tc>
        <w:tc>
          <w:tcPr>
            <w:tcW w:w="1440" w:type="dxa"/>
            <w:tcBorders>
              <w:left w:val="nil"/>
              <w:right w:val="nil"/>
            </w:tcBorders>
            <w:shd w:val="clear" w:color="auto" w:fill="auto"/>
            <w:noWrap/>
          </w:tcPr>
          <w:p w14:paraId="67BDDC17" w14:textId="5845F92C" w:rsidR="00AD1F59" w:rsidRPr="00C23CF7" w:rsidRDefault="00F56BEA" w:rsidP="00C859C0">
            <w:pPr>
              <w:spacing w:after="120" w:line="240" w:lineRule="auto"/>
              <w:rPr>
                <w:rFonts w:eastAsia="Times New Roman" w:cs="Calibri"/>
                <w:color w:val="000000"/>
                <w:sz w:val="20"/>
                <w:szCs w:val="20"/>
              </w:rPr>
            </w:pPr>
            <w:r w:rsidRPr="00C23CF7">
              <w:rPr>
                <w:rFonts w:eastAsia="Times New Roman" w:cs="Calibri"/>
                <w:color w:val="000000"/>
                <w:sz w:val="20"/>
                <w:szCs w:val="20"/>
              </w:rPr>
              <w:t>Adult female caregiver*</w:t>
            </w:r>
          </w:p>
        </w:tc>
        <w:tc>
          <w:tcPr>
            <w:tcW w:w="6750" w:type="dxa"/>
            <w:tcBorders>
              <w:left w:val="nil"/>
              <w:right w:val="nil"/>
            </w:tcBorders>
            <w:shd w:val="clear" w:color="auto" w:fill="auto"/>
            <w:noWrap/>
          </w:tcPr>
          <w:p w14:paraId="79B15F4E" w14:textId="7768803D" w:rsidR="00AD1F59" w:rsidRPr="00C23CF7" w:rsidRDefault="001B4CC9" w:rsidP="00C23CF7">
            <w:pPr>
              <w:spacing w:after="120" w:line="240" w:lineRule="auto"/>
              <w:rPr>
                <w:rFonts w:eastAsia="Times New Roman" w:cs="Calibri"/>
                <w:color w:val="000000"/>
                <w:sz w:val="20"/>
                <w:szCs w:val="20"/>
              </w:rPr>
            </w:pPr>
            <w:r>
              <w:rPr>
                <w:rFonts w:eastAsia="Times New Roman" w:cs="Calibri"/>
                <w:color w:val="000000"/>
                <w:sz w:val="20"/>
                <w:szCs w:val="20"/>
              </w:rPr>
              <w:t>Indicates</w:t>
            </w:r>
            <w:r w:rsidR="00F56BEA" w:rsidRPr="00C23CF7">
              <w:rPr>
                <w:rFonts w:eastAsia="Times New Roman" w:cs="Calibri"/>
                <w:color w:val="000000"/>
                <w:sz w:val="20"/>
                <w:szCs w:val="20"/>
              </w:rPr>
              <w:t xml:space="preserve"> whether the household lost any income due to the pandemic, where answer options include “all,” “most,” “some,” or “none.”</w:t>
            </w:r>
          </w:p>
        </w:tc>
      </w:tr>
      <w:tr w:rsidR="00AD1F59" w:rsidRPr="00C23CF7" w14:paraId="4FF98D13" w14:textId="77777777" w:rsidTr="00180B80">
        <w:trPr>
          <w:trHeight w:val="462"/>
          <w:jc w:val="center"/>
        </w:trPr>
        <w:tc>
          <w:tcPr>
            <w:tcW w:w="2610" w:type="dxa"/>
            <w:tcBorders>
              <w:left w:val="nil"/>
              <w:right w:val="nil"/>
            </w:tcBorders>
            <w:shd w:val="clear" w:color="auto" w:fill="auto"/>
            <w:noWrap/>
          </w:tcPr>
          <w:p w14:paraId="3037E033" w14:textId="16FE4514" w:rsidR="00AD1F59" w:rsidRPr="00C23CF7" w:rsidRDefault="004774C1" w:rsidP="00C23CF7">
            <w:pPr>
              <w:spacing w:after="120" w:line="240" w:lineRule="auto"/>
              <w:rPr>
                <w:rFonts w:eastAsia="Times New Roman" w:cs="Calibri"/>
                <w:color w:val="000000"/>
                <w:sz w:val="20"/>
                <w:szCs w:val="20"/>
              </w:rPr>
            </w:pPr>
            <w:r w:rsidRPr="00C23CF7">
              <w:rPr>
                <w:rFonts w:eastAsia="Times New Roman" w:cs="Calibri"/>
                <w:color w:val="000000"/>
                <w:sz w:val="20"/>
                <w:szCs w:val="20"/>
              </w:rPr>
              <w:t>Household unable to buy essential food items in last week</w:t>
            </w:r>
          </w:p>
        </w:tc>
        <w:tc>
          <w:tcPr>
            <w:tcW w:w="1440" w:type="dxa"/>
            <w:tcBorders>
              <w:left w:val="nil"/>
              <w:right w:val="nil"/>
            </w:tcBorders>
            <w:shd w:val="clear" w:color="auto" w:fill="auto"/>
            <w:noWrap/>
          </w:tcPr>
          <w:p w14:paraId="6AA0C989" w14:textId="0F74E58E" w:rsidR="00AD1F59" w:rsidRPr="00C23CF7" w:rsidRDefault="00F56BEA" w:rsidP="00C859C0">
            <w:pPr>
              <w:spacing w:after="120" w:line="240" w:lineRule="auto"/>
              <w:rPr>
                <w:rFonts w:eastAsia="Times New Roman" w:cs="Calibri"/>
                <w:color w:val="000000"/>
                <w:sz w:val="20"/>
                <w:szCs w:val="20"/>
              </w:rPr>
            </w:pPr>
            <w:r w:rsidRPr="00C23CF7">
              <w:rPr>
                <w:rFonts w:eastAsia="Times New Roman" w:cs="Calibri"/>
                <w:color w:val="000000"/>
                <w:sz w:val="20"/>
                <w:szCs w:val="20"/>
              </w:rPr>
              <w:t>Adult female caregiver*</w:t>
            </w:r>
          </w:p>
        </w:tc>
        <w:tc>
          <w:tcPr>
            <w:tcW w:w="6750" w:type="dxa"/>
            <w:tcBorders>
              <w:left w:val="nil"/>
              <w:right w:val="nil"/>
            </w:tcBorders>
            <w:shd w:val="clear" w:color="auto" w:fill="auto"/>
            <w:noWrap/>
          </w:tcPr>
          <w:p w14:paraId="356071C6" w14:textId="43BB63E3" w:rsidR="00AD1F59" w:rsidRPr="00C23CF7" w:rsidRDefault="0079219D" w:rsidP="00C23CF7">
            <w:pPr>
              <w:spacing w:after="120" w:line="240" w:lineRule="auto"/>
              <w:rPr>
                <w:rFonts w:eastAsia="Times New Roman" w:cs="Calibri"/>
                <w:color w:val="000000"/>
                <w:sz w:val="20"/>
                <w:szCs w:val="20"/>
              </w:rPr>
            </w:pPr>
            <w:r>
              <w:rPr>
                <w:rFonts w:eastAsia="Times New Roman" w:cs="Calibri"/>
                <w:color w:val="000000"/>
                <w:sz w:val="20"/>
                <w:szCs w:val="20"/>
              </w:rPr>
              <w:t>Adapted from the Yale COVID-19 survey [</w:t>
            </w:r>
            <w:r w:rsidR="007E7D2A">
              <w:rPr>
                <w:rFonts w:eastAsia="Times New Roman" w:cs="Calibri"/>
                <w:color w:val="000000"/>
                <w:sz w:val="20"/>
                <w:szCs w:val="20"/>
              </w:rPr>
              <w:t>1]</w:t>
            </w:r>
            <w:r>
              <w:rPr>
                <w:rFonts w:eastAsia="Times New Roman" w:cs="Calibri"/>
                <w:color w:val="000000"/>
                <w:sz w:val="20"/>
                <w:szCs w:val="20"/>
              </w:rPr>
              <w:t>, this outcome i</w:t>
            </w:r>
            <w:r w:rsidR="001B4CC9">
              <w:rPr>
                <w:rFonts w:eastAsia="Times New Roman" w:cs="Calibri"/>
                <w:color w:val="000000"/>
                <w:sz w:val="20"/>
                <w:szCs w:val="20"/>
              </w:rPr>
              <w:t xml:space="preserve">ndicates </w:t>
            </w:r>
            <w:r w:rsidR="00F56BEA" w:rsidRPr="00C23CF7">
              <w:rPr>
                <w:rFonts w:eastAsia="Times New Roman" w:cs="Calibri"/>
                <w:color w:val="000000"/>
                <w:sz w:val="20"/>
                <w:szCs w:val="20"/>
              </w:rPr>
              <w:t xml:space="preserve">whether the respondent was able to buy all essential food items needed in the last 7 days prior to the survey. </w:t>
            </w:r>
          </w:p>
        </w:tc>
      </w:tr>
      <w:tr w:rsidR="00AD1F59" w:rsidRPr="00C23CF7" w14:paraId="148CAC7D" w14:textId="77777777" w:rsidTr="001C4294">
        <w:trPr>
          <w:trHeight w:val="327"/>
          <w:jc w:val="center"/>
        </w:trPr>
        <w:tc>
          <w:tcPr>
            <w:tcW w:w="2610" w:type="dxa"/>
            <w:tcBorders>
              <w:left w:val="nil"/>
              <w:right w:val="nil"/>
            </w:tcBorders>
            <w:shd w:val="clear" w:color="auto" w:fill="auto"/>
            <w:noWrap/>
          </w:tcPr>
          <w:p w14:paraId="1082747D" w14:textId="130F4F64" w:rsidR="00AD1F59" w:rsidRPr="00C23CF7" w:rsidRDefault="004774C1" w:rsidP="00C23CF7">
            <w:pPr>
              <w:spacing w:after="120" w:line="240" w:lineRule="auto"/>
              <w:rPr>
                <w:rFonts w:eastAsia="Times New Roman" w:cs="Calibri"/>
                <w:color w:val="000000"/>
                <w:sz w:val="20"/>
                <w:szCs w:val="20"/>
              </w:rPr>
            </w:pPr>
            <w:r w:rsidRPr="00C23CF7">
              <w:rPr>
                <w:rFonts w:eastAsia="Times New Roman" w:cs="Calibri"/>
                <w:color w:val="000000"/>
                <w:sz w:val="20"/>
                <w:szCs w:val="20"/>
              </w:rPr>
              <w:t>Household severely food insecure (FIAS)</w:t>
            </w:r>
          </w:p>
        </w:tc>
        <w:tc>
          <w:tcPr>
            <w:tcW w:w="1440" w:type="dxa"/>
            <w:tcBorders>
              <w:left w:val="nil"/>
              <w:right w:val="nil"/>
            </w:tcBorders>
            <w:shd w:val="clear" w:color="auto" w:fill="auto"/>
            <w:noWrap/>
          </w:tcPr>
          <w:p w14:paraId="77BBA47E" w14:textId="12972087" w:rsidR="00AD1F59" w:rsidRPr="00C23CF7" w:rsidRDefault="00F56BEA" w:rsidP="00C859C0">
            <w:pPr>
              <w:spacing w:after="120" w:line="240" w:lineRule="auto"/>
              <w:rPr>
                <w:rFonts w:eastAsia="Times New Roman" w:cs="Calibri"/>
                <w:color w:val="000000"/>
                <w:sz w:val="20"/>
                <w:szCs w:val="20"/>
              </w:rPr>
            </w:pPr>
            <w:r w:rsidRPr="00C23CF7">
              <w:rPr>
                <w:rFonts w:eastAsia="Times New Roman" w:cs="Calibri"/>
                <w:color w:val="000000"/>
                <w:sz w:val="20"/>
                <w:szCs w:val="20"/>
              </w:rPr>
              <w:t>Adult female caregiver*</w:t>
            </w:r>
          </w:p>
        </w:tc>
        <w:tc>
          <w:tcPr>
            <w:tcW w:w="6750" w:type="dxa"/>
            <w:tcBorders>
              <w:left w:val="nil"/>
              <w:right w:val="nil"/>
            </w:tcBorders>
            <w:shd w:val="clear" w:color="auto" w:fill="auto"/>
            <w:noWrap/>
          </w:tcPr>
          <w:p w14:paraId="74A261BE" w14:textId="7725D4FC" w:rsidR="00AD1F59" w:rsidRPr="00C23CF7" w:rsidRDefault="00C859C0" w:rsidP="00C23CF7">
            <w:pPr>
              <w:spacing w:after="120" w:line="240" w:lineRule="auto"/>
              <w:rPr>
                <w:rFonts w:eastAsia="Times New Roman" w:cs="Calibri"/>
                <w:color w:val="000000"/>
                <w:sz w:val="20"/>
                <w:szCs w:val="20"/>
              </w:rPr>
            </w:pPr>
            <w:r>
              <w:rPr>
                <w:rFonts w:eastAsia="Times New Roman" w:cs="Calibri"/>
                <w:color w:val="000000"/>
                <w:sz w:val="20"/>
                <w:szCs w:val="20"/>
              </w:rPr>
              <w:t>This indicator relies on the Food Insecurity Access Scale (FIAS), which asks a series of questions about household food insecurity during the last 4 weeks</w:t>
            </w:r>
            <w:r w:rsidR="0010049E">
              <w:rPr>
                <w:rFonts w:eastAsia="Times New Roman" w:cs="Calibri"/>
                <w:color w:val="000000"/>
                <w:sz w:val="20"/>
                <w:szCs w:val="20"/>
              </w:rPr>
              <w:t xml:space="preserve"> [2]</w:t>
            </w:r>
            <w:r>
              <w:rPr>
                <w:rFonts w:eastAsia="Times New Roman" w:cs="Calibri"/>
                <w:color w:val="000000"/>
                <w:sz w:val="20"/>
                <w:szCs w:val="20"/>
              </w:rPr>
              <w:t xml:space="preserve">. A shortened version of the scale used in the GAGE COVID-19 survey uses 3 questions on food insecurity experiences—each followed by a question about frequency of the experience. The shortened FIAS is scored on a scale of 0 – 9, where a score of 1 or higher indicates severe food insecurity. </w:t>
            </w:r>
          </w:p>
        </w:tc>
      </w:tr>
      <w:tr w:rsidR="00AD1F59" w:rsidRPr="00C23CF7" w14:paraId="3D280642" w14:textId="77777777" w:rsidTr="001C4294">
        <w:trPr>
          <w:trHeight w:val="327"/>
          <w:jc w:val="center"/>
        </w:trPr>
        <w:tc>
          <w:tcPr>
            <w:tcW w:w="2610" w:type="dxa"/>
            <w:tcBorders>
              <w:left w:val="nil"/>
              <w:right w:val="nil"/>
            </w:tcBorders>
            <w:shd w:val="clear" w:color="auto" w:fill="auto"/>
            <w:noWrap/>
          </w:tcPr>
          <w:p w14:paraId="7E655C5B" w14:textId="32CA0144" w:rsidR="00AD1F59" w:rsidRPr="0010049E" w:rsidRDefault="004774C1" w:rsidP="00C859C0">
            <w:pPr>
              <w:spacing w:after="120" w:line="240" w:lineRule="auto"/>
              <w:rPr>
                <w:rFonts w:eastAsia="Times New Roman" w:cs="Calibri"/>
                <w:color w:val="000000"/>
                <w:sz w:val="20"/>
                <w:szCs w:val="20"/>
              </w:rPr>
            </w:pPr>
            <w:r w:rsidRPr="0010049E">
              <w:rPr>
                <w:rFonts w:eastAsia="Times New Roman" w:cs="Calibri"/>
                <w:color w:val="000000"/>
                <w:sz w:val="20"/>
                <w:szCs w:val="20"/>
              </w:rPr>
              <w:t xml:space="preserve">Adolescent unable to access healthcare due to pandemic </w:t>
            </w:r>
          </w:p>
        </w:tc>
        <w:tc>
          <w:tcPr>
            <w:tcW w:w="1440" w:type="dxa"/>
            <w:tcBorders>
              <w:left w:val="nil"/>
              <w:right w:val="nil"/>
            </w:tcBorders>
            <w:shd w:val="clear" w:color="auto" w:fill="auto"/>
            <w:noWrap/>
          </w:tcPr>
          <w:p w14:paraId="1194FE1B" w14:textId="483604FD" w:rsidR="00AD1F59" w:rsidRPr="0010049E" w:rsidRDefault="00F56BEA" w:rsidP="00C859C0">
            <w:pPr>
              <w:spacing w:after="120" w:line="240" w:lineRule="auto"/>
              <w:rPr>
                <w:rFonts w:eastAsia="Times New Roman" w:cs="Calibri"/>
                <w:color w:val="000000"/>
                <w:sz w:val="20"/>
                <w:szCs w:val="20"/>
              </w:rPr>
            </w:pPr>
            <w:r w:rsidRPr="0010049E">
              <w:rPr>
                <w:rFonts w:eastAsia="Times New Roman" w:cs="Calibri"/>
                <w:color w:val="000000"/>
                <w:sz w:val="20"/>
                <w:szCs w:val="20"/>
              </w:rPr>
              <w:t>Adolescent respondent</w:t>
            </w:r>
            <w:r w:rsidR="00701EEE" w:rsidRPr="0010049E">
              <w:rPr>
                <w:rFonts w:eastAsia="Times New Roman" w:cs="Calibri"/>
                <w:color w:val="000000"/>
                <w:sz w:val="20"/>
                <w:szCs w:val="20"/>
              </w:rPr>
              <w:t>s who reported needing healthcare</w:t>
            </w:r>
          </w:p>
        </w:tc>
        <w:tc>
          <w:tcPr>
            <w:tcW w:w="6750" w:type="dxa"/>
            <w:tcBorders>
              <w:left w:val="nil"/>
              <w:right w:val="nil"/>
            </w:tcBorders>
            <w:shd w:val="clear" w:color="auto" w:fill="auto"/>
            <w:noWrap/>
          </w:tcPr>
          <w:p w14:paraId="1BE50CC8" w14:textId="49FEE4F4" w:rsidR="00AD1F59" w:rsidRPr="0010049E" w:rsidRDefault="00180B80" w:rsidP="00C23CF7">
            <w:pPr>
              <w:spacing w:after="120" w:line="240" w:lineRule="auto"/>
              <w:rPr>
                <w:rFonts w:eastAsia="Times New Roman" w:cs="Calibri"/>
                <w:color w:val="000000"/>
                <w:sz w:val="20"/>
                <w:szCs w:val="20"/>
              </w:rPr>
            </w:pPr>
            <w:r w:rsidRPr="0010049E">
              <w:rPr>
                <w:rFonts w:eastAsia="Times New Roman" w:cs="Calibri"/>
                <w:color w:val="000000"/>
                <w:sz w:val="20"/>
                <w:szCs w:val="20"/>
              </w:rPr>
              <w:t>Adapted from the EMERGE COVID-19 and Gender Survey Questions instrument</w:t>
            </w:r>
            <w:r w:rsidR="0010049E" w:rsidRPr="0010049E">
              <w:rPr>
                <w:rFonts w:eastAsia="Times New Roman" w:cs="Calibri"/>
                <w:color w:val="000000"/>
                <w:sz w:val="20"/>
                <w:szCs w:val="20"/>
              </w:rPr>
              <w:t xml:space="preserve"> [</w:t>
            </w:r>
            <w:r w:rsidR="007E7D2A">
              <w:rPr>
                <w:rFonts w:eastAsia="Times New Roman" w:cs="Calibri"/>
                <w:color w:val="000000"/>
                <w:sz w:val="20"/>
                <w:szCs w:val="20"/>
              </w:rPr>
              <w:t>3</w:t>
            </w:r>
            <w:r w:rsidR="0010049E" w:rsidRPr="0010049E">
              <w:rPr>
                <w:rFonts w:eastAsia="Times New Roman" w:cs="Calibri"/>
                <w:color w:val="000000"/>
                <w:sz w:val="20"/>
                <w:szCs w:val="20"/>
              </w:rPr>
              <w:t>]</w:t>
            </w:r>
            <w:r w:rsidRPr="0010049E">
              <w:rPr>
                <w:rFonts w:eastAsia="Times New Roman" w:cs="Calibri"/>
                <w:color w:val="000000"/>
                <w:sz w:val="20"/>
                <w:szCs w:val="20"/>
              </w:rPr>
              <w:t xml:space="preserve">, this indicator identifies the adolescents who reported needing to see a doctor or healthcare provider or to obtain medication at any point since the pandemic began (March 2020), but were </w:t>
            </w:r>
            <w:r w:rsidRPr="0010049E">
              <w:rPr>
                <w:rFonts w:eastAsia="Times New Roman" w:cs="Calibri"/>
                <w:i/>
                <w:iCs/>
                <w:color w:val="000000"/>
                <w:sz w:val="20"/>
                <w:szCs w:val="20"/>
              </w:rPr>
              <w:t>not</w:t>
            </w:r>
            <w:r w:rsidRPr="0010049E">
              <w:rPr>
                <w:rFonts w:eastAsia="Times New Roman" w:cs="Calibri"/>
                <w:color w:val="000000"/>
                <w:sz w:val="20"/>
                <w:szCs w:val="20"/>
              </w:rPr>
              <w:t xml:space="preserve"> able to do so due because of pandemic-related obstacles including, for example, government restrictions on travel and mobility, closure of or restrictions on access to healthcare facilities, fear of becoming sick with COVID-19, or fear of being perceived as sick with COVID-19 by visiting a healthcare facility, among other reasons. </w:t>
            </w:r>
          </w:p>
        </w:tc>
      </w:tr>
      <w:tr w:rsidR="00AD1F59" w:rsidRPr="00C23CF7" w14:paraId="6733731E" w14:textId="77777777" w:rsidTr="001C4294">
        <w:trPr>
          <w:trHeight w:val="327"/>
          <w:jc w:val="center"/>
        </w:trPr>
        <w:tc>
          <w:tcPr>
            <w:tcW w:w="2610" w:type="dxa"/>
            <w:tcBorders>
              <w:left w:val="nil"/>
              <w:bottom w:val="single" w:sz="2" w:space="0" w:color="auto"/>
              <w:right w:val="nil"/>
            </w:tcBorders>
            <w:shd w:val="clear" w:color="auto" w:fill="auto"/>
            <w:noWrap/>
          </w:tcPr>
          <w:p w14:paraId="48D3983B" w14:textId="6EB653C5" w:rsidR="00AD1F59" w:rsidRPr="00C23CF7" w:rsidRDefault="004774C1" w:rsidP="00C23CF7">
            <w:pPr>
              <w:spacing w:after="120" w:line="240" w:lineRule="auto"/>
              <w:rPr>
                <w:rFonts w:eastAsia="Times New Roman" w:cs="Calibri"/>
                <w:color w:val="000000"/>
                <w:sz w:val="20"/>
                <w:szCs w:val="20"/>
              </w:rPr>
            </w:pPr>
            <w:r w:rsidRPr="00C23CF7">
              <w:rPr>
                <w:rFonts w:eastAsia="Times New Roman" w:cs="Calibri"/>
                <w:color w:val="000000"/>
                <w:sz w:val="20"/>
                <w:szCs w:val="20"/>
              </w:rPr>
              <w:t>Adolescent self-reported hunger in last 4 weeks</w:t>
            </w:r>
          </w:p>
        </w:tc>
        <w:tc>
          <w:tcPr>
            <w:tcW w:w="1440" w:type="dxa"/>
            <w:tcBorders>
              <w:left w:val="nil"/>
              <w:bottom w:val="single" w:sz="2" w:space="0" w:color="auto"/>
              <w:right w:val="nil"/>
            </w:tcBorders>
            <w:shd w:val="clear" w:color="auto" w:fill="auto"/>
            <w:noWrap/>
          </w:tcPr>
          <w:p w14:paraId="7883EBD1" w14:textId="1A0052A6" w:rsidR="00AD1F59" w:rsidRPr="00C23CF7" w:rsidRDefault="00F56BEA" w:rsidP="00C859C0">
            <w:pPr>
              <w:spacing w:after="120" w:line="240" w:lineRule="auto"/>
              <w:rPr>
                <w:rFonts w:eastAsia="Times New Roman" w:cs="Calibri"/>
                <w:color w:val="000000"/>
                <w:sz w:val="20"/>
                <w:szCs w:val="20"/>
              </w:rPr>
            </w:pPr>
            <w:r w:rsidRPr="00C23CF7">
              <w:rPr>
                <w:rFonts w:eastAsia="Times New Roman" w:cs="Calibri"/>
                <w:color w:val="000000"/>
                <w:sz w:val="20"/>
                <w:szCs w:val="20"/>
              </w:rPr>
              <w:t>Adolescent respondent</w:t>
            </w:r>
          </w:p>
        </w:tc>
        <w:tc>
          <w:tcPr>
            <w:tcW w:w="6750" w:type="dxa"/>
            <w:tcBorders>
              <w:left w:val="nil"/>
              <w:bottom w:val="single" w:sz="2" w:space="0" w:color="auto"/>
              <w:right w:val="nil"/>
            </w:tcBorders>
            <w:shd w:val="clear" w:color="auto" w:fill="auto"/>
            <w:noWrap/>
          </w:tcPr>
          <w:p w14:paraId="77FAAFB4" w14:textId="4298AF4B" w:rsidR="00AD1F59" w:rsidRPr="00C23CF7" w:rsidRDefault="007404A3" w:rsidP="00C23CF7">
            <w:pPr>
              <w:spacing w:after="120" w:line="240" w:lineRule="auto"/>
              <w:rPr>
                <w:rFonts w:eastAsia="Times New Roman" w:cs="Calibri"/>
                <w:color w:val="000000"/>
                <w:sz w:val="20"/>
                <w:szCs w:val="20"/>
              </w:rPr>
            </w:pPr>
            <w:r>
              <w:rPr>
                <w:rFonts w:eastAsia="Times New Roman" w:cs="Calibri"/>
                <w:color w:val="000000"/>
                <w:sz w:val="20"/>
                <w:szCs w:val="20"/>
              </w:rPr>
              <w:t xml:space="preserve">This </w:t>
            </w:r>
            <w:r w:rsidR="00EB060B">
              <w:rPr>
                <w:rFonts w:eastAsia="Times New Roman" w:cs="Calibri"/>
                <w:color w:val="000000"/>
                <w:sz w:val="20"/>
                <w:szCs w:val="20"/>
              </w:rPr>
              <w:t>measure captures the adolescent’s response to the following statement</w:t>
            </w:r>
            <w:r w:rsidR="00BA59D0">
              <w:rPr>
                <w:rFonts w:eastAsia="Times New Roman" w:cs="Calibri"/>
                <w:color w:val="000000"/>
                <w:sz w:val="20"/>
                <w:szCs w:val="20"/>
              </w:rPr>
              <w:t>:</w:t>
            </w:r>
            <w:r w:rsidR="00EB060B">
              <w:rPr>
                <w:rFonts w:eastAsia="Times New Roman" w:cs="Calibri"/>
                <w:color w:val="000000"/>
                <w:sz w:val="20"/>
                <w:szCs w:val="20"/>
              </w:rPr>
              <w:t xml:space="preserve"> </w:t>
            </w:r>
            <w:r w:rsidR="00EB060B" w:rsidRPr="00BA59D0">
              <w:rPr>
                <w:rFonts w:eastAsia="Times New Roman" w:cs="Calibri"/>
                <w:i/>
                <w:iCs/>
                <w:color w:val="000000"/>
                <w:sz w:val="20"/>
                <w:szCs w:val="20"/>
              </w:rPr>
              <w:t>“Now I am going to read you a statement that some young people have made about their food situation.  I feel hungry, because there is not enough food to eat. In the last four weeks, this has happened…”</w:t>
            </w:r>
            <w:r w:rsidR="00BA59D0">
              <w:rPr>
                <w:rFonts w:eastAsia="Times New Roman" w:cs="Calibri"/>
                <w:color w:val="000000"/>
                <w:sz w:val="20"/>
                <w:szCs w:val="20"/>
              </w:rPr>
              <w:t>, w</w:t>
            </w:r>
            <w:r w:rsidR="00EB060B">
              <w:rPr>
                <w:rFonts w:eastAsia="Times New Roman" w:cs="Calibri"/>
                <w:color w:val="000000"/>
                <w:sz w:val="20"/>
                <w:szCs w:val="20"/>
              </w:rPr>
              <w:t>here answer options include “m</w:t>
            </w:r>
            <w:r w:rsidR="00BA59D0">
              <w:rPr>
                <w:rFonts w:eastAsia="Times New Roman" w:cs="Calibri"/>
                <w:color w:val="000000"/>
                <w:sz w:val="20"/>
                <w:szCs w:val="20"/>
              </w:rPr>
              <w:t>any times/more than 2 times</w:t>
            </w:r>
            <w:r w:rsidR="00EB060B">
              <w:rPr>
                <w:rFonts w:eastAsia="Times New Roman" w:cs="Calibri"/>
                <w:color w:val="000000"/>
                <w:sz w:val="20"/>
                <w:szCs w:val="20"/>
              </w:rPr>
              <w:t>,” “</w:t>
            </w:r>
            <w:r w:rsidR="00BA59D0">
              <w:rPr>
                <w:rFonts w:eastAsia="Times New Roman" w:cs="Calibri"/>
                <w:color w:val="000000"/>
                <w:sz w:val="20"/>
                <w:szCs w:val="20"/>
              </w:rPr>
              <w:t>1 or 2 times</w:t>
            </w:r>
            <w:r w:rsidR="00EB060B">
              <w:rPr>
                <w:rFonts w:eastAsia="Times New Roman" w:cs="Calibri"/>
                <w:color w:val="000000"/>
                <w:sz w:val="20"/>
                <w:szCs w:val="20"/>
              </w:rPr>
              <w:t>” and “</w:t>
            </w:r>
            <w:r w:rsidR="00BA59D0">
              <w:rPr>
                <w:rFonts w:eastAsia="Times New Roman" w:cs="Calibri"/>
                <w:color w:val="000000"/>
                <w:sz w:val="20"/>
                <w:szCs w:val="20"/>
              </w:rPr>
              <w:t>never</w:t>
            </w:r>
            <w:r w:rsidR="00EB060B">
              <w:rPr>
                <w:rFonts w:eastAsia="Times New Roman" w:cs="Calibri"/>
                <w:color w:val="000000"/>
                <w:sz w:val="20"/>
                <w:szCs w:val="20"/>
              </w:rPr>
              <w:t>.”</w:t>
            </w:r>
          </w:p>
        </w:tc>
      </w:tr>
      <w:tr w:rsidR="00474057" w:rsidRPr="00C23CF7" w14:paraId="7B3E6890" w14:textId="77777777" w:rsidTr="00C23CF7">
        <w:trPr>
          <w:trHeight w:val="327"/>
          <w:jc w:val="center"/>
        </w:trPr>
        <w:tc>
          <w:tcPr>
            <w:tcW w:w="10800" w:type="dxa"/>
            <w:gridSpan w:val="3"/>
            <w:tcBorders>
              <w:top w:val="single" w:sz="2" w:space="0" w:color="auto"/>
              <w:left w:val="nil"/>
              <w:bottom w:val="single" w:sz="2" w:space="0" w:color="auto"/>
              <w:right w:val="nil"/>
            </w:tcBorders>
            <w:shd w:val="clear" w:color="auto" w:fill="auto"/>
            <w:noWrap/>
            <w:vAlign w:val="center"/>
          </w:tcPr>
          <w:p w14:paraId="5D5AB0D3" w14:textId="3B8C9DC1" w:rsidR="00474057" w:rsidRPr="00C23CF7" w:rsidRDefault="00474057" w:rsidP="00180B80">
            <w:pPr>
              <w:spacing w:after="0" w:line="240" w:lineRule="auto"/>
              <w:rPr>
                <w:rFonts w:eastAsia="Times New Roman" w:cs="Calibri"/>
                <w:color w:val="000000"/>
                <w:sz w:val="20"/>
                <w:szCs w:val="20"/>
              </w:rPr>
            </w:pPr>
            <w:r w:rsidRPr="00C23CF7">
              <w:rPr>
                <w:rFonts w:eastAsia="Times New Roman" w:cs="Calibri"/>
                <w:color w:val="000000"/>
                <w:sz w:val="20"/>
                <w:szCs w:val="20"/>
              </w:rPr>
              <w:t>Psychosocial Wellbeing (Table 5)</w:t>
            </w:r>
          </w:p>
        </w:tc>
      </w:tr>
      <w:tr w:rsidR="00474057" w:rsidRPr="00C23CF7" w14:paraId="45DCBFCC" w14:textId="77777777" w:rsidTr="001C4294">
        <w:trPr>
          <w:trHeight w:val="327"/>
          <w:jc w:val="center"/>
        </w:trPr>
        <w:tc>
          <w:tcPr>
            <w:tcW w:w="2610" w:type="dxa"/>
            <w:tcBorders>
              <w:top w:val="single" w:sz="2" w:space="0" w:color="auto"/>
              <w:left w:val="nil"/>
              <w:right w:val="nil"/>
            </w:tcBorders>
            <w:shd w:val="clear" w:color="auto" w:fill="auto"/>
            <w:noWrap/>
          </w:tcPr>
          <w:p w14:paraId="3F4E89FA" w14:textId="5441C995" w:rsidR="00474057" w:rsidRPr="00C23CF7" w:rsidRDefault="004774C1" w:rsidP="00C23CF7">
            <w:pPr>
              <w:spacing w:after="120" w:line="240" w:lineRule="auto"/>
              <w:rPr>
                <w:rFonts w:eastAsia="Times New Roman" w:cs="Calibri"/>
                <w:color w:val="000000"/>
                <w:sz w:val="20"/>
                <w:szCs w:val="20"/>
              </w:rPr>
            </w:pPr>
            <w:r w:rsidRPr="00C23CF7">
              <w:rPr>
                <w:rFonts w:eastAsia="Times New Roman" w:cs="Calibri"/>
                <w:color w:val="000000"/>
                <w:sz w:val="20"/>
                <w:szCs w:val="20"/>
              </w:rPr>
              <w:t>PHQ-8 results indicate moderate-severe depression (≥ 10)</w:t>
            </w:r>
          </w:p>
        </w:tc>
        <w:tc>
          <w:tcPr>
            <w:tcW w:w="1440" w:type="dxa"/>
            <w:tcBorders>
              <w:top w:val="single" w:sz="2" w:space="0" w:color="auto"/>
              <w:left w:val="nil"/>
              <w:right w:val="nil"/>
            </w:tcBorders>
            <w:shd w:val="clear" w:color="auto" w:fill="auto"/>
            <w:noWrap/>
          </w:tcPr>
          <w:p w14:paraId="43101163" w14:textId="6FFDF456" w:rsidR="00474057" w:rsidRPr="00C23CF7" w:rsidRDefault="00F56BEA" w:rsidP="00C859C0">
            <w:pPr>
              <w:spacing w:after="120" w:line="240" w:lineRule="auto"/>
              <w:rPr>
                <w:rFonts w:eastAsia="Times New Roman" w:cs="Calibri"/>
                <w:color w:val="000000"/>
                <w:sz w:val="20"/>
                <w:szCs w:val="20"/>
              </w:rPr>
            </w:pPr>
            <w:r w:rsidRPr="00C23CF7">
              <w:rPr>
                <w:rFonts w:eastAsia="Times New Roman" w:cs="Calibri"/>
                <w:color w:val="000000"/>
                <w:sz w:val="20"/>
                <w:szCs w:val="20"/>
              </w:rPr>
              <w:t>Adolescent respondent</w:t>
            </w:r>
          </w:p>
        </w:tc>
        <w:tc>
          <w:tcPr>
            <w:tcW w:w="6750" w:type="dxa"/>
            <w:tcBorders>
              <w:top w:val="single" w:sz="2" w:space="0" w:color="auto"/>
              <w:left w:val="nil"/>
              <w:right w:val="nil"/>
            </w:tcBorders>
            <w:shd w:val="clear" w:color="auto" w:fill="auto"/>
            <w:noWrap/>
          </w:tcPr>
          <w:p w14:paraId="5A77ED70" w14:textId="5EB9BADA" w:rsidR="00474057" w:rsidRPr="00C23CF7" w:rsidRDefault="001C4294" w:rsidP="00C23CF7">
            <w:pPr>
              <w:spacing w:after="120" w:line="240" w:lineRule="auto"/>
              <w:rPr>
                <w:rFonts w:eastAsia="Times New Roman" w:cs="Calibri"/>
                <w:color w:val="000000"/>
                <w:sz w:val="20"/>
                <w:szCs w:val="20"/>
              </w:rPr>
            </w:pPr>
            <w:r>
              <w:rPr>
                <w:rFonts w:eastAsia="Times New Roman" w:cs="Calibri"/>
                <w:color w:val="000000"/>
                <w:sz w:val="20"/>
                <w:szCs w:val="20"/>
              </w:rPr>
              <w:t>The Patient Health Questionnaire 8 (PHQ-8) is a brief screening questionnaire for depression</w:t>
            </w:r>
            <w:r w:rsidR="0010049E">
              <w:rPr>
                <w:rFonts w:eastAsia="Times New Roman" w:cs="Calibri"/>
                <w:color w:val="000000"/>
                <w:sz w:val="20"/>
                <w:szCs w:val="20"/>
              </w:rPr>
              <w:t xml:space="preserve"> [</w:t>
            </w:r>
            <w:r w:rsidR="00404FF2">
              <w:rPr>
                <w:rFonts w:eastAsia="Times New Roman" w:cs="Calibri"/>
                <w:color w:val="000000"/>
                <w:sz w:val="20"/>
                <w:szCs w:val="20"/>
              </w:rPr>
              <w:t>4</w:t>
            </w:r>
            <w:r w:rsidR="0010049E">
              <w:rPr>
                <w:rFonts w:eastAsia="Times New Roman" w:cs="Calibri"/>
                <w:color w:val="000000"/>
                <w:sz w:val="20"/>
                <w:szCs w:val="20"/>
              </w:rPr>
              <w:t>]</w:t>
            </w:r>
            <w:r>
              <w:rPr>
                <w:rFonts w:eastAsia="Times New Roman" w:cs="Calibri"/>
                <w:color w:val="000000"/>
                <w:sz w:val="20"/>
                <w:szCs w:val="20"/>
              </w:rPr>
              <w:t>, where the respondent answers a series of 8 questions around mental health symptoms</w:t>
            </w:r>
            <w:r w:rsidR="007C7B92">
              <w:rPr>
                <w:rFonts w:eastAsia="Times New Roman" w:cs="Calibri"/>
                <w:color w:val="000000"/>
                <w:sz w:val="20"/>
                <w:szCs w:val="20"/>
              </w:rPr>
              <w:t xml:space="preserve"> in the past two weeks</w:t>
            </w:r>
            <w:r>
              <w:rPr>
                <w:rFonts w:eastAsia="Times New Roman" w:cs="Calibri"/>
                <w:color w:val="000000"/>
                <w:sz w:val="20"/>
                <w:szCs w:val="20"/>
              </w:rPr>
              <w:t>. The questionnair</w:t>
            </w:r>
            <w:r w:rsidR="007C7B92">
              <w:rPr>
                <w:rFonts w:eastAsia="Times New Roman" w:cs="Calibri"/>
                <w:color w:val="000000"/>
                <w:sz w:val="20"/>
                <w:szCs w:val="20"/>
              </w:rPr>
              <w:t xml:space="preserve">e is </w:t>
            </w:r>
            <w:r>
              <w:rPr>
                <w:rFonts w:eastAsia="Times New Roman" w:cs="Calibri"/>
                <w:color w:val="000000"/>
                <w:sz w:val="20"/>
                <w:szCs w:val="20"/>
              </w:rPr>
              <w:t>scored on a scale of 0-</w:t>
            </w:r>
            <w:r w:rsidR="007C7B92">
              <w:rPr>
                <w:rFonts w:eastAsia="Times New Roman" w:cs="Calibri"/>
                <w:color w:val="000000"/>
                <w:sz w:val="20"/>
                <w:szCs w:val="20"/>
              </w:rPr>
              <w:t>24</w:t>
            </w:r>
            <w:r>
              <w:rPr>
                <w:rFonts w:eastAsia="Times New Roman" w:cs="Calibri"/>
                <w:color w:val="000000"/>
                <w:sz w:val="20"/>
                <w:szCs w:val="20"/>
              </w:rPr>
              <w:t xml:space="preserve">, where </w:t>
            </w:r>
            <w:r w:rsidR="00474FE7">
              <w:rPr>
                <w:rFonts w:eastAsia="Times New Roman" w:cs="Calibri"/>
                <w:color w:val="000000"/>
                <w:sz w:val="20"/>
                <w:szCs w:val="20"/>
              </w:rPr>
              <w:t>a score of greater than or equal to</w:t>
            </w:r>
            <w:r w:rsidR="00A11E69">
              <w:rPr>
                <w:rFonts w:eastAsia="Times New Roman" w:cs="Calibri"/>
                <w:color w:val="000000"/>
                <w:sz w:val="20"/>
                <w:szCs w:val="20"/>
              </w:rPr>
              <w:t xml:space="preserve"> 5 indicates mild depression,</w:t>
            </w:r>
            <w:r w:rsidR="00474FE7">
              <w:rPr>
                <w:rFonts w:eastAsia="Times New Roman" w:cs="Calibri"/>
                <w:color w:val="000000"/>
                <w:sz w:val="20"/>
                <w:szCs w:val="20"/>
              </w:rPr>
              <w:t xml:space="preserve"> 10 indicates moderate depression</w:t>
            </w:r>
            <w:r w:rsidR="00A11E69">
              <w:rPr>
                <w:rFonts w:eastAsia="Times New Roman" w:cs="Calibri"/>
                <w:color w:val="000000"/>
                <w:sz w:val="20"/>
                <w:szCs w:val="20"/>
              </w:rPr>
              <w:t>, 15 indicates moderately severe, and 20 indicates severe depression. For this analysis, this outcome is summarize</w:t>
            </w:r>
            <w:r w:rsidR="0010049E">
              <w:rPr>
                <w:rFonts w:eastAsia="Times New Roman" w:cs="Calibri"/>
                <w:color w:val="000000"/>
                <w:sz w:val="20"/>
                <w:szCs w:val="20"/>
              </w:rPr>
              <w:t>d</w:t>
            </w:r>
            <w:r w:rsidR="00A11E69">
              <w:rPr>
                <w:rFonts w:eastAsia="Times New Roman" w:cs="Calibri"/>
                <w:color w:val="000000"/>
                <w:sz w:val="20"/>
                <w:szCs w:val="20"/>
              </w:rPr>
              <w:t xml:space="preserve"> as a binary indicator for the adolescent scoring 10 or higher on the screening, indicating moderate to severe depression. </w:t>
            </w:r>
          </w:p>
        </w:tc>
      </w:tr>
      <w:tr w:rsidR="00C859C0" w:rsidRPr="00C23CF7" w14:paraId="0388E39F" w14:textId="77777777" w:rsidTr="001C4294">
        <w:trPr>
          <w:trHeight w:val="327"/>
          <w:jc w:val="center"/>
        </w:trPr>
        <w:tc>
          <w:tcPr>
            <w:tcW w:w="2610" w:type="dxa"/>
            <w:tcBorders>
              <w:left w:val="nil"/>
              <w:right w:val="nil"/>
            </w:tcBorders>
            <w:shd w:val="clear" w:color="auto" w:fill="auto"/>
            <w:noWrap/>
          </w:tcPr>
          <w:p w14:paraId="29B157BD" w14:textId="33398108" w:rsidR="00C859C0" w:rsidRPr="00C23CF7" w:rsidRDefault="00C859C0" w:rsidP="00C859C0">
            <w:pPr>
              <w:spacing w:after="120" w:line="240" w:lineRule="auto"/>
              <w:rPr>
                <w:rFonts w:eastAsia="Times New Roman" w:cs="Calibri"/>
                <w:color w:val="000000"/>
                <w:sz w:val="20"/>
                <w:szCs w:val="20"/>
              </w:rPr>
            </w:pPr>
            <w:r w:rsidRPr="00C23CF7">
              <w:rPr>
                <w:rFonts w:eastAsia="Times New Roman" w:cs="Calibri"/>
                <w:color w:val="000000"/>
                <w:sz w:val="20"/>
                <w:szCs w:val="20"/>
              </w:rPr>
              <w:t xml:space="preserve">GAD-7 results indicate for moderate-severe anxiety </w:t>
            </w:r>
            <w:r w:rsidR="00417DD6">
              <w:rPr>
                <w:rFonts w:eastAsia="Times New Roman" w:cs="Calibri"/>
                <w:color w:val="000000"/>
                <w:sz w:val="20"/>
                <w:szCs w:val="20"/>
              </w:rPr>
              <w:t xml:space="preserve">    </w:t>
            </w:r>
            <w:r w:rsidRPr="00C23CF7">
              <w:rPr>
                <w:rFonts w:eastAsia="Times New Roman" w:cs="Calibri"/>
                <w:color w:val="000000"/>
                <w:sz w:val="20"/>
                <w:szCs w:val="20"/>
              </w:rPr>
              <w:t>(≥ 10)</w:t>
            </w:r>
          </w:p>
        </w:tc>
        <w:tc>
          <w:tcPr>
            <w:tcW w:w="1440" w:type="dxa"/>
            <w:tcBorders>
              <w:left w:val="nil"/>
              <w:right w:val="nil"/>
            </w:tcBorders>
            <w:shd w:val="clear" w:color="auto" w:fill="auto"/>
            <w:noWrap/>
          </w:tcPr>
          <w:p w14:paraId="137FBA51" w14:textId="7EB5C4AA" w:rsidR="00C859C0" w:rsidRPr="00C23CF7" w:rsidRDefault="00C859C0" w:rsidP="00C859C0">
            <w:pPr>
              <w:spacing w:after="120" w:line="240" w:lineRule="auto"/>
              <w:rPr>
                <w:rFonts w:eastAsia="Times New Roman" w:cs="Calibri"/>
                <w:color w:val="000000"/>
                <w:sz w:val="20"/>
                <w:szCs w:val="20"/>
              </w:rPr>
            </w:pPr>
            <w:r w:rsidRPr="00C23CF7">
              <w:rPr>
                <w:rFonts w:eastAsia="Times New Roman" w:cs="Calibri"/>
                <w:color w:val="000000"/>
                <w:sz w:val="20"/>
                <w:szCs w:val="20"/>
              </w:rPr>
              <w:t>Adolescent respondent</w:t>
            </w:r>
          </w:p>
        </w:tc>
        <w:tc>
          <w:tcPr>
            <w:tcW w:w="6750" w:type="dxa"/>
            <w:tcBorders>
              <w:left w:val="nil"/>
              <w:right w:val="nil"/>
            </w:tcBorders>
            <w:shd w:val="clear" w:color="auto" w:fill="auto"/>
            <w:noWrap/>
          </w:tcPr>
          <w:p w14:paraId="261B61EF" w14:textId="4FD2FC46" w:rsidR="00C859C0" w:rsidRPr="00C23CF7" w:rsidRDefault="00474FE7" w:rsidP="00C859C0">
            <w:pPr>
              <w:spacing w:after="120" w:line="240" w:lineRule="auto"/>
              <w:rPr>
                <w:rFonts w:eastAsia="Times New Roman" w:cs="Calibri"/>
                <w:color w:val="000000"/>
                <w:sz w:val="20"/>
                <w:szCs w:val="20"/>
              </w:rPr>
            </w:pPr>
            <w:r>
              <w:rPr>
                <w:rFonts w:eastAsia="Times New Roman" w:cs="Calibri"/>
                <w:color w:val="000000"/>
                <w:sz w:val="20"/>
                <w:szCs w:val="20"/>
              </w:rPr>
              <w:t xml:space="preserve">The General Anxiety Disorder 7 (GAD-7) </w:t>
            </w:r>
            <w:r w:rsidR="00EC14D1">
              <w:rPr>
                <w:rFonts w:eastAsia="Times New Roman" w:cs="Calibri"/>
                <w:color w:val="000000"/>
                <w:sz w:val="20"/>
                <w:szCs w:val="20"/>
              </w:rPr>
              <w:t xml:space="preserve">is a </w:t>
            </w:r>
            <w:r w:rsidR="00600723">
              <w:rPr>
                <w:rFonts w:eastAsia="Times New Roman" w:cs="Calibri"/>
                <w:color w:val="000000"/>
                <w:sz w:val="20"/>
                <w:szCs w:val="20"/>
              </w:rPr>
              <w:t xml:space="preserve">validated </w:t>
            </w:r>
            <w:r w:rsidR="00EC14D1">
              <w:rPr>
                <w:rFonts w:eastAsia="Times New Roman" w:cs="Calibri"/>
                <w:color w:val="000000"/>
                <w:sz w:val="20"/>
                <w:szCs w:val="20"/>
              </w:rPr>
              <w:t xml:space="preserve">screening tool </w:t>
            </w:r>
            <w:r w:rsidR="007C7B92">
              <w:rPr>
                <w:rFonts w:eastAsia="Times New Roman" w:cs="Calibri"/>
                <w:color w:val="000000"/>
                <w:sz w:val="20"/>
                <w:szCs w:val="20"/>
              </w:rPr>
              <w:t>for Generalized Anxiety Disorder</w:t>
            </w:r>
            <w:r w:rsidR="0010049E">
              <w:rPr>
                <w:rFonts w:eastAsia="Times New Roman" w:cs="Calibri"/>
                <w:color w:val="000000"/>
                <w:sz w:val="20"/>
                <w:szCs w:val="20"/>
              </w:rPr>
              <w:t xml:space="preserve"> [</w:t>
            </w:r>
            <w:r w:rsidR="00404FF2">
              <w:rPr>
                <w:rFonts w:eastAsia="Times New Roman" w:cs="Calibri"/>
                <w:color w:val="000000"/>
                <w:sz w:val="20"/>
                <w:szCs w:val="20"/>
              </w:rPr>
              <w:t>5</w:t>
            </w:r>
            <w:r w:rsidR="0010049E">
              <w:rPr>
                <w:rFonts w:eastAsia="Times New Roman" w:cs="Calibri"/>
                <w:color w:val="000000"/>
                <w:sz w:val="20"/>
                <w:szCs w:val="20"/>
              </w:rPr>
              <w:t>]</w:t>
            </w:r>
            <w:r w:rsidR="007C7B92">
              <w:rPr>
                <w:rFonts w:eastAsia="Times New Roman" w:cs="Calibri"/>
                <w:color w:val="000000"/>
                <w:sz w:val="20"/>
                <w:szCs w:val="20"/>
              </w:rPr>
              <w:t xml:space="preserve">, </w:t>
            </w:r>
            <w:r w:rsidR="00600723">
              <w:rPr>
                <w:rFonts w:eastAsia="Times New Roman" w:cs="Calibri"/>
                <w:color w:val="000000"/>
                <w:sz w:val="20"/>
                <w:szCs w:val="20"/>
              </w:rPr>
              <w:t>and has also demonstrated validity for</w:t>
            </w:r>
            <w:r w:rsidR="007C7B92">
              <w:rPr>
                <w:rFonts w:eastAsia="Times New Roman" w:cs="Calibri"/>
                <w:color w:val="000000"/>
                <w:sz w:val="20"/>
                <w:szCs w:val="20"/>
              </w:rPr>
              <w:t xml:space="preserve"> other anxiety disorders includ</w:t>
            </w:r>
            <w:r w:rsidR="00600723">
              <w:rPr>
                <w:rFonts w:eastAsia="Times New Roman" w:cs="Calibri"/>
                <w:color w:val="000000"/>
                <w:sz w:val="20"/>
                <w:szCs w:val="20"/>
              </w:rPr>
              <w:t>ing Panic Disorder, Social Anxiety, and Posttraumatic Stress Disorder</w:t>
            </w:r>
            <w:r w:rsidR="007C7B92">
              <w:rPr>
                <w:rFonts w:eastAsia="Times New Roman" w:cs="Calibri"/>
                <w:color w:val="000000"/>
                <w:sz w:val="20"/>
                <w:szCs w:val="20"/>
              </w:rPr>
              <w:t xml:space="preserve">. The questionnaire is scored on a scale of 0 to 21, where a score of greater than or equal to 5 indicates mild anxiety, greater than or equal to 10 indicates moderate anxiety, and greater than or equal to 15 indicates severe anxiety. </w:t>
            </w:r>
            <w:r w:rsidR="001D781D">
              <w:rPr>
                <w:rFonts w:eastAsia="Times New Roman" w:cs="Calibri"/>
                <w:color w:val="000000"/>
                <w:sz w:val="20"/>
                <w:szCs w:val="20"/>
              </w:rPr>
              <w:t xml:space="preserve">For this analysis, this outcome is summarized as a binary indicator </w:t>
            </w:r>
            <w:r w:rsidR="00A11E69">
              <w:rPr>
                <w:rFonts w:eastAsia="Times New Roman" w:cs="Calibri"/>
                <w:color w:val="000000"/>
                <w:sz w:val="20"/>
                <w:szCs w:val="20"/>
              </w:rPr>
              <w:t xml:space="preserve">for the adolescent scoring 10 or higher on the screener, indicating moderate to severe anxiety. </w:t>
            </w:r>
          </w:p>
        </w:tc>
      </w:tr>
      <w:tr w:rsidR="00C859C0" w:rsidRPr="00C23CF7" w14:paraId="4BE7B93F" w14:textId="77777777" w:rsidTr="001C4294">
        <w:trPr>
          <w:trHeight w:val="327"/>
          <w:jc w:val="center"/>
        </w:trPr>
        <w:tc>
          <w:tcPr>
            <w:tcW w:w="2610" w:type="dxa"/>
            <w:tcBorders>
              <w:left w:val="nil"/>
              <w:right w:val="nil"/>
            </w:tcBorders>
            <w:shd w:val="clear" w:color="auto" w:fill="auto"/>
            <w:noWrap/>
          </w:tcPr>
          <w:p w14:paraId="4F2CACF2" w14:textId="1888B41A" w:rsidR="00C859C0" w:rsidRPr="00C23CF7" w:rsidRDefault="00C859C0" w:rsidP="00C859C0">
            <w:pPr>
              <w:spacing w:after="120" w:line="240" w:lineRule="auto"/>
              <w:rPr>
                <w:rFonts w:eastAsia="Times New Roman" w:cs="Calibri"/>
                <w:color w:val="000000"/>
                <w:sz w:val="20"/>
                <w:szCs w:val="20"/>
              </w:rPr>
            </w:pPr>
            <w:r w:rsidRPr="00C23CF7">
              <w:rPr>
                <w:rFonts w:eastAsia="Times New Roman" w:cs="Calibri"/>
                <w:color w:val="000000"/>
                <w:sz w:val="20"/>
                <w:szCs w:val="20"/>
              </w:rPr>
              <w:lastRenderedPageBreak/>
              <w:t xml:space="preserve">Adolescent believes people in community are more anxious/depressed </w:t>
            </w:r>
          </w:p>
        </w:tc>
        <w:tc>
          <w:tcPr>
            <w:tcW w:w="1440" w:type="dxa"/>
            <w:tcBorders>
              <w:left w:val="nil"/>
              <w:right w:val="nil"/>
            </w:tcBorders>
            <w:shd w:val="clear" w:color="auto" w:fill="auto"/>
            <w:noWrap/>
          </w:tcPr>
          <w:p w14:paraId="7FF39AA6" w14:textId="6DA22AAF" w:rsidR="00C859C0" w:rsidRPr="00C23CF7" w:rsidRDefault="00C859C0" w:rsidP="00C859C0">
            <w:pPr>
              <w:spacing w:after="120" w:line="240" w:lineRule="auto"/>
              <w:rPr>
                <w:rFonts w:eastAsia="Times New Roman" w:cs="Calibri"/>
                <w:color w:val="000000"/>
                <w:sz w:val="20"/>
                <w:szCs w:val="20"/>
              </w:rPr>
            </w:pPr>
            <w:r w:rsidRPr="00C23CF7">
              <w:rPr>
                <w:rFonts w:eastAsia="Times New Roman" w:cs="Calibri"/>
                <w:color w:val="000000"/>
                <w:sz w:val="20"/>
                <w:szCs w:val="20"/>
              </w:rPr>
              <w:t>Adolescent respondent, age 15 and older</w:t>
            </w:r>
          </w:p>
        </w:tc>
        <w:tc>
          <w:tcPr>
            <w:tcW w:w="6750" w:type="dxa"/>
            <w:tcBorders>
              <w:left w:val="nil"/>
              <w:right w:val="nil"/>
            </w:tcBorders>
            <w:shd w:val="clear" w:color="auto" w:fill="auto"/>
            <w:noWrap/>
          </w:tcPr>
          <w:p w14:paraId="3F80D13C" w14:textId="63450D01" w:rsidR="00C859C0" w:rsidRPr="00C23CF7" w:rsidRDefault="000A31B7" w:rsidP="00C859C0">
            <w:pPr>
              <w:spacing w:after="120" w:line="240" w:lineRule="auto"/>
              <w:rPr>
                <w:rFonts w:eastAsia="Times New Roman" w:cs="Calibri"/>
                <w:color w:val="000000"/>
                <w:sz w:val="20"/>
                <w:szCs w:val="20"/>
              </w:rPr>
            </w:pPr>
            <w:r>
              <w:rPr>
                <w:rFonts w:eastAsia="Times New Roman" w:cs="Calibri"/>
                <w:color w:val="000000"/>
                <w:sz w:val="20"/>
                <w:szCs w:val="20"/>
              </w:rPr>
              <w:t xml:space="preserve">Adapted from the </w:t>
            </w:r>
            <w:r w:rsidRPr="000A31B7">
              <w:rPr>
                <w:rFonts w:eastAsia="Times New Roman" w:cs="Calibri"/>
                <w:color w:val="000000"/>
                <w:sz w:val="20"/>
                <w:szCs w:val="20"/>
              </w:rPr>
              <w:t xml:space="preserve">EMERGE COVID-19 and Gender Survey Questions </w:t>
            </w:r>
            <w:r>
              <w:rPr>
                <w:rFonts w:eastAsia="Times New Roman" w:cs="Calibri"/>
                <w:color w:val="000000"/>
                <w:sz w:val="20"/>
                <w:szCs w:val="20"/>
              </w:rPr>
              <w:t>instrument</w:t>
            </w:r>
            <w:r w:rsidR="0010049E">
              <w:rPr>
                <w:rFonts w:eastAsia="Times New Roman" w:cs="Calibri"/>
                <w:color w:val="000000"/>
                <w:sz w:val="20"/>
                <w:szCs w:val="20"/>
              </w:rPr>
              <w:t xml:space="preserve"> </w:t>
            </w:r>
            <w:r w:rsidR="0010049E" w:rsidRPr="0010049E">
              <w:rPr>
                <w:rFonts w:eastAsia="Times New Roman" w:cs="Calibri"/>
                <w:color w:val="000000"/>
                <w:sz w:val="20"/>
                <w:szCs w:val="20"/>
              </w:rPr>
              <w:t>[</w:t>
            </w:r>
            <w:r w:rsidR="00404FF2">
              <w:rPr>
                <w:rFonts w:eastAsia="Times New Roman" w:cs="Calibri"/>
                <w:color w:val="000000"/>
                <w:sz w:val="20"/>
                <w:szCs w:val="20"/>
              </w:rPr>
              <w:t>3</w:t>
            </w:r>
            <w:r w:rsidR="0010049E" w:rsidRPr="0010049E">
              <w:rPr>
                <w:rFonts w:eastAsia="Times New Roman" w:cs="Calibri"/>
                <w:color w:val="000000"/>
                <w:sz w:val="20"/>
                <w:szCs w:val="20"/>
              </w:rPr>
              <w:t xml:space="preserve">], </w:t>
            </w:r>
            <w:r>
              <w:rPr>
                <w:rFonts w:eastAsia="Times New Roman" w:cs="Calibri"/>
                <w:color w:val="000000"/>
                <w:sz w:val="20"/>
                <w:szCs w:val="20"/>
              </w:rPr>
              <w:t xml:space="preserve">the GAGE survey includes a series of questions on perceived changes in the community as a result of the COVID-19 pandemic and efforts to control the virus. This outcome indicates that the adolescent responded “yes” to the statement “More people are becoming very anxious or depressed.” </w:t>
            </w:r>
          </w:p>
        </w:tc>
      </w:tr>
      <w:tr w:rsidR="00C859C0" w:rsidRPr="00C23CF7" w14:paraId="74D2EF76" w14:textId="77777777" w:rsidTr="001C4294">
        <w:trPr>
          <w:trHeight w:val="327"/>
          <w:jc w:val="center"/>
        </w:trPr>
        <w:tc>
          <w:tcPr>
            <w:tcW w:w="2610" w:type="dxa"/>
            <w:tcBorders>
              <w:left w:val="nil"/>
              <w:right w:val="nil"/>
            </w:tcBorders>
            <w:shd w:val="clear" w:color="auto" w:fill="auto"/>
            <w:noWrap/>
          </w:tcPr>
          <w:p w14:paraId="17098CB0" w14:textId="4F71FB6C" w:rsidR="00C859C0" w:rsidRPr="00C23CF7" w:rsidRDefault="00C859C0" w:rsidP="00C859C0">
            <w:pPr>
              <w:spacing w:after="120" w:line="240" w:lineRule="auto"/>
              <w:rPr>
                <w:rFonts w:eastAsia="Times New Roman" w:cs="Calibri"/>
                <w:color w:val="000000"/>
                <w:sz w:val="20"/>
                <w:szCs w:val="20"/>
              </w:rPr>
            </w:pPr>
            <w:r w:rsidRPr="00C23CF7">
              <w:rPr>
                <w:rFonts w:eastAsia="Times New Roman" w:cs="Calibri"/>
                <w:color w:val="000000"/>
                <w:sz w:val="20"/>
                <w:szCs w:val="20"/>
              </w:rPr>
              <w:t xml:space="preserve">Adolescent thinks there is an increase in thoughts of self-harm in community </w:t>
            </w:r>
          </w:p>
        </w:tc>
        <w:tc>
          <w:tcPr>
            <w:tcW w:w="1440" w:type="dxa"/>
            <w:tcBorders>
              <w:left w:val="nil"/>
              <w:right w:val="nil"/>
            </w:tcBorders>
            <w:shd w:val="clear" w:color="auto" w:fill="auto"/>
            <w:noWrap/>
          </w:tcPr>
          <w:p w14:paraId="6466FA20" w14:textId="287204AE" w:rsidR="00C859C0" w:rsidRPr="00C23CF7" w:rsidRDefault="00C859C0" w:rsidP="00C859C0">
            <w:pPr>
              <w:spacing w:after="120" w:line="240" w:lineRule="auto"/>
              <w:rPr>
                <w:rFonts w:eastAsia="Times New Roman" w:cs="Calibri"/>
                <w:color w:val="000000"/>
                <w:sz w:val="20"/>
                <w:szCs w:val="20"/>
              </w:rPr>
            </w:pPr>
            <w:r w:rsidRPr="00C23CF7">
              <w:rPr>
                <w:rFonts w:eastAsia="Times New Roman" w:cs="Calibri"/>
                <w:color w:val="000000"/>
                <w:sz w:val="20"/>
                <w:szCs w:val="20"/>
              </w:rPr>
              <w:t>Adolescent respondent, age 15 and older</w:t>
            </w:r>
          </w:p>
        </w:tc>
        <w:tc>
          <w:tcPr>
            <w:tcW w:w="6750" w:type="dxa"/>
            <w:tcBorders>
              <w:left w:val="nil"/>
              <w:right w:val="nil"/>
            </w:tcBorders>
            <w:shd w:val="clear" w:color="auto" w:fill="auto"/>
            <w:noWrap/>
          </w:tcPr>
          <w:p w14:paraId="5D9694AF" w14:textId="4239DC88" w:rsidR="00C859C0" w:rsidRPr="00C23CF7" w:rsidRDefault="000A31B7" w:rsidP="00C859C0">
            <w:pPr>
              <w:spacing w:after="120" w:line="240" w:lineRule="auto"/>
              <w:rPr>
                <w:rFonts w:eastAsia="Times New Roman" w:cs="Calibri"/>
                <w:color w:val="000000"/>
                <w:sz w:val="20"/>
                <w:szCs w:val="20"/>
              </w:rPr>
            </w:pPr>
            <w:r>
              <w:rPr>
                <w:rFonts w:eastAsia="Times New Roman" w:cs="Calibri"/>
                <w:color w:val="000000"/>
                <w:sz w:val="20"/>
                <w:szCs w:val="20"/>
              </w:rPr>
              <w:t xml:space="preserve">As the above, this outcome is adapted from the </w:t>
            </w:r>
            <w:r w:rsidRPr="000A31B7">
              <w:rPr>
                <w:rFonts w:eastAsia="Times New Roman" w:cs="Calibri"/>
                <w:color w:val="000000"/>
                <w:sz w:val="20"/>
                <w:szCs w:val="20"/>
              </w:rPr>
              <w:t xml:space="preserve">EMERGE COVID-19 and Gender Survey Questions </w:t>
            </w:r>
            <w:r>
              <w:rPr>
                <w:rFonts w:eastAsia="Times New Roman" w:cs="Calibri"/>
                <w:color w:val="000000"/>
                <w:sz w:val="20"/>
                <w:szCs w:val="20"/>
              </w:rPr>
              <w:t>instrument question series on impacts of the pandemic in the community</w:t>
            </w:r>
            <w:r w:rsidR="00404FF2">
              <w:rPr>
                <w:rFonts w:eastAsia="Times New Roman" w:cs="Calibri"/>
                <w:color w:val="000000"/>
                <w:sz w:val="20"/>
                <w:szCs w:val="20"/>
              </w:rPr>
              <w:t xml:space="preserve"> [3]</w:t>
            </w:r>
            <w:r>
              <w:rPr>
                <w:rFonts w:eastAsia="Times New Roman" w:cs="Calibri"/>
                <w:color w:val="000000"/>
                <w:sz w:val="20"/>
                <w:szCs w:val="20"/>
              </w:rPr>
              <w:t>. This outcome indicates that the adolescent responded “yes” to the statement “There is an increase in thoughts about self-harm, or people harming themselves.”</w:t>
            </w:r>
          </w:p>
        </w:tc>
      </w:tr>
      <w:tr w:rsidR="00C859C0" w:rsidRPr="00C23CF7" w14:paraId="348142B1" w14:textId="77777777" w:rsidTr="001C4294">
        <w:trPr>
          <w:trHeight w:val="327"/>
          <w:jc w:val="center"/>
        </w:trPr>
        <w:tc>
          <w:tcPr>
            <w:tcW w:w="2610" w:type="dxa"/>
            <w:tcBorders>
              <w:left w:val="nil"/>
              <w:right w:val="nil"/>
            </w:tcBorders>
            <w:shd w:val="clear" w:color="auto" w:fill="auto"/>
            <w:noWrap/>
          </w:tcPr>
          <w:p w14:paraId="6EF1F724" w14:textId="358D4828" w:rsidR="00C859C0" w:rsidRPr="00C23CF7" w:rsidRDefault="00C859C0" w:rsidP="001C4294">
            <w:pPr>
              <w:keepNext/>
              <w:spacing w:after="120" w:line="240" w:lineRule="auto"/>
              <w:rPr>
                <w:rFonts w:eastAsia="Times New Roman" w:cs="Calibri"/>
                <w:color w:val="000000"/>
                <w:sz w:val="20"/>
                <w:szCs w:val="20"/>
              </w:rPr>
            </w:pPr>
            <w:r w:rsidRPr="00C23CF7">
              <w:rPr>
                <w:rFonts w:eastAsia="Times New Roman" w:cs="Calibri"/>
                <w:color w:val="000000"/>
                <w:sz w:val="20"/>
                <w:szCs w:val="20"/>
              </w:rPr>
              <w:t xml:space="preserve">Adolescent is fearful or embarrassed to ask family for menstrual hygiene management support </w:t>
            </w:r>
          </w:p>
        </w:tc>
        <w:tc>
          <w:tcPr>
            <w:tcW w:w="1440" w:type="dxa"/>
            <w:tcBorders>
              <w:left w:val="nil"/>
              <w:right w:val="nil"/>
            </w:tcBorders>
            <w:shd w:val="clear" w:color="auto" w:fill="auto"/>
            <w:noWrap/>
          </w:tcPr>
          <w:p w14:paraId="53A31B1C" w14:textId="2F9F6544" w:rsidR="00C859C0" w:rsidRPr="00C23CF7" w:rsidRDefault="00C859C0" w:rsidP="001C4294">
            <w:pPr>
              <w:keepNext/>
              <w:spacing w:after="120" w:line="240" w:lineRule="auto"/>
              <w:rPr>
                <w:rFonts w:eastAsia="Times New Roman" w:cs="Calibri"/>
                <w:color w:val="000000"/>
                <w:sz w:val="20"/>
                <w:szCs w:val="20"/>
              </w:rPr>
            </w:pPr>
            <w:r w:rsidRPr="00C23CF7">
              <w:rPr>
                <w:rFonts w:eastAsia="Times New Roman" w:cs="Calibri"/>
                <w:color w:val="000000"/>
                <w:sz w:val="20"/>
                <w:szCs w:val="20"/>
              </w:rPr>
              <w:t>Female adolescent respondent who reported reaching menarche</w:t>
            </w:r>
          </w:p>
        </w:tc>
        <w:tc>
          <w:tcPr>
            <w:tcW w:w="6750" w:type="dxa"/>
            <w:tcBorders>
              <w:left w:val="nil"/>
              <w:right w:val="nil"/>
            </w:tcBorders>
            <w:shd w:val="clear" w:color="auto" w:fill="auto"/>
            <w:noWrap/>
          </w:tcPr>
          <w:p w14:paraId="3353E4E7" w14:textId="0BA89A95" w:rsidR="00C859C0" w:rsidRPr="00C23CF7" w:rsidRDefault="000A31B7" w:rsidP="001C4294">
            <w:pPr>
              <w:keepNext/>
              <w:spacing w:after="120" w:line="240" w:lineRule="auto"/>
              <w:rPr>
                <w:rFonts w:eastAsia="Times New Roman" w:cs="Calibri"/>
                <w:color w:val="000000"/>
                <w:sz w:val="20"/>
                <w:szCs w:val="20"/>
              </w:rPr>
            </w:pPr>
            <w:r>
              <w:rPr>
                <w:rFonts w:eastAsia="Times New Roman" w:cs="Calibri"/>
                <w:color w:val="000000"/>
                <w:sz w:val="20"/>
                <w:szCs w:val="20"/>
              </w:rPr>
              <w:t>Adapted f</w:t>
            </w:r>
            <w:r w:rsidR="00180B80">
              <w:rPr>
                <w:rFonts w:eastAsia="Times New Roman" w:cs="Calibri"/>
                <w:color w:val="000000"/>
                <w:sz w:val="20"/>
                <w:szCs w:val="20"/>
              </w:rPr>
              <w:t>rom</w:t>
            </w:r>
            <w:r>
              <w:rPr>
                <w:rFonts w:eastAsia="Times New Roman" w:cs="Calibri"/>
                <w:color w:val="000000"/>
                <w:sz w:val="20"/>
                <w:szCs w:val="20"/>
              </w:rPr>
              <w:t xml:space="preserve"> the EMERGE COVID-19 and Gender Survey Questions instrument</w:t>
            </w:r>
            <w:r w:rsidR="0010049E">
              <w:rPr>
                <w:rFonts w:eastAsia="Times New Roman" w:cs="Calibri"/>
                <w:color w:val="000000"/>
                <w:sz w:val="20"/>
                <w:szCs w:val="20"/>
              </w:rPr>
              <w:t xml:space="preserve"> </w:t>
            </w:r>
            <w:r w:rsidR="0010049E" w:rsidRPr="0010049E">
              <w:rPr>
                <w:rFonts w:eastAsia="Times New Roman" w:cs="Calibri"/>
                <w:color w:val="000000"/>
                <w:sz w:val="20"/>
                <w:szCs w:val="20"/>
              </w:rPr>
              <w:t>[</w:t>
            </w:r>
            <w:r w:rsidR="00404FF2">
              <w:rPr>
                <w:rFonts w:eastAsia="Times New Roman" w:cs="Calibri"/>
                <w:color w:val="000000"/>
                <w:sz w:val="20"/>
                <w:szCs w:val="20"/>
              </w:rPr>
              <w:t>3</w:t>
            </w:r>
            <w:r w:rsidR="0010049E" w:rsidRPr="0010049E">
              <w:rPr>
                <w:rFonts w:eastAsia="Times New Roman" w:cs="Calibri"/>
                <w:color w:val="000000"/>
                <w:sz w:val="20"/>
                <w:szCs w:val="20"/>
              </w:rPr>
              <w:t xml:space="preserve">], </w:t>
            </w:r>
            <w:r>
              <w:rPr>
                <w:rFonts w:eastAsia="Times New Roman" w:cs="Calibri"/>
                <w:color w:val="000000"/>
                <w:sz w:val="20"/>
                <w:szCs w:val="20"/>
              </w:rPr>
              <w:t xml:space="preserve">the GAGE survey includes a series of questions asked to female adolescents around menstrual hygiene management. This outcome indicates that the female adolescent respondent who has begun menstruation agrees or partially agrees with one or more of the statements “I am embarrassed about asking family members to support me with my menstrual management” and “I am fearful about asking family members to support me with my menstrual management.” </w:t>
            </w:r>
          </w:p>
        </w:tc>
      </w:tr>
      <w:tr w:rsidR="00C859C0" w:rsidRPr="00C23CF7" w14:paraId="078386A1" w14:textId="77777777" w:rsidTr="001C4294">
        <w:trPr>
          <w:trHeight w:val="327"/>
          <w:jc w:val="center"/>
        </w:trPr>
        <w:tc>
          <w:tcPr>
            <w:tcW w:w="2610" w:type="dxa"/>
            <w:tcBorders>
              <w:left w:val="nil"/>
              <w:right w:val="nil"/>
            </w:tcBorders>
            <w:shd w:val="clear" w:color="auto" w:fill="auto"/>
            <w:noWrap/>
          </w:tcPr>
          <w:p w14:paraId="6A986A6E" w14:textId="0482A9C6" w:rsidR="00C859C0" w:rsidRPr="00C23CF7" w:rsidRDefault="00C859C0" w:rsidP="00C859C0">
            <w:pPr>
              <w:spacing w:after="120" w:line="240" w:lineRule="auto"/>
              <w:rPr>
                <w:rFonts w:eastAsia="Times New Roman" w:cs="Calibri"/>
                <w:color w:val="000000"/>
                <w:sz w:val="20"/>
                <w:szCs w:val="20"/>
              </w:rPr>
            </w:pPr>
            <w:r w:rsidRPr="00C23CF7">
              <w:rPr>
                <w:rFonts w:eastAsia="Times New Roman" w:cs="Calibri"/>
                <w:color w:val="000000"/>
                <w:sz w:val="20"/>
                <w:szCs w:val="20"/>
              </w:rPr>
              <w:t>Adolescent worries about marrying earlier due to pandemic</w:t>
            </w:r>
          </w:p>
        </w:tc>
        <w:tc>
          <w:tcPr>
            <w:tcW w:w="1440" w:type="dxa"/>
            <w:tcBorders>
              <w:left w:val="nil"/>
              <w:right w:val="nil"/>
            </w:tcBorders>
            <w:shd w:val="clear" w:color="auto" w:fill="auto"/>
            <w:noWrap/>
          </w:tcPr>
          <w:p w14:paraId="7437EFED" w14:textId="1EC405E7" w:rsidR="00C859C0" w:rsidRPr="00C23CF7" w:rsidRDefault="00C859C0" w:rsidP="00C859C0">
            <w:pPr>
              <w:spacing w:after="120" w:line="240" w:lineRule="auto"/>
              <w:rPr>
                <w:rFonts w:eastAsia="Times New Roman" w:cs="Calibri"/>
                <w:color w:val="000000"/>
                <w:sz w:val="20"/>
                <w:szCs w:val="20"/>
              </w:rPr>
            </w:pPr>
            <w:r w:rsidRPr="00C23CF7">
              <w:rPr>
                <w:rFonts w:eastAsia="Times New Roman" w:cs="Calibri"/>
                <w:color w:val="000000"/>
                <w:sz w:val="20"/>
                <w:szCs w:val="20"/>
              </w:rPr>
              <w:t>Adolescents who have never been married</w:t>
            </w:r>
          </w:p>
        </w:tc>
        <w:tc>
          <w:tcPr>
            <w:tcW w:w="6750" w:type="dxa"/>
            <w:tcBorders>
              <w:left w:val="nil"/>
              <w:right w:val="nil"/>
            </w:tcBorders>
            <w:shd w:val="clear" w:color="auto" w:fill="auto"/>
            <w:noWrap/>
          </w:tcPr>
          <w:p w14:paraId="20FC3B81" w14:textId="5D970EB2" w:rsidR="00C859C0" w:rsidRPr="00C23CF7" w:rsidRDefault="00C1137D" w:rsidP="00C859C0">
            <w:pPr>
              <w:spacing w:after="120" w:line="240" w:lineRule="auto"/>
              <w:rPr>
                <w:rFonts w:eastAsia="Times New Roman" w:cs="Calibri"/>
                <w:color w:val="000000"/>
                <w:sz w:val="20"/>
                <w:szCs w:val="20"/>
              </w:rPr>
            </w:pPr>
            <w:r>
              <w:rPr>
                <w:rFonts w:eastAsia="Times New Roman" w:cs="Calibri"/>
                <w:color w:val="000000"/>
                <w:sz w:val="20"/>
                <w:szCs w:val="20"/>
              </w:rPr>
              <w:t>Indicates that the adolescent agrees or partially agrees with the statement “</w:t>
            </w:r>
            <w:r w:rsidR="00964BDE">
              <w:rPr>
                <w:rFonts w:eastAsia="Times New Roman" w:cs="Calibri"/>
                <w:color w:val="000000"/>
                <w:sz w:val="20"/>
                <w:szCs w:val="20"/>
              </w:rPr>
              <w:t xml:space="preserve">I worry I will marry earlier as a result of the Corona situation.” Note that this question is only asked to adolescents who have never been married. </w:t>
            </w:r>
          </w:p>
        </w:tc>
      </w:tr>
      <w:tr w:rsidR="00964BDE" w:rsidRPr="00C23CF7" w14:paraId="748A9CDA" w14:textId="77777777" w:rsidTr="001C4294">
        <w:trPr>
          <w:trHeight w:val="327"/>
          <w:jc w:val="center"/>
        </w:trPr>
        <w:tc>
          <w:tcPr>
            <w:tcW w:w="2610" w:type="dxa"/>
            <w:tcBorders>
              <w:left w:val="nil"/>
              <w:bottom w:val="single" w:sz="2" w:space="0" w:color="auto"/>
              <w:right w:val="nil"/>
            </w:tcBorders>
            <w:shd w:val="clear" w:color="auto" w:fill="auto"/>
            <w:noWrap/>
          </w:tcPr>
          <w:p w14:paraId="2E385D00" w14:textId="26058856" w:rsidR="00964BDE" w:rsidRPr="00C23CF7" w:rsidRDefault="00964BDE" w:rsidP="00964BDE">
            <w:pPr>
              <w:spacing w:after="120" w:line="240" w:lineRule="auto"/>
              <w:rPr>
                <w:rFonts w:eastAsia="Times New Roman" w:cs="Calibri"/>
                <w:color w:val="000000"/>
                <w:sz w:val="20"/>
                <w:szCs w:val="20"/>
              </w:rPr>
            </w:pPr>
            <w:r w:rsidRPr="00C23CF7">
              <w:rPr>
                <w:rFonts w:eastAsia="Times New Roman" w:cs="Calibri"/>
                <w:color w:val="000000"/>
                <w:sz w:val="20"/>
                <w:szCs w:val="20"/>
              </w:rPr>
              <w:t>Adolescent agrees pressure to marry decreased due to pandemic</w:t>
            </w:r>
          </w:p>
        </w:tc>
        <w:tc>
          <w:tcPr>
            <w:tcW w:w="1440" w:type="dxa"/>
            <w:tcBorders>
              <w:left w:val="nil"/>
              <w:bottom w:val="single" w:sz="2" w:space="0" w:color="auto"/>
              <w:right w:val="nil"/>
            </w:tcBorders>
            <w:shd w:val="clear" w:color="auto" w:fill="auto"/>
            <w:noWrap/>
          </w:tcPr>
          <w:p w14:paraId="4354A576" w14:textId="5651F795" w:rsidR="00964BDE" w:rsidRPr="00C23CF7" w:rsidRDefault="00964BDE" w:rsidP="00964BDE">
            <w:pPr>
              <w:spacing w:after="120" w:line="240" w:lineRule="auto"/>
              <w:rPr>
                <w:rFonts w:eastAsia="Times New Roman" w:cs="Calibri"/>
                <w:color w:val="000000"/>
                <w:sz w:val="20"/>
                <w:szCs w:val="20"/>
              </w:rPr>
            </w:pPr>
            <w:r w:rsidRPr="00C23CF7">
              <w:rPr>
                <w:rFonts w:eastAsia="Times New Roman" w:cs="Calibri"/>
                <w:color w:val="000000"/>
                <w:sz w:val="20"/>
                <w:szCs w:val="20"/>
              </w:rPr>
              <w:t>Adolescents who have never been married</w:t>
            </w:r>
          </w:p>
        </w:tc>
        <w:tc>
          <w:tcPr>
            <w:tcW w:w="6750" w:type="dxa"/>
            <w:tcBorders>
              <w:left w:val="nil"/>
              <w:bottom w:val="single" w:sz="2" w:space="0" w:color="auto"/>
              <w:right w:val="nil"/>
            </w:tcBorders>
            <w:shd w:val="clear" w:color="auto" w:fill="auto"/>
            <w:noWrap/>
          </w:tcPr>
          <w:p w14:paraId="215C7F41" w14:textId="7365C394" w:rsidR="00964BDE" w:rsidRPr="00C23CF7" w:rsidRDefault="00964BDE" w:rsidP="00964BDE">
            <w:pPr>
              <w:spacing w:after="120" w:line="240" w:lineRule="auto"/>
              <w:rPr>
                <w:rFonts w:eastAsia="Times New Roman" w:cs="Calibri"/>
                <w:color w:val="000000"/>
                <w:sz w:val="20"/>
                <w:szCs w:val="20"/>
              </w:rPr>
            </w:pPr>
            <w:r>
              <w:rPr>
                <w:rFonts w:eastAsia="Times New Roman" w:cs="Calibri"/>
                <w:color w:val="000000"/>
                <w:sz w:val="20"/>
                <w:szCs w:val="20"/>
              </w:rPr>
              <w:t xml:space="preserve">Indicates that the adolescent agrees or partially agrees with the statement “The Corona situation has decreased the pressure on me to get married.” Note that this question is only asked to adolescents who have never been married. </w:t>
            </w:r>
          </w:p>
        </w:tc>
      </w:tr>
      <w:tr w:rsidR="00964BDE" w:rsidRPr="00C23CF7" w14:paraId="25C8E855" w14:textId="77777777" w:rsidTr="00C23CF7">
        <w:trPr>
          <w:trHeight w:val="327"/>
          <w:jc w:val="center"/>
        </w:trPr>
        <w:tc>
          <w:tcPr>
            <w:tcW w:w="10800" w:type="dxa"/>
            <w:gridSpan w:val="3"/>
            <w:tcBorders>
              <w:top w:val="single" w:sz="2" w:space="0" w:color="auto"/>
              <w:left w:val="nil"/>
              <w:bottom w:val="single" w:sz="2" w:space="0" w:color="auto"/>
              <w:right w:val="nil"/>
            </w:tcBorders>
            <w:shd w:val="clear" w:color="auto" w:fill="auto"/>
            <w:noWrap/>
            <w:vAlign w:val="center"/>
          </w:tcPr>
          <w:p w14:paraId="73552DBF" w14:textId="7860433B" w:rsidR="00964BDE" w:rsidRPr="00C23CF7" w:rsidRDefault="00964BDE" w:rsidP="00180B80">
            <w:pPr>
              <w:spacing w:after="0" w:line="240" w:lineRule="auto"/>
              <w:rPr>
                <w:rFonts w:eastAsia="Times New Roman" w:cs="Calibri"/>
                <w:color w:val="000000"/>
                <w:sz w:val="20"/>
                <w:szCs w:val="20"/>
              </w:rPr>
            </w:pPr>
            <w:r w:rsidRPr="00C23CF7">
              <w:rPr>
                <w:rFonts w:eastAsia="Times New Roman" w:cs="Calibri"/>
                <w:color w:val="000000"/>
                <w:sz w:val="20"/>
                <w:szCs w:val="20"/>
              </w:rPr>
              <w:t>Coping Strategies (Table 6)</w:t>
            </w:r>
          </w:p>
        </w:tc>
      </w:tr>
      <w:tr w:rsidR="00964BDE" w:rsidRPr="00C23CF7" w14:paraId="488316F0" w14:textId="77777777" w:rsidTr="00404FF2">
        <w:trPr>
          <w:trHeight w:val="327"/>
          <w:jc w:val="center"/>
        </w:trPr>
        <w:tc>
          <w:tcPr>
            <w:tcW w:w="2610" w:type="dxa"/>
            <w:tcBorders>
              <w:top w:val="single" w:sz="2" w:space="0" w:color="auto"/>
              <w:left w:val="nil"/>
              <w:right w:val="nil"/>
            </w:tcBorders>
            <w:shd w:val="clear" w:color="auto" w:fill="auto"/>
            <w:noWrap/>
          </w:tcPr>
          <w:p w14:paraId="440E144F" w14:textId="02563EBA" w:rsidR="00964BDE" w:rsidRPr="00C23CF7" w:rsidRDefault="00964BDE" w:rsidP="00964BDE">
            <w:pPr>
              <w:spacing w:after="120" w:line="240" w:lineRule="auto"/>
              <w:rPr>
                <w:rFonts w:eastAsia="Times New Roman" w:cs="Calibri"/>
                <w:color w:val="000000"/>
                <w:sz w:val="20"/>
                <w:szCs w:val="20"/>
              </w:rPr>
            </w:pPr>
            <w:r w:rsidRPr="00C23CF7">
              <w:rPr>
                <w:rFonts w:eastAsia="Times New Roman" w:cs="Calibri"/>
                <w:color w:val="000000"/>
                <w:sz w:val="20"/>
                <w:szCs w:val="20"/>
              </w:rPr>
              <w:t>Low Resilient Coping Score (0-9), COVID-R2 only</w:t>
            </w:r>
          </w:p>
        </w:tc>
        <w:tc>
          <w:tcPr>
            <w:tcW w:w="1440" w:type="dxa"/>
            <w:tcBorders>
              <w:top w:val="single" w:sz="2" w:space="0" w:color="auto"/>
              <w:left w:val="nil"/>
              <w:right w:val="nil"/>
            </w:tcBorders>
            <w:shd w:val="clear" w:color="auto" w:fill="auto"/>
            <w:noWrap/>
          </w:tcPr>
          <w:p w14:paraId="6B2DF4D6" w14:textId="0DB6558D" w:rsidR="00964BDE" w:rsidRPr="00C23CF7" w:rsidRDefault="00964BDE" w:rsidP="00404FF2">
            <w:pPr>
              <w:spacing w:after="120" w:line="240" w:lineRule="auto"/>
              <w:rPr>
                <w:rFonts w:eastAsia="Times New Roman" w:cs="Calibri"/>
                <w:color w:val="000000"/>
                <w:sz w:val="20"/>
                <w:szCs w:val="20"/>
              </w:rPr>
            </w:pPr>
            <w:r w:rsidRPr="00C23CF7">
              <w:rPr>
                <w:rFonts w:eastAsia="Times New Roman" w:cs="Calibri"/>
                <w:color w:val="000000"/>
                <w:sz w:val="20"/>
                <w:szCs w:val="20"/>
              </w:rPr>
              <w:t>Adolescent respondent</w:t>
            </w:r>
          </w:p>
        </w:tc>
        <w:tc>
          <w:tcPr>
            <w:tcW w:w="6750" w:type="dxa"/>
            <w:tcBorders>
              <w:top w:val="single" w:sz="2" w:space="0" w:color="auto"/>
              <w:left w:val="nil"/>
              <w:right w:val="nil"/>
            </w:tcBorders>
            <w:shd w:val="clear" w:color="auto" w:fill="auto"/>
            <w:noWrap/>
            <w:vAlign w:val="center"/>
          </w:tcPr>
          <w:p w14:paraId="5D16A349" w14:textId="6FDFB8C3" w:rsidR="00964BDE" w:rsidRPr="00C23CF7" w:rsidRDefault="00180B80" w:rsidP="00964BDE">
            <w:pPr>
              <w:spacing w:after="120" w:line="240" w:lineRule="auto"/>
              <w:rPr>
                <w:rFonts w:eastAsia="Times New Roman" w:cs="Calibri"/>
                <w:color w:val="000000"/>
                <w:sz w:val="20"/>
                <w:szCs w:val="20"/>
              </w:rPr>
            </w:pPr>
            <w:r>
              <w:rPr>
                <w:rFonts w:eastAsia="Times New Roman" w:cs="Calibri"/>
                <w:color w:val="000000"/>
                <w:sz w:val="20"/>
                <w:szCs w:val="20"/>
              </w:rPr>
              <w:t>Adapted from the EMERGE COVID-19 and Gender Survey Questions instrument</w:t>
            </w:r>
            <w:r w:rsidR="0079219D">
              <w:rPr>
                <w:rFonts w:eastAsia="Times New Roman" w:cs="Calibri"/>
                <w:color w:val="000000"/>
                <w:sz w:val="20"/>
                <w:szCs w:val="20"/>
              </w:rPr>
              <w:t xml:space="preserve"> [</w:t>
            </w:r>
            <w:r w:rsidR="00404FF2">
              <w:rPr>
                <w:rFonts w:eastAsia="Times New Roman" w:cs="Calibri"/>
                <w:color w:val="000000"/>
                <w:sz w:val="20"/>
                <w:szCs w:val="20"/>
              </w:rPr>
              <w:t>3</w:t>
            </w:r>
            <w:r w:rsidR="0079219D">
              <w:rPr>
                <w:rFonts w:eastAsia="Times New Roman" w:cs="Calibri"/>
                <w:color w:val="000000"/>
                <w:sz w:val="20"/>
                <w:szCs w:val="20"/>
              </w:rPr>
              <w:t>]</w:t>
            </w:r>
            <w:r>
              <w:rPr>
                <w:rFonts w:eastAsia="Times New Roman" w:cs="Calibri"/>
                <w:color w:val="000000"/>
                <w:sz w:val="20"/>
                <w:szCs w:val="20"/>
              </w:rPr>
              <w:t>, the GAGE COVID-R2 survey administered the Brief Resilient Coping Scale (BRCS) to all adolescents. The BRCS consists of 4 questions on the individual’s behavior and actions surrounding coping in difficult situations and</w:t>
            </w:r>
            <w:r w:rsidR="00404FF2">
              <w:rPr>
                <w:rFonts w:eastAsia="Times New Roman" w:cs="Calibri"/>
                <w:color w:val="000000"/>
                <w:sz w:val="20"/>
                <w:szCs w:val="20"/>
              </w:rPr>
              <w:t xml:space="preserve"> an individual’s ability or tendency to cope with stress </w:t>
            </w:r>
            <w:r w:rsidR="00404FF2" w:rsidRPr="00284287">
              <w:rPr>
                <w:rFonts w:eastAsia="Times New Roman" w:cs="Calibri"/>
                <w:color w:val="000000"/>
                <w:sz w:val="20"/>
                <w:szCs w:val="20"/>
              </w:rPr>
              <w:t>adaptively</w:t>
            </w:r>
            <w:r w:rsidRPr="00284287">
              <w:rPr>
                <w:rFonts w:eastAsia="Times New Roman" w:cs="Calibri"/>
                <w:color w:val="000000"/>
                <w:sz w:val="20"/>
                <w:szCs w:val="20"/>
              </w:rPr>
              <w:t xml:space="preserve"> </w:t>
            </w:r>
            <w:r w:rsidR="0010049E" w:rsidRPr="00284287">
              <w:rPr>
                <w:rFonts w:eastAsia="Times New Roman" w:cs="Calibri"/>
                <w:color w:val="000000"/>
                <w:sz w:val="20"/>
                <w:szCs w:val="20"/>
              </w:rPr>
              <w:t>[6]</w:t>
            </w:r>
            <w:r w:rsidRPr="00284287">
              <w:rPr>
                <w:rFonts w:eastAsia="Times New Roman" w:cs="Calibri"/>
                <w:color w:val="000000"/>
                <w:sz w:val="20"/>
                <w:szCs w:val="20"/>
              </w:rPr>
              <w:t>, where answer options range from 0 “does not describe me at all” to 4 “describes me</w:t>
            </w:r>
            <w:r>
              <w:rPr>
                <w:rFonts w:eastAsia="Times New Roman" w:cs="Calibri"/>
                <w:color w:val="000000"/>
                <w:sz w:val="20"/>
                <w:szCs w:val="20"/>
              </w:rPr>
              <w:t xml:space="preserve"> very well”—although some iterations of the BRCS use a scale of 1-5, with the same answer options. The BRCS is scored on a scale of 0-16</w:t>
            </w:r>
            <w:r w:rsidR="00FF1775">
              <w:rPr>
                <w:rFonts w:eastAsia="Times New Roman" w:cs="Calibri"/>
                <w:color w:val="000000"/>
                <w:sz w:val="20"/>
                <w:szCs w:val="20"/>
              </w:rPr>
              <w:t xml:space="preserve">, where higher scores indicate higher resilient coping. This outcome identifies adolescents who scored within range for low resilient coping tendencies, with a score of 0-9. </w:t>
            </w:r>
          </w:p>
        </w:tc>
      </w:tr>
      <w:tr w:rsidR="00964BDE" w:rsidRPr="00C23CF7" w14:paraId="15C2F7A0" w14:textId="77777777" w:rsidTr="00404FF2">
        <w:trPr>
          <w:trHeight w:val="327"/>
          <w:jc w:val="center"/>
        </w:trPr>
        <w:tc>
          <w:tcPr>
            <w:tcW w:w="2610" w:type="dxa"/>
            <w:tcBorders>
              <w:left w:val="nil"/>
              <w:right w:val="nil"/>
            </w:tcBorders>
            <w:shd w:val="clear" w:color="auto" w:fill="auto"/>
            <w:noWrap/>
          </w:tcPr>
          <w:p w14:paraId="7746B913" w14:textId="43197DE5" w:rsidR="00964BDE" w:rsidRPr="00C23CF7" w:rsidRDefault="00964BDE" w:rsidP="00964BDE">
            <w:pPr>
              <w:spacing w:after="120" w:line="240" w:lineRule="auto"/>
              <w:rPr>
                <w:rFonts w:eastAsia="Times New Roman" w:cs="Calibri"/>
                <w:color w:val="000000"/>
                <w:sz w:val="20"/>
                <w:szCs w:val="20"/>
              </w:rPr>
            </w:pPr>
            <w:r w:rsidRPr="00C23CF7">
              <w:rPr>
                <w:rFonts w:eastAsia="Times New Roman" w:cs="Calibri"/>
                <w:color w:val="000000"/>
                <w:sz w:val="20"/>
                <w:szCs w:val="20"/>
              </w:rPr>
              <w:t>High Resilient Coping Score (13-16), COVID-R2 only</w:t>
            </w:r>
          </w:p>
        </w:tc>
        <w:tc>
          <w:tcPr>
            <w:tcW w:w="1440" w:type="dxa"/>
            <w:tcBorders>
              <w:left w:val="nil"/>
              <w:right w:val="nil"/>
            </w:tcBorders>
            <w:shd w:val="clear" w:color="auto" w:fill="auto"/>
            <w:noWrap/>
          </w:tcPr>
          <w:p w14:paraId="6F370C3B" w14:textId="26FCAD9C" w:rsidR="00964BDE" w:rsidRPr="00C23CF7" w:rsidRDefault="00964BDE" w:rsidP="00404FF2">
            <w:pPr>
              <w:spacing w:after="120" w:line="240" w:lineRule="auto"/>
              <w:rPr>
                <w:rFonts w:eastAsia="Times New Roman" w:cs="Calibri"/>
                <w:color w:val="000000"/>
                <w:sz w:val="20"/>
                <w:szCs w:val="20"/>
              </w:rPr>
            </w:pPr>
            <w:r w:rsidRPr="00C23CF7">
              <w:rPr>
                <w:rFonts w:eastAsia="Times New Roman" w:cs="Calibri"/>
                <w:color w:val="000000"/>
                <w:sz w:val="20"/>
                <w:szCs w:val="20"/>
              </w:rPr>
              <w:t>Adolescent respondent</w:t>
            </w:r>
          </w:p>
        </w:tc>
        <w:tc>
          <w:tcPr>
            <w:tcW w:w="6750" w:type="dxa"/>
            <w:tcBorders>
              <w:left w:val="nil"/>
              <w:right w:val="nil"/>
            </w:tcBorders>
            <w:shd w:val="clear" w:color="auto" w:fill="auto"/>
            <w:noWrap/>
            <w:vAlign w:val="center"/>
          </w:tcPr>
          <w:p w14:paraId="2DDD16DD" w14:textId="2576855D" w:rsidR="00964BDE" w:rsidRPr="00C23CF7" w:rsidRDefault="00FF1775" w:rsidP="00964BDE">
            <w:pPr>
              <w:spacing w:after="120" w:line="240" w:lineRule="auto"/>
              <w:rPr>
                <w:rFonts w:eastAsia="Times New Roman" w:cs="Calibri"/>
                <w:color w:val="000000"/>
                <w:sz w:val="20"/>
                <w:szCs w:val="20"/>
              </w:rPr>
            </w:pPr>
            <w:r>
              <w:rPr>
                <w:rFonts w:eastAsia="Times New Roman" w:cs="Calibri"/>
                <w:color w:val="000000"/>
                <w:sz w:val="20"/>
                <w:szCs w:val="20"/>
              </w:rPr>
              <w:t xml:space="preserve">Based on the BRCS (described above), this indicator identifies adolescents who scored within range for high resilient coping tendencies, with a score of 13-16. </w:t>
            </w:r>
          </w:p>
        </w:tc>
      </w:tr>
      <w:tr w:rsidR="00964BDE" w:rsidRPr="00C23CF7" w14:paraId="60BC97DC" w14:textId="77777777" w:rsidTr="00404FF2">
        <w:trPr>
          <w:trHeight w:val="327"/>
          <w:jc w:val="center"/>
        </w:trPr>
        <w:tc>
          <w:tcPr>
            <w:tcW w:w="2610" w:type="dxa"/>
            <w:tcBorders>
              <w:left w:val="nil"/>
              <w:right w:val="nil"/>
            </w:tcBorders>
            <w:shd w:val="clear" w:color="auto" w:fill="auto"/>
            <w:noWrap/>
          </w:tcPr>
          <w:p w14:paraId="2E19D213" w14:textId="4494D0A5" w:rsidR="00964BDE" w:rsidRPr="00C23CF7" w:rsidRDefault="00964BDE" w:rsidP="00964BDE">
            <w:pPr>
              <w:spacing w:after="120" w:line="240" w:lineRule="auto"/>
              <w:rPr>
                <w:rFonts w:eastAsia="Times New Roman" w:cs="Calibri"/>
                <w:color w:val="000000"/>
                <w:sz w:val="20"/>
                <w:szCs w:val="20"/>
              </w:rPr>
            </w:pPr>
            <w:r w:rsidRPr="00C23CF7">
              <w:rPr>
                <w:rFonts w:eastAsia="Times New Roman" w:cs="Calibri"/>
                <w:color w:val="000000"/>
                <w:sz w:val="20"/>
                <w:szCs w:val="20"/>
              </w:rPr>
              <w:t>Adolescent reports coping well with stress caused by pandemic, COVID-R2 only</w:t>
            </w:r>
          </w:p>
        </w:tc>
        <w:tc>
          <w:tcPr>
            <w:tcW w:w="1440" w:type="dxa"/>
            <w:tcBorders>
              <w:left w:val="nil"/>
              <w:right w:val="nil"/>
            </w:tcBorders>
            <w:shd w:val="clear" w:color="auto" w:fill="auto"/>
            <w:noWrap/>
          </w:tcPr>
          <w:p w14:paraId="2F9CF4A7" w14:textId="469CF3AB" w:rsidR="00964BDE" w:rsidRPr="00C23CF7" w:rsidRDefault="00964BDE" w:rsidP="00404FF2">
            <w:pPr>
              <w:spacing w:after="120" w:line="240" w:lineRule="auto"/>
              <w:rPr>
                <w:rFonts w:eastAsia="Times New Roman" w:cs="Calibri"/>
                <w:color w:val="000000"/>
                <w:sz w:val="20"/>
                <w:szCs w:val="20"/>
              </w:rPr>
            </w:pPr>
            <w:r w:rsidRPr="00C23CF7">
              <w:rPr>
                <w:rFonts w:eastAsia="Times New Roman" w:cs="Calibri"/>
                <w:color w:val="000000"/>
                <w:sz w:val="20"/>
                <w:szCs w:val="20"/>
              </w:rPr>
              <w:t>Adolescent respondent</w:t>
            </w:r>
          </w:p>
        </w:tc>
        <w:tc>
          <w:tcPr>
            <w:tcW w:w="6750" w:type="dxa"/>
            <w:tcBorders>
              <w:left w:val="nil"/>
              <w:right w:val="nil"/>
            </w:tcBorders>
            <w:shd w:val="clear" w:color="auto" w:fill="auto"/>
            <w:noWrap/>
            <w:vAlign w:val="center"/>
          </w:tcPr>
          <w:p w14:paraId="336264AA" w14:textId="7D64276A" w:rsidR="00964BDE" w:rsidRPr="00C23CF7" w:rsidRDefault="00FF1775" w:rsidP="00964BDE">
            <w:pPr>
              <w:spacing w:after="120" w:line="240" w:lineRule="auto"/>
              <w:rPr>
                <w:rFonts w:eastAsia="Times New Roman" w:cs="Calibri"/>
                <w:color w:val="000000"/>
                <w:sz w:val="20"/>
                <w:szCs w:val="20"/>
              </w:rPr>
            </w:pPr>
            <w:r>
              <w:rPr>
                <w:rFonts w:eastAsia="Times New Roman" w:cs="Calibri"/>
                <w:color w:val="000000"/>
                <w:sz w:val="20"/>
                <w:szCs w:val="20"/>
              </w:rPr>
              <w:t>Following the BRCS, the GAGE COVID-R2 survey asks an additional 4 questions in the same format as the original BRCS scale focused specifically on coping during the COVID-19 pandemic, including this outcome. This outcome identifies adolescents who agreed that the statement “I am coping well with the difficulty and stress caused by the Corona/COVID-19 pandemic” either “describes me” or “describes me very well.”</w:t>
            </w:r>
          </w:p>
        </w:tc>
      </w:tr>
      <w:tr w:rsidR="00FF1775" w:rsidRPr="00C23CF7" w14:paraId="3BC64A1B" w14:textId="77777777" w:rsidTr="00404FF2">
        <w:trPr>
          <w:trHeight w:val="327"/>
          <w:jc w:val="center"/>
        </w:trPr>
        <w:tc>
          <w:tcPr>
            <w:tcW w:w="2610" w:type="dxa"/>
            <w:tcBorders>
              <w:left w:val="nil"/>
              <w:right w:val="nil"/>
            </w:tcBorders>
            <w:shd w:val="clear" w:color="auto" w:fill="auto"/>
            <w:noWrap/>
          </w:tcPr>
          <w:p w14:paraId="2977061F" w14:textId="37FB882F" w:rsidR="00FF1775" w:rsidRPr="00C23CF7" w:rsidRDefault="00FF1775" w:rsidP="00FF1775">
            <w:pPr>
              <w:spacing w:after="120" w:line="240" w:lineRule="auto"/>
              <w:rPr>
                <w:rFonts w:eastAsia="Times New Roman" w:cs="Calibri"/>
                <w:color w:val="000000"/>
                <w:sz w:val="20"/>
                <w:szCs w:val="20"/>
              </w:rPr>
            </w:pPr>
            <w:r w:rsidRPr="00C23CF7">
              <w:rPr>
                <w:rFonts w:eastAsia="Times New Roman" w:cs="Calibri"/>
                <w:color w:val="000000"/>
                <w:sz w:val="20"/>
                <w:szCs w:val="20"/>
              </w:rPr>
              <w:lastRenderedPageBreak/>
              <w:t>Adolescent reports seeking comfort and guidance from religion, COVID-R2 only</w:t>
            </w:r>
          </w:p>
        </w:tc>
        <w:tc>
          <w:tcPr>
            <w:tcW w:w="1440" w:type="dxa"/>
            <w:tcBorders>
              <w:left w:val="nil"/>
              <w:right w:val="nil"/>
            </w:tcBorders>
            <w:shd w:val="clear" w:color="auto" w:fill="auto"/>
            <w:noWrap/>
          </w:tcPr>
          <w:p w14:paraId="5632974C" w14:textId="0E3CB13B" w:rsidR="00FF1775" w:rsidRPr="00C23CF7" w:rsidRDefault="00FF1775" w:rsidP="00404FF2">
            <w:pPr>
              <w:spacing w:after="120" w:line="240" w:lineRule="auto"/>
              <w:rPr>
                <w:rFonts w:eastAsia="Times New Roman" w:cs="Calibri"/>
                <w:color w:val="000000"/>
                <w:sz w:val="20"/>
                <w:szCs w:val="20"/>
              </w:rPr>
            </w:pPr>
            <w:r w:rsidRPr="00C23CF7">
              <w:rPr>
                <w:rFonts w:eastAsia="Times New Roman" w:cs="Calibri"/>
                <w:color w:val="000000"/>
                <w:sz w:val="20"/>
                <w:szCs w:val="20"/>
              </w:rPr>
              <w:t>Adolescent respondent</w:t>
            </w:r>
          </w:p>
        </w:tc>
        <w:tc>
          <w:tcPr>
            <w:tcW w:w="6750" w:type="dxa"/>
            <w:tcBorders>
              <w:left w:val="nil"/>
              <w:right w:val="nil"/>
            </w:tcBorders>
            <w:shd w:val="clear" w:color="auto" w:fill="auto"/>
            <w:noWrap/>
            <w:vAlign w:val="center"/>
          </w:tcPr>
          <w:p w14:paraId="6DE315C0" w14:textId="3631C260" w:rsidR="00FF1775" w:rsidRPr="00C23CF7" w:rsidRDefault="00FF1775" w:rsidP="00FF1775">
            <w:pPr>
              <w:spacing w:after="120" w:line="240" w:lineRule="auto"/>
              <w:rPr>
                <w:rFonts w:eastAsia="Times New Roman" w:cs="Calibri"/>
                <w:color w:val="000000"/>
                <w:sz w:val="20"/>
                <w:szCs w:val="20"/>
              </w:rPr>
            </w:pPr>
            <w:r>
              <w:rPr>
                <w:rFonts w:eastAsia="Times New Roman" w:cs="Calibri"/>
                <w:color w:val="000000"/>
                <w:sz w:val="20"/>
                <w:szCs w:val="20"/>
              </w:rPr>
              <w:t>Following the BRCS, the GAGE COVID-R2 survey asks an additional 4 questions in the same format as the original BRCS scale focused specifically on coping during the COVID-19 pandemic, including this outcome. This outcome identifies adolescents who agreed that the statement “I seek comfort and guidance from religion, such as by praying, reading from the holy book, or other religious activities” either “describes me” or “describes me very well.”</w:t>
            </w:r>
          </w:p>
        </w:tc>
      </w:tr>
      <w:tr w:rsidR="00FF1775" w:rsidRPr="00C23CF7" w14:paraId="1FDEAC8B" w14:textId="77777777" w:rsidTr="00404FF2">
        <w:trPr>
          <w:trHeight w:val="327"/>
          <w:jc w:val="center"/>
        </w:trPr>
        <w:tc>
          <w:tcPr>
            <w:tcW w:w="2610" w:type="dxa"/>
            <w:tcBorders>
              <w:left w:val="nil"/>
              <w:right w:val="nil"/>
            </w:tcBorders>
            <w:shd w:val="clear" w:color="auto" w:fill="auto"/>
            <w:noWrap/>
          </w:tcPr>
          <w:p w14:paraId="07EF4352" w14:textId="330239BF" w:rsidR="00FF1775" w:rsidRPr="00C23CF7" w:rsidRDefault="00FF1775" w:rsidP="00FF1775">
            <w:pPr>
              <w:spacing w:after="120" w:line="240" w:lineRule="auto"/>
              <w:rPr>
                <w:rFonts w:eastAsia="Times New Roman" w:cs="Calibri"/>
                <w:color w:val="000000"/>
                <w:sz w:val="20"/>
                <w:szCs w:val="20"/>
              </w:rPr>
            </w:pPr>
            <w:r w:rsidRPr="00C23CF7">
              <w:rPr>
                <w:rFonts w:eastAsia="Times New Roman" w:cs="Calibri"/>
                <w:color w:val="000000"/>
                <w:sz w:val="20"/>
                <w:szCs w:val="20"/>
              </w:rPr>
              <w:t>Adolescent ever smoked cigarettes (males age 15+ only)</w:t>
            </w:r>
          </w:p>
        </w:tc>
        <w:tc>
          <w:tcPr>
            <w:tcW w:w="1440" w:type="dxa"/>
            <w:tcBorders>
              <w:left w:val="nil"/>
              <w:right w:val="nil"/>
            </w:tcBorders>
            <w:shd w:val="clear" w:color="auto" w:fill="auto"/>
            <w:noWrap/>
          </w:tcPr>
          <w:p w14:paraId="00F66487" w14:textId="13B8ADE3" w:rsidR="00FF1775" w:rsidRPr="00C23CF7" w:rsidRDefault="00FF1775" w:rsidP="00404FF2">
            <w:pPr>
              <w:spacing w:after="120" w:line="240" w:lineRule="auto"/>
              <w:rPr>
                <w:rFonts w:eastAsia="Times New Roman" w:cs="Calibri"/>
                <w:color w:val="000000"/>
                <w:sz w:val="20"/>
                <w:szCs w:val="20"/>
              </w:rPr>
            </w:pPr>
            <w:r>
              <w:rPr>
                <w:rFonts w:eastAsia="Times New Roman" w:cs="Calibri"/>
                <w:color w:val="000000"/>
                <w:sz w:val="20"/>
                <w:szCs w:val="20"/>
              </w:rPr>
              <w:t>Male adolescent respondents, age 15 and older</w:t>
            </w:r>
          </w:p>
        </w:tc>
        <w:tc>
          <w:tcPr>
            <w:tcW w:w="6750" w:type="dxa"/>
            <w:tcBorders>
              <w:left w:val="nil"/>
              <w:right w:val="nil"/>
            </w:tcBorders>
            <w:shd w:val="clear" w:color="auto" w:fill="auto"/>
            <w:noWrap/>
            <w:vAlign w:val="center"/>
          </w:tcPr>
          <w:p w14:paraId="077B4A51" w14:textId="208D9B4D" w:rsidR="00FF1775" w:rsidRPr="00C23CF7" w:rsidRDefault="00357CE4" w:rsidP="00FF1775">
            <w:pPr>
              <w:spacing w:after="120" w:line="240" w:lineRule="auto"/>
              <w:rPr>
                <w:rFonts w:eastAsia="Times New Roman" w:cs="Calibri"/>
                <w:color w:val="000000"/>
                <w:sz w:val="20"/>
                <w:szCs w:val="20"/>
              </w:rPr>
            </w:pPr>
            <w:r>
              <w:rPr>
                <w:rFonts w:eastAsia="Times New Roman" w:cs="Calibri"/>
                <w:color w:val="000000"/>
                <w:sz w:val="20"/>
                <w:szCs w:val="20"/>
              </w:rPr>
              <w:t xml:space="preserve">Indicates that the adolescent responded “yes” to the question “Have you ever smoked cigarettes?” Note that this question is only asks to adolescents age 15 and older. Beginning at COVID-R2, this question was only asked to male adolescents. Throughout this paper, this outcome is presented among adolescent males age 15 and older only. </w:t>
            </w:r>
          </w:p>
        </w:tc>
      </w:tr>
      <w:tr w:rsidR="00FF1775" w:rsidRPr="00C23CF7" w14:paraId="0708543E" w14:textId="77777777" w:rsidTr="00404FF2">
        <w:trPr>
          <w:cantSplit/>
          <w:trHeight w:val="327"/>
          <w:jc w:val="center"/>
        </w:trPr>
        <w:tc>
          <w:tcPr>
            <w:tcW w:w="2610" w:type="dxa"/>
            <w:tcBorders>
              <w:left w:val="nil"/>
              <w:right w:val="nil"/>
            </w:tcBorders>
            <w:shd w:val="clear" w:color="auto" w:fill="auto"/>
            <w:noWrap/>
          </w:tcPr>
          <w:p w14:paraId="351C534E" w14:textId="48B4F958" w:rsidR="00FF1775" w:rsidRPr="00C23CF7" w:rsidRDefault="00FF1775" w:rsidP="00FF1775">
            <w:pPr>
              <w:spacing w:after="120" w:line="240" w:lineRule="auto"/>
              <w:rPr>
                <w:rFonts w:eastAsia="Times New Roman" w:cs="Calibri"/>
                <w:color w:val="000000"/>
                <w:sz w:val="20"/>
                <w:szCs w:val="20"/>
              </w:rPr>
            </w:pPr>
            <w:r w:rsidRPr="00C23CF7">
              <w:rPr>
                <w:rFonts w:eastAsia="Times New Roman" w:cs="Calibri"/>
                <w:color w:val="000000"/>
                <w:sz w:val="20"/>
                <w:szCs w:val="20"/>
              </w:rPr>
              <w:t>Increased smoking in pandemic (among regular smokers, males age 15+ only)</w:t>
            </w:r>
          </w:p>
        </w:tc>
        <w:tc>
          <w:tcPr>
            <w:tcW w:w="1440" w:type="dxa"/>
            <w:tcBorders>
              <w:left w:val="nil"/>
              <w:right w:val="nil"/>
            </w:tcBorders>
            <w:shd w:val="clear" w:color="auto" w:fill="auto"/>
            <w:noWrap/>
          </w:tcPr>
          <w:p w14:paraId="1AB4B287" w14:textId="4843294A" w:rsidR="00FF1775" w:rsidRPr="00C23CF7" w:rsidRDefault="00FF1775" w:rsidP="00404FF2">
            <w:pPr>
              <w:spacing w:after="120" w:line="240" w:lineRule="auto"/>
              <w:rPr>
                <w:rFonts w:eastAsia="Times New Roman" w:cs="Calibri"/>
                <w:color w:val="000000"/>
                <w:sz w:val="20"/>
                <w:szCs w:val="20"/>
              </w:rPr>
            </w:pPr>
            <w:r>
              <w:rPr>
                <w:rFonts w:eastAsia="Times New Roman" w:cs="Calibri"/>
                <w:color w:val="000000"/>
                <w:sz w:val="20"/>
                <w:szCs w:val="20"/>
              </w:rPr>
              <w:t>Male adolescent respondents, age 15 and older</w:t>
            </w:r>
          </w:p>
        </w:tc>
        <w:tc>
          <w:tcPr>
            <w:tcW w:w="6750" w:type="dxa"/>
            <w:tcBorders>
              <w:left w:val="nil"/>
              <w:right w:val="nil"/>
            </w:tcBorders>
            <w:shd w:val="clear" w:color="auto" w:fill="auto"/>
            <w:noWrap/>
            <w:vAlign w:val="center"/>
          </w:tcPr>
          <w:p w14:paraId="21319AB2" w14:textId="551F620B" w:rsidR="00FF1775" w:rsidRPr="00C23CF7" w:rsidRDefault="00357CE4" w:rsidP="00FF1775">
            <w:pPr>
              <w:spacing w:after="120" w:line="240" w:lineRule="auto"/>
              <w:rPr>
                <w:rFonts w:eastAsia="Times New Roman" w:cs="Calibri"/>
                <w:color w:val="000000"/>
                <w:sz w:val="20"/>
                <w:szCs w:val="20"/>
              </w:rPr>
            </w:pPr>
            <w:r>
              <w:rPr>
                <w:rFonts w:eastAsia="Times New Roman" w:cs="Calibri"/>
                <w:color w:val="000000"/>
                <w:sz w:val="20"/>
                <w:szCs w:val="20"/>
              </w:rPr>
              <w:t>Indicates that the adolescent responded to the question “</w:t>
            </w:r>
            <w:r w:rsidR="00094723">
              <w:rPr>
                <w:rFonts w:eastAsia="Times New Roman" w:cs="Calibri"/>
                <w:color w:val="000000"/>
                <w:sz w:val="20"/>
                <w:szCs w:val="20"/>
              </w:rPr>
              <w:t>Compared to the time right before the Corona situation to now, are you smoking more, less, or about the same number of cigarettes as usual</w:t>
            </w:r>
            <w:r>
              <w:rPr>
                <w:rFonts w:eastAsia="Times New Roman" w:cs="Calibri"/>
                <w:color w:val="000000"/>
                <w:sz w:val="20"/>
                <w:szCs w:val="20"/>
              </w:rPr>
              <w:t>?”</w:t>
            </w:r>
            <w:r w:rsidR="00094723">
              <w:rPr>
                <w:rFonts w:eastAsia="Times New Roman" w:cs="Calibri"/>
                <w:color w:val="000000"/>
                <w:sz w:val="20"/>
                <w:szCs w:val="20"/>
              </w:rPr>
              <w:t xml:space="preserve"> with “More.”</w:t>
            </w:r>
            <w:r>
              <w:rPr>
                <w:rFonts w:eastAsia="Times New Roman" w:cs="Calibri"/>
                <w:color w:val="000000"/>
                <w:sz w:val="20"/>
                <w:szCs w:val="20"/>
              </w:rPr>
              <w:t xml:space="preserve"> Note </w:t>
            </w:r>
            <w:r w:rsidR="00094723">
              <w:rPr>
                <w:rFonts w:eastAsia="Times New Roman" w:cs="Calibri"/>
                <w:color w:val="000000"/>
                <w:sz w:val="20"/>
                <w:szCs w:val="20"/>
              </w:rPr>
              <w:t>that this outcome excludes all adolescents who have never smoked cigarettes, as well as those adolescents who reported not being regular smokers.</w:t>
            </w:r>
          </w:p>
        </w:tc>
      </w:tr>
      <w:tr w:rsidR="00FF1775" w:rsidRPr="00C23CF7" w14:paraId="0AAEF036" w14:textId="77777777" w:rsidTr="00404FF2">
        <w:trPr>
          <w:trHeight w:val="327"/>
          <w:jc w:val="center"/>
        </w:trPr>
        <w:tc>
          <w:tcPr>
            <w:tcW w:w="2610" w:type="dxa"/>
            <w:tcBorders>
              <w:left w:val="nil"/>
              <w:bottom w:val="single" w:sz="2" w:space="0" w:color="auto"/>
              <w:right w:val="nil"/>
            </w:tcBorders>
            <w:shd w:val="clear" w:color="auto" w:fill="auto"/>
            <w:noWrap/>
          </w:tcPr>
          <w:p w14:paraId="2743686C" w14:textId="2BDBB6F7" w:rsidR="00FF1775" w:rsidRPr="00C23CF7" w:rsidRDefault="00FF1775" w:rsidP="00FF1775">
            <w:pPr>
              <w:spacing w:after="120" w:line="240" w:lineRule="auto"/>
              <w:rPr>
                <w:rFonts w:eastAsia="Times New Roman" w:cs="Calibri"/>
                <w:color w:val="000000"/>
                <w:sz w:val="20"/>
                <w:szCs w:val="20"/>
              </w:rPr>
            </w:pPr>
            <w:r w:rsidRPr="00C23CF7">
              <w:rPr>
                <w:rFonts w:eastAsia="Times New Roman" w:cs="Calibri"/>
                <w:color w:val="000000"/>
                <w:sz w:val="20"/>
                <w:szCs w:val="20"/>
              </w:rPr>
              <w:t>Decreased smoking in pandemic (among regular smokers, males 15+ only)</w:t>
            </w:r>
          </w:p>
        </w:tc>
        <w:tc>
          <w:tcPr>
            <w:tcW w:w="1440" w:type="dxa"/>
            <w:tcBorders>
              <w:left w:val="nil"/>
              <w:bottom w:val="single" w:sz="2" w:space="0" w:color="auto"/>
              <w:right w:val="nil"/>
            </w:tcBorders>
            <w:shd w:val="clear" w:color="auto" w:fill="auto"/>
            <w:noWrap/>
          </w:tcPr>
          <w:p w14:paraId="6009C1B6" w14:textId="0829EFED" w:rsidR="00FF1775" w:rsidRPr="00C23CF7" w:rsidRDefault="00FF1775" w:rsidP="00404FF2">
            <w:pPr>
              <w:spacing w:after="120" w:line="240" w:lineRule="auto"/>
              <w:rPr>
                <w:rFonts w:eastAsia="Times New Roman" w:cs="Calibri"/>
                <w:color w:val="000000"/>
                <w:sz w:val="20"/>
                <w:szCs w:val="20"/>
              </w:rPr>
            </w:pPr>
            <w:r>
              <w:rPr>
                <w:rFonts w:eastAsia="Times New Roman" w:cs="Calibri"/>
                <w:color w:val="000000"/>
                <w:sz w:val="20"/>
                <w:szCs w:val="20"/>
              </w:rPr>
              <w:t>Male adolescent respondents, age 15 and older</w:t>
            </w:r>
          </w:p>
        </w:tc>
        <w:tc>
          <w:tcPr>
            <w:tcW w:w="6750" w:type="dxa"/>
            <w:tcBorders>
              <w:left w:val="nil"/>
              <w:bottom w:val="single" w:sz="2" w:space="0" w:color="auto"/>
              <w:right w:val="nil"/>
            </w:tcBorders>
            <w:shd w:val="clear" w:color="auto" w:fill="auto"/>
            <w:noWrap/>
            <w:vAlign w:val="center"/>
          </w:tcPr>
          <w:p w14:paraId="71595215" w14:textId="2E54479E" w:rsidR="00FF1775" w:rsidRPr="00C23CF7" w:rsidRDefault="00094723" w:rsidP="00FF1775">
            <w:pPr>
              <w:spacing w:after="120" w:line="240" w:lineRule="auto"/>
              <w:rPr>
                <w:rFonts w:eastAsia="Times New Roman" w:cs="Calibri"/>
                <w:color w:val="000000"/>
                <w:sz w:val="20"/>
                <w:szCs w:val="20"/>
              </w:rPr>
            </w:pPr>
            <w:r>
              <w:rPr>
                <w:rFonts w:eastAsia="Times New Roman" w:cs="Calibri"/>
                <w:color w:val="000000"/>
                <w:sz w:val="20"/>
                <w:szCs w:val="20"/>
              </w:rPr>
              <w:t>Indicates that the adolescent responded to the question “Compared to the time right before the Corona situation to now, are you smoking more, less, or about the same number of cigarettes as usual?” with “Less.” Note that this outcome excludes all adolescents who have never smoked cigarettes, as well as those adolescents who reported not being regular smokers.</w:t>
            </w:r>
          </w:p>
        </w:tc>
      </w:tr>
      <w:tr w:rsidR="00FF1775" w:rsidRPr="00C23CF7" w14:paraId="2211C50C" w14:textId="77777777" w:rsidTr="00C23CF7">
        <w:trPr>
          <w:trHeight w:val="327"/>
          <w:jc w:val="center"/>
        </w:trPr>
        <w:tc>
          <w:tcPr>
            <w:tcW w:w="10800" w:type="dxa"/>
            <w:gridSpan w:val="3"/>
            <w:tcBorders>
              <w:top w:val="single" w:sz="2" w:space="0" w:color="auto"/>
              <w:left w:val="nil"/>
              <w:bottom w:val="single" w:sz="2" w:space="0" w:color="auto"/>
              <w:right w:val="nil"/>
            </w:tcBorders>
            <w:shd w:val="clear" w:color="auto" w:fill="auto"/>
            <w:noWrap/>
            <w:vAlign w:val="center"/>
          </w:tcPr>
          <w:p w14:paraId="479108F7" w14:textId="21696355" w:rsidR="00FF1775" w:rsidRPr="00C23CF7" w:rsidRDefault="00FF1775" w:rsidP="00FF1775">
            <w:pPr>
              <w:spacing w:after="120" w:line="240" w:lineRule="auto"/>
              <w:rPr>
                <w:rFonts w:eastAsia="Times New Roman" w:cs="Calibri"/>
                <w:color w:val="000000"/>
                <w:sz w:val="20"/>
                <w:szCs w:val="20"/>
              </w:rPr>
            </w:pPr>
            <w:r w:rsidRPr="00C23CF7">
              <w:rPr>
                <w:rFonts w:eastAsia="Times New Roman" w:cs="Calibri"/>
                <w:color w:val="000000"/>
                <w:sz w:val="20"/>
                <w:szCs w:val="20"/>
              </w:rPr>
              <w:t>Social Connections (Table 7)</w:t>
            </w:r>
          </w:p>
        </w:tc>
      </w:tr>
      <w:tr w:rsidR="00FF1775" w:rsidRPr="00C23CF7" w14:paraId="30827004" w14:textId="77777777" w:rsidTr="004D2BF9">
        <w:trPr>
          <w:trHeight w:val="327"/>
          <w:jc w:val="center"/>
        </w:trPr>
        <w:tc>
          <w:tcPr>
            <w:tcW w:w="2610" w:type="dxa"/>
            <w:tcBorders>
              <w:top w:val="single" w:sz="2" w:space="0" w:color="auto"/>
              <w:left w:val="nil"/>
              <w:right w:val="nil"/>
            </w:tcBorders>
            <w:shd w:val="clear" w:color="auto" w:fill="auto"/>
            <w:noWrap/>
          </w:tcPr>
          <w:p w14:paraId="142E7563" w14:textId="3C15EC63" w:rsidR="00FF1775" w:rsidRPr="00C23CF7" w:rsidRDefault="00FF1775" w:rsidP="004D2BF9">
            <w:pPr>
              <w:spacing w:after="120" w:line="240" w:lineRule="auto"/>
              <w:rPr>
                <w:rFonts w:eastAsia="Times New Roman" w:cs="Calibri"/>
                <w:color w:val="000000"/>
                <w:sz w:val="20"/>
                <w:szCs w:val="20"/>
              </w:rPr>
            </w:pPr>
            <w:r w:rsidRPr="00C23CF7">
              <w:rPr>
                <w:rFonts w:eastAsia="Times New Roman" w:cs="Calibri"/>
                <w:color w:val="000000"/>
                <w:sz w:val="20"/>
                <w:szCs w:val="20"/>
              </w:rPr>
              <w:t>Adolescent received family support for schooling (among enrolled pre-pandemic)</w:t>
            </w:r>
          </w:p>
        </w:tc>
        <w:tc>
          <w:tcPr>
            <w:tcW w:w="1440" w:type="dxa"/>
            <w:tcBorders>
              <w:top w:val="single" w:sz="2" w:space="0" w:color="auto"/>
              <w:left w:val="nil"/>
              <w:right w:val="nil"/>
            </w:tcBorders>
            <w:shd w:val="clear" w:color="auto" w:fill="auto"/>
            <w:noWrap/>
          </w:tcPr>
          <w:p w14:paraId="555A20C5" w14:textId="7A9372F1" w:rsidR="00FF1775" w:rsidRPr="00C23CF7" w:rsidRDefault="00FF1775" w:rsidP="00404FF2">
            <w:pPr>
              <w:spacing w:after="120" w:line="240" w:lineRule="auto"/>
              <w:rPr>
                <w:rFonts w:eastAsia="Times New Roman" w:cs="Calibri"/>
                <w:color w:val="000000"/>
                <w:sz w:val="20"/>
                <w:szCs w:val="20"/>
              </w:rPr>
            </w:pPr>
            <w:r w:rsidRPr="00C23CF7">
              <w:rPr>
                <w:rFonts w:eastAsia="Times New Roman" w:cs="Calibri"/>
                <w:color w:val="000000"/>
                <w:sz w:val="20"/>
                <w:szCs w:val="20"/>
              </w:rPr>
              <w:t>Adolescent respondent</w:t>
            </w:r>
            <w:r>
              <w:rPr>
                <w:rFonts w:eastAsia="Times New Roman" w:cs="Calibri"/>
                <w:color w:val="000000"/>
                <w:sz w:val="20"/>
                <w:szCs w:val="20"/>
              </w:rPr>
              <w:t>s who reported school enrollment pre-pandemic</w:t>
            </w:r>
          </w:p>
        </w:tc>
        <w:tc>
          <w:tcPr>
            <w:tcW w:w="6750" w:type="dxa"/>
            <w:tcBorders>
              <w:top w:val="single" w:sz="2" w:space="0" w:color="auto"/>
              <w:left w:val="nil"/>
              <w:right w:val="nil"/>
            </w:tcBorders>
            <w:shd w:val="clear" w:color="auto" w:fill="auto"/>
            <w:noWrap/>
            <w:vAlign w:val="center"/>
          </w:tcPr>
          <w:p w14:paraId="7DA7FC2E" w14:textId="72282540" w:rsidR="00FF1775" w:rsidRPr="00C23CF7" w:rsidRDefault="00FF1775" w:rsidP="00FF1775">
            <w:pPr>
              <w:spacing w:after="120" w:line="240" w:lineRule="auto"/>
              <w:rPr>
                <w:rFonts w:eastAsia="Times New Roman" w:cs="Calibri"/>
                <w:color w:val="000000"/>
                <w:sz w:val="20"/>
                <w:szCs w:val="20"/>
              </w:rPr>
            </w:pPr>
            <w:r>
              <w:rPr>
                <w:rFonts w:eastAsia="Times New Roman" w:cs="Calibri"/>
                <w:color w:val="000000"/>
                <w:sz w:val="20"/>
                <w:szCs w:val="20"/>
              </w:rPr>
              <w:t xml:space="preserve">Indicates that the adolescent responded “Yes” to the question “Is your family providing any support for learning while schools are closed”, regardless of the type of support provided. Note that this question is only asked to adolescents who 1) indicated that they were enrolled in school prior to the pandemic in March 2020 or 2) indicated that they re-enrolled in school in-person during Jordan’s brief school </w:t>
            </w:r>
            <w:r w:rsidR="009713DA">
              <w:rPr>
                <w:rFonts w:eastAsia="Times New Roman" w:cs="Calibri"/>
                <w:color w:val="000000"/>
                <w:sz w:val="20"/>
                <w:szCs w:val="20"/>
              </w:rPr>
              <w:t>re</w:t>
            </w:r>
            <w:r>
              <w:rPr>
                <w:rFonts w:eastAsia="Times New Roman" w:cs="Calibri"/>
                <w:color w:val="000000"/>
                <w:sz w:val="20"/>
                <w:szCs w:val="20"/>
              </w:rPr>
              <w:t xml:space="preserve">opening in September 2020 (COVID-R2 only). </w:t>
            </w:r>
          </w:p>
        </w:tc>
      </w:tr>
      <w:tr w:rsidR="00FF1775" w:rsidRPr="00C23CF7" w14:paraId="7C91D7A1" w14:textId="77777777" w:rsidTr="004D2BF9">
        <w:trPr>
          <w:trHeight w:val="327"/>
          <w:jc w:val="center"/>
        </w:trPr>
        <w:tc>
          <w:tcPr>
            <w:tcW w:w="2610" w:type="dxa"/>
            <w:tcBorders>
              <w:left w:val="nil"/>
              <w:right w:val="nil"/>
            </w:tcBorders>
            <w:shd w:val="clear" w:color="auto" w:fill="auto"/>
            <w:noWrap/>
          </w:tcPr>
          <w:p w14:paraId="6C42DB82" w14:textId="02FC24B0" w:rsidR="00FF1775" w:rsidRPr="00C23CF7" w:rsidRDefault="00FF1775" w:rsidP="004D2BF9">
            <w:pPr>
              <w:spacing w:after="120" w:line="240" w:lineRule="auto"/>
              <w:rPr>
                <w:rFonts w:eastAsia="Times New Roman" w:cs="Calibri"/>
                <w:color w:val="000000"/>
                <w:sz w:val="20"/>
                <w:szCs w:val="20"/>
              </w:rPr>
            </w:pPr>
            <w:r w:rsidRPr="00C23CF7">
              <w:rPr>
                <w:rFonts w:eastAsia="Times New Roman" w:cs="Calibri"/>
                <w:color w:val="000000"/>
                <w:sz w:val="20"/>
                <w:szCs w:val="20"/>
              </w:rPr>
              <w:t>Household had contact with a teacher in last week (among enrolled pre-pandemic)</w:t>
            </w:r>
          </w:p>
        </w:tc>
        <w:tc>
          <w:tcPr>
            <w:tcW w:w="1440" w:type="dxa"/>
            <w:tcBorders>
              <w:left w:val="nil"/>
              <w:right w:val="nil"/>
            </w:tcBorders>
            <w:shd w:val="clear" w:color="auto" w:fill="auto"/>
            <w:noWrap/>
          </w:tcPr>
          <w:p w14:paraId="5BEC0A21" w14:textId="5A372E99" w:rsidR="00FF1775" w:rsidRPr="00C23CF7" w:rsidRDefault="00FF1775" w:rsidP="00404FF2">
            <w:pPr>
              <w:spacing w:after="120" w:line="240" w:lineRule="auto"/>
              <w:rPr>
                <w:rFonts w:eastAsia="Times New Roman" w:cs="Calibri"/>
                <w:color w:val="000000"/>
                <w:sz w:val="20"/>
                <w:szCs w:val="20"/>
              </w:rPr>
            </w:pPr>
            <w:r w:rsidRPr="00C23CF7">
              <w:rPr>
                <w:rFonts w:eastAsia="Times New Roman" w:cs="Calibri"/>
                <w:color w:val="000000"/>
                <w:sz w:val="20"/>
                <w:szCs w:val="20"/>
              </w:rPr>
              <w:t>Adolescent respondent</w:t>
            </w:r>
            <w:r>
              <w:rPr>
                <w:rFonts w:eastAsia="Times New Roman" w:cs="Calibri"/>
                <w:color w:val="000000"/>
                <w:sz w:val="20"/>
                <w:szCs w:val="20"/>
              </w:rPr>
              <w:t>s who reported school enrollment pre-pandemic</w:t>
            </w:r>
          </w:p>
        </w:tc>
        <w:tc>
          <w:tcPr>
            <w:tcW w:w="6750" w:type="dxa"/>
            <w:tcBorders>
              <w:left w:val="nil"/>
              <w:right w:val="nil"/>
            </w:tcBorders>
            <w:shd w:val="clear" w:color="auto" w:fill="auto"/>
            <w:noWrap/>
            <w:vAlign w:val="center"/>
          </w:tcPr>
          <w:p w14:paraId="094D7BC5" w14:textId="5E07EC60" w:rsidR="00FF1775" w:rsidRPr="00C23CF7" w:rsidRDefault="00FF1775" w:rsidP="00FF1775">
            <w:pPr>
              <w:spacing w:after="120" w:line="240" w:lineRule="auto"/>
              <w:rPr>
                <w:rFonts w:eastAsia="Times New Roman" w:cs="Calibri"/>
                <w:color w:val="000000"/>
                <w:sz w:val="20"/>
                <w:szCs w:val="20"/>
              </w:rPr>
            </w:pPr>
            <w:r>
              <w:rPr>
                <w:rFonts w:eastAsia="Times New Roman" w:cs="Calibri"/>
                <w:color w:val="000000"/>
                <w:sz w:val="20"/>
                <w:szCs w:val="20"/>
              </w:rPr>
              <w:t>Indicates that the adolescent responded “Yes” to the question “Have you or someone in your household been in contact with a teacher in the last 7 days?” Note that this question is only asked to adolescents who 1) indicated that they were enrolled in school prior to the pandemic in March 2020 or 2) indicated that they re-enrolled in school in-person during Jordan’s brief school opening in September 2020 (COVID-R2 only).</w:t>
            </w:r>
          </w:p>
        </w:tc>
      </w:tr>
      <w:tr w:rsidR="00FF1775" w:rsidRPr="00C23CF7" w14:paraId="67851E74" w14:textId="77777777" w:rsidTr="004D2BF9">
        <w:trPr>
          <w:trHeight w:val="327"/>
          <w:jc w:val="center"/>
        </w:trPr>
        <w:tc>
          <w:tcPr>
            <w:tcW w:w="2610" w:type="dxa"/>
            <w:tcBorders>
              <w:left w:val="nil"/>
              <w:right w:val="nil"/>
            </w:tcBorders>
            <w:shd w:val="clear" w:color="auto" w:fill="auto"/>
            <w:noWrap/>
          </w:tcPr>
          <w:p w14:paraId="595D6FC3" w14:textId="636BBEFC" w:rsidR="00FF1775" w:rsidRPr="00C23CF7" w:rsidRDefault="00FF1775" w:rsidP="004D2BF9">
            <w:pPr>
              <w:spacing w:after="120" w:line="240" w:lineRule="auto"/>
              <w:rPr>
                <w:rFonts w:eastAsia="Times New Roman" w:cs="Calibri"/>
                <w:color w:val="000000"/>
                <w:sz w:val="20"/>
                <w:szCs w:val="20"/>
              </w:rPr>
            </w:pPr>
            <w:r w:rsidRPr="00C23CF7">
              <w:rPr>
                <w:rFonts w:eastAsia="Times New Roman" w:cs="Calibri"/>
                <w:color w:val="000000"/>
                <w:sz w:val="20"/>
                <w:szCs w:val="20"/>
              </w:rPr>
              <w:t>Adolescent reports that household stress increased</w:t>
            </w:r>
          </w:p>
        </w:tc>
        <w:tc>
          <w:tcPr>
            <w:tcW w:w="1440" w:type="dxa"/>
            <w:tcBorders>
              <w:left w:val="nil"/>
              <w:right w:val="nil"/>
            </w:tcBorders>
            <w:shd w:val="clear" w:color="auto" w:fill="auto"/>
            <w:noWrap/>
          </w:tcPr>
          <w:p w14:paraId="7095672D" w14:textId="6D38091E" w:rsidR="00FF1775" w:rsidRPr="00C23CF7" w:rsidRDefault="00FF1775" w:rsidP="00404FF2">
            <w:pPr>
              <w:spacing w:after="120" w:line="240" w:lineRule="auto"/>
              <w:rPr>
                <w:rFonts w:eastAsia="Times New Roman" w:cs="Calibri"/>
                <w:color w:val="000000"/>
                <w:sz w:val="20"/>
                <w:szCs w:val="20"/>
              </w:rPr>
            </w:pPr>
            <w:r w:rsidRPr="00C23CF7">
              <w:rPr>
                <w:rFonts w:eastAsia="Times New Roman" w:cs="Calibri"/>
                <w:color w:val="000000"/>
                <w:sz w:val="20"/>
                <w:szCs w:val="20"/>
              </w:rPr>
              <w:t>Adolescent respondent</w:t>
            </w:r>
          </w:p>
        </w:tc>
        <w:tc>
          <w:tcPr>
            <w:tcW w:w="6750" w:type="dxa"/>
            <w:tcBorders>
              <w:left w:val="nil"/>
              <w:right w:val="nil"/>
            </w:tcBorders>
            <w:shd w:val="clear" w:color="auto" w:fill="auto"/>
            <w:noWrap/>
            <w:vAlign w:val="center"/>
          </w:tcPr>
          <w:p w14:paraId="2EA4134C" w14:textId="54503895" w:rsidR="00FF1775" w:rsidRPr="00C23CF7" w:rsidRDefault="00FF1775" w:rsidP="00FF1775">
            <w:pPr>
              <w:spacing w:after="120" w:line="240" w:lineRule="auto"/>
              <w:rPr>
                <w:rFonts w:eastAsia="Times New Roman" w:cs="Calibri"/>
                <w:color w:val="000000"/>
                <w:sz w:val="20"/>
                <w:szCs w:val="20"/>
              </w:rPr>
            </w:pPr>
            <w:r>
              <w:rPr>
                <w:rFonts w:eastAsia="Times New Roman" w:cs="Calibri"/>
                <w:color w:val="000000"/>
                <w:sz w:val="20"/>
                <w:szCs w:val="20"/>
              </w:rPr>
              <w:t>Indicates that the adolescent agrees or partially agrees with the statement “</w:t>
            </w:r>
            <w:r w:rsidR="00935902">
              <w:rPr>
                <w:rFonts w:eastAsia="Times New Roman" w:cs="Calibri"/>
                <w:color w:val="000000"/>
                <w:sz w:val="20"/>
                <w:szCs w:val="20"/>
              </w:rPr>
              <w:t>The Corona situation has increased the stress in my household.”</w:t>
            </w:r>
          </w:p>
        </w:tc>
      </w:tr>
      <w:tr w:rsidR="00FF1775" w:rsidRPr="00C23CF7" w14:paraId="2456755D" w14:textId="77777777" w:rsidTr="004D2BF9">
        <w:trPr>
          <w:trHeight w:val="327"/>
          <w:jc w:val="center"/>
        </w:trPr>
        <w:tc>
          <w:tcPr>
            <w:tcW w:w="2610" w:type="dxa"/>
            <w:tcBorders>
              <w:left w:val="nil"/>
              <w:right w:val="nil"/>
            </w:tcBorders>
            <w:shd w:val="clear" w:color="auto" w:fill="auto"/>
            <w:noWrap/>
          </w:tcPr>
          <w:p w14:paraId="3350E7F0" w14:textId="2AB1A699" w:rsidR="00FF1775" w:rsidRPr="00C23CF7" w:rsidRDefault="00FF1775" w:rsidP="004D2BF9">
            <w:pPr>
              <w:spacing w:after="120" w:line="240" w:lineRule="auto"/>
              <w:rPr>
                <w:rFonts w:eastAsia="Times New Roman" w:cs="Calibri"/>
                <w:color w:val="000000"/>
                <w:sz w:val="20"/>
                <w:szCs w:val="20"/>
              </w:rPr>
            </w:pPr>
            <w:r w:rsidRPr="00C23CF7">
              <w:rPr>
                <w:rFonts w:eastAsia="Times New Roman" w:cs="Calibri"/>
                <w:color w:val="000000"/>
                <w:sz w:val="20"/>
                <w:szCs w:val="20"/>
              </w:rPr>
              <w:t>Adolescent has friend they can trust (COVID-R2 only)</w:t>
            </w:r>
          </w:p>
        </w:tc>
        <w:tc>
          <w:tcPr>
            <w:tcW w:w="1440" w:type="dxa"/>
            <w:tcBorders>
              <w:left w:val="nil"/>
              <w:right w:val="nil"/>
            </w:tcBorders>
            <w:shd w:val="clear" w:color="auto" w:fill="auto"/>
            <w:noWrap/>
          </w:tcPr>
          <w:p w14:paraId="41DEA8D8" w14:textId="2BB5C0FC" w:rsidR="00FF1775" w:rsidRPr="00C23CF7" w:rsidRDefault="00FF1775" w:rsidP="00404FF2">
            <w:pPr>
              <w:spacing w:after="120" w:line="240" w:lineRule="auto"/>
              <w:rPr>
                <w:rFonts w:eastAsia="Times New Roman" w:cs="Calibri"/>
                <w:color w:val="000000"/>
                <w:sz w:val="20"/>
                <w:szCs w:val="20"/>
              </w:rPr>
            </w:pPr>
            <w:r w:rsidRPr="00C23CF7">
              <w:rPr>
                <w:rFonts w:eastAsia="Times New Roman" w:cs="Calibri"/>
                <w:color w:val="000000"/>
                <w:sz w:val="20"/>
                <w:szCs w:val="20"/>
              </w:rPr>
              <w:t>Adolescent respondent</w:t>
            </w:r>
          </w:p>
        </w:tc>
        <w:tc>
          <w:tcPr>
            <w:tcW w:w="6750" w:type="dxa"/>
            <w:tcBorders>
              <w:left w:val="nil"/>
              <w:right w:val="nil"/>
            </w:tcBorders>
            <w:shd w:val="clear" w:color="auto" w:fill="auto"/>
            <w:noWrap/>
            <w:vAlign w:val="center"/>
          </w:tcPr>
          <w:p w14:paraId="16004B53" w14:textId="0B3907CB" w:rsidR="00FF1775" w:rsidRPr="00C23CF7" w:rsidRDefault="00935902" w:rsidP="00FF1775">
            <w:pPr>
              <w:spacing w:after="120" w:line="240" w:lineRule="auto"/>
              <w:rPr>
                <w:rFonts w:eastAsia="Times New Roman" w:cs="Calibri"/>
                <w:color w:val="000000"/>
                <w:sz w:val="20"/>
                <w:szCs w:val="20"/>
              </w:rPr>
            </w:pPr>
            <w:r>
              <w:rPr>
                <w:rFonts w:eastAsia="Times New Roman" w:cs="Calibri"/>
                <w:color w:val="000000"/>
                <w:sz w:val="20"/>
                <w:szCs w:val="20"/>
              </w:rPr>
              <w:t>Indicates that the adolescent responded “Yes” to the question “Do you have any friends, who are not members of your household, that you trust and with whom you can talk about feelings and personal matters or call on for help?”</w:t>
            </w:r>
          </w:p>
        </w:tc>
      </w:tr>
      <w:tr w:rsidR="00FF1775" w:rsidRPr="00C23CF7" w14:paraId="6444D263" w14:textId="77777777" w:rsidTr="004D2BF9">
        <w:trPr>
          <w:trHeight w:val="327"/>
          <w:jc w:val="center"/>
        </w:trPr>
        <w:tc>
          <w:tcPr>
            <w:tcW w:w="2610" w:type="dxa"/>
            <w:tcBorders>
              <w:left w:val="nil"/>
              <w:right w:val="nil"/>
            </w:tcBorders>
            <w:shd w:val="clear" w:color="auto" w:fill="auto"/>
            <w:noWrap/>
          </w:tcPr>
          <w:p w14:paraId="423BED63" w14:textId="10A5BE96" w:rsidR="00FF1775" w:rsidRPr="00C23CF7" w:rsidRDefault="00FF1775" w:rsidP="004D2BF9">
            <w:pPr>
              <w:spacing w:after="120" w:line="240" w:lineRule="auto"/>
              <w:rPr>
                <w:rFonts w:eastAsia="Times New Roman" w:cs="Calibri"/>
                <w:color w:val="000000"/>
                <w:sz w:val="20"/>
                <w:szCs w:val="20"/>
              </w:rPr>
            </w:pPr>
            <w:r w:rsidRPr="00C23CF7">
              <w:rPr>
                <w:rFonts w:eastAsia="Times New Roman" w:cs="Calibri"/>
                <w:color w:val="000000"/>
                <w:sz w:val="20"/>
                <w:szCs w:val="20"/>
              </w:rPr>
              <w:t>Adolescent interacted with friends or non-household family in person in last week</w:t>
            </w:r>
          </w:p>
        </w:tc>
        <w:tc>
          <w:tcPr>
            <w:tcW w:w="1440" w:type="dxa"/>
            <w:tcBorders>
              <w:left w:val="nil"/>
              <w:right w:val="nil"/>
            </w:tcBorders>
            <w:shd w:val="clear" w:color="auto" w:fill="auto"/>
            <w:noWrap/>
          </w:tcPr>
          <w:p w14:paraId="100ED6AB" w14:textId="76B94D20" w:rsidR="00FF1775" w:rsidRPr="00C23CF7" w:rsidRDefault="00FF1775" w:rsidP="00404FF2">
            <w:pPr>
              <w:spacing w:after="120" w:line="240" w:lineRule="auto"/>
              <w:rPr>
                <w:rFonts w:eastAsia="Times New Roman" w:cs="Calibri"/>
                <w:color w:val="000000"/>
                <w:sz w:val="20"/>
                <w:szCs w:val="20"/>
              </w:rPr>
            </w:pPr>
            <w:r w:rsidRPr="00C23CF7">
              <w:rPr>
                <w:rFonts w:eastAsia="Times New Roman" w:cs="Calibri"/>
                <w:color w:val="000000"/>
                <w:sz w:val="20"/>
                <w:szCs w:val="20"/>
              </w:rPr>
              <w:t>Adolescent respondent</w:t>
            </w:r>
          </w:p>
        </w:tc>
        <w:tc>
          <w:tcPr>
            <w:tcW w:w="6750" w:type="dxa"/>
            <w:tcBorders>
              <w:left w:val="nil"/>
              <w:right w:val="nil"/>
            </w:tcBorders>
            <w:shd w:val="clear" w:color="auto" w:fill="auto"/>
            <w:noWrap/>
            <w:vAlign w:val="center"/>
          </w:tcPr>
          <w:p w14:paraId="244E2096" w14:textId="17BC7DCF" w:rsidR="00FF1775" w:rsidRPr="00C23CF7" w:rsidRDefault="000A0A86" w:rsidP="00FF1775">
            <w:pPr>
              <w:spacing w:after="120" w:line="240" w:lineRule="auto"/>
              <w:rPr>
                <w:rFonts w:eastAsia="Times New Roman" w:cs="Calibri"/>
                <w:color w:val="000000"/>
                <w:sz w:val="20"/>
                <w:szCs w:val="20"/>
              </w:rPr>
            </w:pPr>
            <w:r>
              <w:rPr>
                <w:rFonts w:eastAsia="Times New Roman" w:cs="Calibri"/>
                <w:color w:val="000000"/>
                <w:sz w:val="20"/>
                <w:szCs w:val="20"/>
              </w:rPr>
              <w:t>Adapted from the Yale COVID-19 Survey and the Mindset COVID-19 survey</w:t>
            </w:r>
            <w:r w:rsidR="0079219D">
              <w:rPr>
                <w:rFonts w:eastAsia="Times New Roman" w:cs="Calibri"/>
                <w:color w:val="000000"/>
                <w:sz w:val="20"/>
                <w:szCs w:val="20"/>
              </w:rPr>
              <w:t xml:space="preserve"> [</w:t>
            </w:r>
            <w:r w:rsidR="00404FF2">
              <w:rPr>
                <w:rFonts w:eastAsia="Times New Roman" w:cs="Calibri"/>
                <w:color w:val="000000"/>
                <w:sz w:val="20"/>
                <w:szCs w:val="20"/>
              </w:rPr>
              <w:t>1</w:t>
            </w:r>
            <w:r w:rsidR="0079219D">
              <w:rPr>
                <w:rFonts w:eastAsia="Times New Roman" w:cs="Calibri"/>
                <w:color w:val="000000"/>
                <w:sz w:val="20"/>
                <w:szCs w:val="20"/>
              </w:rPr>
              <w:t xml:space="preserve">, </w:t>
            </w:r>
            <w:r w:rsidR="00404FF2">
              <w:rPr>
                <w:rFonts w:eastAsia="Times New Roman" w:cs="Calibri"/>
                <w:color w:val="000000"/>
                <w:sz w:val="20"/>
                <w:szCs w:val="20"/>
              </w:rPr>
              <w:t>7</w:t>
            </w:r>
            <w:r w:rsidR="0079219D">
              <w:rPr>
                <w:rFonts w:eastAsia="Times New Roman" w:cs="Calibri"/>
                <w:color w:val="000000"/>
                <w:sz w:val="20"/>
                <w:szCs w:val="20"/>
              </w:rPr>
              <w:t>]</w:t>
            </w:r>
            <w:r>
              <w:rPr>
                <w:rFonts w:eastAsia="Times New Roman" w:cs="Calibri"/>
                <w:color w:val="000000"/>
                <w:sz w:val="20"/>
                <w:szCs w:val="20"/>
              </w:rPr>
              <w:t>, this outcome i</w:t>
            </w:r>
            <w:r w:rsidR="00935902">
              <w:rPr>
                <w:rFonts w:eastAsia="Times New Roman" w:cs="Calibri"/>
                <w:color w:val="000000"/>
                <w:sz w:val="20"/>
                <w:szCs w:val="20"/>
              </w:rPr>
              <w:t xml:space="preserve">ndicates that the adolescent </w:t>
            </w:r>
            <w:r>
              <w:rPr>
                <w:rFonts w:eastAsia="Times New Roman" w:cs="Calibri"/>
                <w:color w:val="000000"/>
                <w:sz w:val="20"/>
                <w:szCs w:val="20"/>
              </w:rPr>
              <w:t xml:space="preserve">left the home—or had visitors to their home—in the past 7 days, with the purpose of socializing with friends or non-household family members. </w:t>
            </w:r>
          </w:p>
        </w:tc>
      </w:tr>
      <w:tr w:rsidR="00FF1775" w:rsidRPr="00C23CF7" w14:paraId="4FC17536" w14:textId="77777777" w:rsidTr="004D2BF9">
        <w:trPr>
          <w:cantSplit/>
          <w:trHeight w:val="327"/>
          <w:jc w:val="center"/>
        </w:trPr>
        <w:tc>
          <w:tcPr>
            <w:tcW w:w="2610" w:type="dxa"/>
            <w:tcBorders>
              <w:left w:val="nil"/>
              <w:right w:val="nil"/>
            </w:tcBorders>
            <w:shd w:val="clear" w:color="auto" w:fill="auto"/>
            <w:noWrap/>
          </w:tcPr>
          <w:p w14:paraId="2D70E0F0" w14:textId="6AE43792" w:rsidR="00FF1775" w:rsidRPr="00C23CF7" w:rsidRDefault="00FF1775" w:rsidP="004D2BF9">
            <w:pPr>
              <w:spacing w:after="120" w:line="240" w:lineRule="auto"/>
              <w:rPr>
                <w:rFonts w:eastAsia="Times New Roman" w:cs="Calibri"/>
                <w:color w:val="000000"/>
                <w:sz w:val="20"/>
                <w:szCs w:val="20"/>
              </w:rPr>
            </w:pPr>
            <w:r w:rsidRPr="00C23CF7">
              <w:rPr>
                <w:rFonts w:eastAsia="Times New Roman" w:cs="Calibri"/>
                <w:color w:val="000000"/>
                <w:sz w:val="20"/>
                <w:szCs w:val="20"/>
              </w:rPr>
              <w:lastRenderedPageBreak/>
              <w:t>Adolescent had no contact with friends in last week, in -person or virtually (COVID-R2 only)</w:t>
            </w:r>
          </w:p>
        </w:tc>
        <w:tc>
          <w:tcPr>
            <w:tcW w:w="1440" w:type="dxa"/>
            <w:tcBorders>
              <w:left w:val="nil"/>
              <w:right w:val="nil"/>
            </w:tcBorders>
            <w:shd w:val="clear" w:color="auto" w:fill="auto"/>
            <w:noWrap/>
          </w:tcPr>
          <w:p w14:paraId="5E722F14" w14:textId="3DD0ACB3" w:rsidR="00FF1775" w:rsidRPr="00C23CF7" w:rsidRDefault="00FF1775" w:rsidP="00404FF2">
            <w:pPr>
              <w:spacing w:after="120" w:line="240" w:lineRule="auto"/>
              <w:rPr>
                <w:rFonts w:eastAsia="Times New Roman" w:cs="Calibri"/>
                <w:color w:val="000000"/>
                <w:sz w:val="20"/>
                <w:szCs w:val="20"/>
              </w:rPr>
            </w:pPr>
            <w:r w:rsidRPr="00C23CF7">
              <w:rPr>
                <w:rFonts w:eastAsia="Times New Roman" w:cs="Calibri"/>
                <w:color w:val="000000"/>
                <w:sz w:val="20"/>
                <w:szCs w:val="20"/>
              </w:rPr>
              <w:t>Adolescent respondent</w:t>
            </w:r>
          </w:p>
        </w:tc>
        <w:tc>
          <w:tcPr>
            <w:tcW w:w="6750" w:type="dxa"/>
            <w:tcBorders>
              <w:left w:val="nil"/>
              <w:right w:val="nil"/>
            </w:tcBorders>
            <w:shd w:val="clear" w:color="auto" w:fill="auto"/>
            <w:noWrap/>
            <w:vAlign w:val="center"/>
          </w:tcPr>
          <w:p w14:paraId="5D84EE93" w14:textId="53D49894" w:rsidR="00FF1775" w:rsidRPr="00C23CF7" w:rsidRDefault="000A0A86" w:rsidP="00FF1775">
            <w:pPr>
              <w:spacing w:after="120" w:line="240" w:lineRule="auto"/>
              <w:rPr>
                <w:rFonts w:eastAsia="Times New Roman" w:cs="Calibri"/>
                <w:color w:val="000000"/>
                <w:sz w:val="20"/>
                <w:szCs w:val="20"/>
              </w:rPr>
            </w:pPr>
            <w:r>
              <w:rPr>
                <w:rFonts w:eastAsia="Times New Roman" w:cs="Calibri"/>
                <w:color w:val="000000"/>
                <w:sz w:val="20"/>
                <w:szCs w:val="20"/>
              </w:rPr>
              <w:t>Adapted from the Save the Children International survey, “Hidden Impact of COVID-19 on Children”</w:t>
            </w:r>
            <w:r w:rsidR="0079219D">
              <w:rPr>
                <w:rFonts w:eastAsia="Times New Roman" w:cs="Calibri"/>
                <w:color w:val="000000"/>
                <w:sz w:val="20"/>
                <w:szCs w:val="20"/>
              </w:rPr>
              <w:t xml:space="preserve"> [</w:t>
            </w:r>
            <w:r w:rsidR="00284287">
              <w:rPr>
                <w:rFonts w:eastAsia="Times New Roman" w:cs="Calibri"/>
                <w:color w:val="000000"/>
                <w:sz w:val="20"/>
                <w:szCs w:val="20"/>
              </w:rPr>
              <w:t>8</w:t>
            </w:r>
            <w:r w:rsidR="0079219D">
              <w:rPr>
                <w:rFonts w:eastAsia="Times New Roman" w:cs="Calibri"/>
                <w:color w:val="000000"/>
                <w:sz w:val="20"/>
                <w:szCs w:val="20"/>
              </w:rPr>
              <w:t>],</w:t>
            </w:r>
            <w:r>
              <w:rPr>
                <w:rFonts w:eastAsia="Times New Roman" w:cs="Calibri"/>
                <w:color w:val="000000"/>
                <w:sz w:val="20"/>
                <w:szCs w:val="20"/>
              </w:rPr>
              <w:t xml:space="preserve"> this outcome indicates that the adolescent reported having no contact with their friends at all in the past 7 days, including hanging out or playing in person, talking/messaging on the phone, social media, and/or online games. </w:t>
            </w:r>
          </w:p>
        </w:tc>
      </w:tr>
      <w:tr w:rsidR="00FF1775" w:rsidRPr="00C23CF7" w14:paraId="6436A8BB" w14:textId="77777777" w:rsidTr="004D2BF9">
        <w:trPr>
          <w:trHeight w:val="327"/>
          <w:jc w:val="center"/>
        </w:trPr>
        <w:tc>
          <w:tcPr>
            <w:tcW w:w="2610" w:type="dxa"/>
            <w:tcBorders>
              <w:left w:val="nil"/>
              <w:right w:val="nil"/>
            </w:tcBorders>
            <w:shd w:val="clear" w:color="auto" w:fill="auto"/>
            <w:noWrap/>
          </w:tcPr>
          <w:p w14:paraId="3956FDEA" w14:textId="30171748" w:rsidR="00FF1775" w:rsidRPr="00C23CF7" w:rsidRDefault="00FF1775" w:rsidP="004D2BF9">
            <w:pPr>
              <w:spacing w:after="120" w:line="240" w:lineRule="auto"/>
              <w:rPr>
                <w:rFonts w:eastAsia="Times New Roman" w:cs="Calibri"/>
                <w:color w:val="000000"/>
                <w:sz w:val="20"/>
                <w:szCs w:val="20"/>
              </w:rPr>
            </w:pPr>
            <w:r w:rsidRPr="00C23CF7">
              <w:rPr>
                <w:rFonts w:eastAsia="Times New Roman" w:cs="Calibri"/>
                <w:color w:val="000000"/>
                <w:sz w:val="20"/>
                <w:szCs w:val="20"/>
              </w:rPr>
              <w:t>Adolescent has a personal mobile device with internet access</w:t>
            </w:r>
          </w:p>
        </w:tc>
        <w:tc>
          <w:tcPr>
            <w:tcW w:w="1440" w:type="dxa"/>
            <w:tcBorders>
              <w:left w:val="nil"/>
              <w:right w:val="nil"/>
            </w:tcBorders>
            <w:shd w:val="clear" w:color="auto" w:fill="auto"/>
            <w:noWrap/>
          </w:tcPr>
          <w:p w14:paraId="5957CBFA" w14:textId="097E3469" w:rsidR="00FF1775" w:rsidRPr="00C23CF7" w:rsidRDefault="00FF1775" w:rsidP="00404FF2">
            <w:pPr>
              <w:spacing w:after="120" w:line="240" w:lineRule="auto"/>
              <w:rPr>
                <w:rFonts w:eastAsia="Times New Roman" w:cs="Calibri"/>
                <w:color w:val="000000"/>
                <w:sz w:val="20"/>
                <w:szCs w:val="20"/>
              </w:rPr>
            </w:pPr>
            <w:r w:rsidRPr="00C23CF7">
              <w:rPr>
                <w:rFonts w:eastAsia="Times New Roman" w:cs="Calibri"/>
                <w:color w:val="000000"/>
                <w:sz w:val="20"/>
                <w:szCs w:val="20"/>
              </w:rPr>
              <w:t>Adolescent respondent</w:t>
            </w:r>
          </w:p>
        </w:tc>
        <w:tc>
          <w:tcPr>
            <w:tcW w:w="6750" w:type="dxa"/>
            <w:tcBorders>
              <w:left w:val="nil"/>
              <w:right w:val="nil"/>
            </w:tcBorders>
            <w:shd w:val="clear" w:color="auto" w:fill="auto"/>
            <w:noWrap/>
            <w:vAlign w:val="center"/>
          </w:tcPr>
          <w:p w14:paraId="18392B16" w14:textId="336606EB" w:rsidR="00FF1775" w:rsidRPr="00C23CF7" w:rsidRDefault="000A0A86" w:rsidP="00FF1775">
            <w:pPr>
              <w:spacing w:after="120" w:line="240" w:lineRule="auto"/>
              <w:rPr>
                <w:rFonts w:eastAsia="Times New Roman" w:cs="Calibri"/>
                <w:color w:val="000000"/>
                <w:sz w:val="20"/>
                <w:szCs w:val="20"/>
              </w:rPr>
            </w:pPr>
            <w:r>
              <w:rPr>
                <w:rFonts w:eastAsia="Times New Roman" w:cs="Calibri"/>
                <w:color w:val="000000"/>
                <w:sz w:val="20"/>
                <w:szCs w:val="20"/>
              </w:rPr>
              <w:t xml:space="preserve">Indicates that the adolescent has one or more personal mobile devices—including a mobile phone, tablet, or laptop—that they are able to use to access the internet. </w:t>
            </w:r>
          </w:p>
        </w:tc>
      </w:tr>
      <w:tr w:rsidR="00FF1775" w:rsidRPr="00C23CF7" w14:paraId="7E4879CE" w14:textId="77777777" w:rsidTr="004D2BF9">
        <w:trPr>
          <w:trHeight w:val="327"/>
          <w:jc w:val="center"/>
        </w:trPr>
        <w:tc>
          <w:tcPr>
            <w:tcW w:w="2610" w:type="dxa"/>
            <w:tcBorders>
              <w:left w:val="nil"/>
              <w:right w:val="nil"/>
            </w:tcBorders>
            <w:shd w:val="clear" w:color="auto" w:fill="auto"/>
            <w:noWrap/>
          </w:tcPr>
          <w:p w14:paraId="41C1384B" w14:textId="7302EAA5" w:rsidR="00FF1775" w:rsidRPr="00C23CF7" w:rsidRDefault="00FF1775" w:rsidP="004D2BF9">
            <w:pPr>
              <w:spacing w:after="120" w:line="240" w:lineRule="auto"/>
              <w:rPr>
                <w:rFonts w:eastAsia="Times New Roman" w:cs="Calibri"/>
                <w:color w:val="000000"/>
                <w:sz w:val="20"/>
                <w:szCs w:val="20"/>
              </w:rPr>
            </w:pPr>
            <w:r w:rsidRPr="00C23CF7">
              <w:rPr>
                <w:rFonts w:eastAsia="Times New Roman" w:cs="Calibri"/>
                <w:color w:val="000000"/>
                <w:sz w:val="20"/>
                <w:szCs w:val="20"/>
              </w:rPr>
              <w:t>Adolescent interacted with friends virtually in last week (COVID-R2 only)</w:t>
            </w:r>
          </w:p>
        </w:tc>
        <w:tc>
          <w:tcPr>
            <w:tcW w:w="1440" w:type="dxa"/>
            <w:tcBorders>
              <w:left w:val="nil"/>
              <w:right w:val="nil"/>
            </w:tcBorders>
            <w:shd w:val="clear" w:color="auto" w:fill="auto"/>
            <w:noWrap/>
          </w:tcPr>
          <w:p w14:paraId="2C99783A" w14:textId="49AD4A67" w:rsidR="00FF1775" w:rsidRPr="00C23CF7" w:rsidRDefault="00FF1775" w:rsidP="00404FF2">
            <w:pPr>
              <w:spacing w:after="120" w:line="240" w:lineRule="auto"/>
              <w:rPr>
                <w:rFonts w:eastAsia="Times New Roman" w:cs="Calibri"/>
                <w:color w:val="000000"/>
                <w:sz w:val="20"/>
                <w:szCs w:val="20"/>
              </w:rPr>
            </w:pPr>
            <w:r w:rsidRPr="00C23CF7">
              <w:rPr>
                <w:rFonts w:eastAsia="Times New Roman" w:cs="Calibri"/>
                <w:color w:val="000000"/>
                <w:sz w:val="20"/>
                <w:szCs w:val="20"/>
              </w:rPr>
              <w:t>Adolescent respondent</w:t>
            </w:r>
          </w:p>
        </w:tc>
        <w:tc>
          <w:tcPr>
            <w:tcW w:w="6750" w:type="dxa"/>
            <w:tcBorders>
              <w:left w:val="nil"/>
              <w:right w:val="nil"/>
            </w:tcBorders>
            <w:shd w:val="clear" w:color="auto" w:fill="auto"/>
            <w:noWrap/>
            <w:vAlign w:val="center"/>
          </w:tcPr>
          <w:p w14:paraId="16A620E4" w14:textId="2E66E7E4" w:rsidR="00FF1775" w:rsidRPr="00C23CF7" w:rsidRDefault="000A0A86" w:rsidP="00FF1775">
            <w:pPr>
              <w:spacing w:after="120" w:line="240" w:lineRule="auto"/>
              <w:rPr>
                <w:rFonts w:eastAsia="Times New Roman" w:cs="Calibri"/>
                <w:color w:val="000000"/>
                <w:sz w:val="20"/>
                <w:szCs w:val="20"/>
              </w:rPr>
            </w:pPr>
            <w:r>
              <w:rPr>
                <w:rFonts w:eastAsia="Times New Roman" w:cs="Calibri"/>
                <w:color w:val="000000"/>
                <w:sz w:val="20"/>
                <w:szCs w:val="20"/>
              </w:rPr>
              <w:t>Adapted from the Save the Children International survey, “Hidden Impact of COVID-19 on Children”</w:t>
            </w:r>
            <w:r w:rsidR="0079219D">
              <w:rPr>
                <w:rFonts w:eastAsia="Times New Roman" w:cs="Calibri"/>
                <w:color w:val="000000"/>
                <w:sz w:val="20"/>
                <w:szCs w:val="20"/>
              </w:rPr>
              <w:t xml:space="preserve"> [</w:t>
            </w:r>
            <w:r w:rsidR="00284287">
              <w:rPr>
                <w:rFonts w:eastAsia="Times New Roman" w:cs="Calibri"/>
                <w:color w:val="000000"/>
                <w:sz w:val="20"/>
                <w:szCs w:val="20"/>
              </w:rPr>
              <w:t>8</w:t>
            </w:r>
            <w:r w:rsidR="0079219D">
              <w:rPr>
                <w:rFonts w:eastAsia="Times New Roman" w:cs="Calibri"/>
                <w:color w:val="000000"/>
                <w:sz w:val="20"/>
                <w:szCs w:val="20"/>
              </w:rPr>
              <w:t>],</w:t>
            </w:r>
            <w:r>
              <w:rPr>
                <w:rFonts w:eastAsia="Times New Roman" w:cs="Calibri"/>
                <w:color w:val="000000"/>
                <w:sz w:val="20"/>
                <w:szCs w:val="20"/>
              </w:rPr>
              <w:t xml:space="preserve"> this outcome indicates that the adolescent reported keeping in touch with their friends online or over the phone in the last 7 days, including talking or messaging on the phone, social media, and/or online games.</w:t>
            </w:r>
          </w:p>
        </w:tc>
      </w:tr>
      <w:tr w:rsidR="00FF1775" w:rsidRPr="00C23CF7" w14:paraId="27DE8466" w14:textId="77777777" w:rsidTr="004D2BF9">
        <w:trPr>
          <w:trHeight w:val="327"/>
          <w:jc w:val="center"/>
        </w:trPr>
        <w:tc>
          <w:tcPr>
            <w:tcW w:w="2610" w:type="dxa"/>
            <w:tcBorders>
              <w:left w:val="nil"/>
              <w:right w:val="nil"/>
            </w:tcBorders>
            <w:shd w:val="clear" w:color="auto" w:fill="auto"/>
            <w:noWrap/>
          </w:tcPr>
          <w:p w14:paraId="73EF282B" w14:textId="216C11C9" w:rsidR="00FF1775" w:rsidRPr="00C23CF7" w:rsidRDefault="00FF1775" w:rsidP="004D2BF9">
            <w:pPr>
              <w:spacing w:after="120" w:line="240" w:lineRule="auto"/>
              <w:rPr>
                <w:rFonts w:eastAsia="Times New Roman" w:cs="Calibri"/>
                <w:color w:val="000000"/>
                <w:sz w:val="20"/>
                <w:szCs w:val="20"/>
              </w:rPr>
            </w:pPr>
            <w:r w:rsidRPr="00C23CF7">
              <w:rPr>
                <w:rFonts w:eastAsia="Times New Roman" w:cs="Calibri"/>
                <w:color w:val="000000"/>
                <w:sz w:val="20"/>
                <w:szCs w:val="20"/>
              </w:rPr>
              <w:t>Adolescent self-reports increased technology access</w:t>
            </w:r>
          </w:p>
        </w:tc>
        <w:tc>
          <w:tcPr>
            <w:tcW w:w="1440" w:type="dxa"/>
            <w:tcBorders>
              <w:left w:val="nil"/>
              <w:right w:val="nil"/>
            </w:tcBorders>
            <w:shd w:val="clear" w:color="auto" w:fill="auto"/>
            <w:noWrap/>
          </w:tcPr>
          <w:p w14:paraId="38E4DD0D" w14:textId="180C3C58" w:rsidR="00FF1775" w:rsidRPr="00C23CF7" w:rsidRDefault="00FF1775" w:rsidP="00404FF2">
            <w:pPr>
              <w:spacing w:after="120" w:line="240" w:lineRule="auto"/>
              <w:rPr>
                <w:rFonts w:eastAsia="Times New Roman" w:cs="Calibri"/>
                <w:color w:val="000000"/>
                <w:sz w:val="20"/>
                <w:szCs w:val="20"/>
              </w:rPr>
            </w:pPr>
            <w:r w:rsidRPr="00C23CF7">
              <w:rPr>
                <w:rFonts w:eastAsia="Times New Roman" w:cs="Calibri"/>
                <w:color w:val="000000"/>
                <w:sz w:val="20"/>
                <w:szCs w:val="20"/>
              </w:rPr>
              <w:t>Adolescent respondent</w:t>
            </w:r>
          </w:p>
        </w:tc>
        <w:tc>
          <w:tcPr>
            <w:tcW w:w="6750" w:type="dxa"/>
            <w:tcBorders>
              <w:left w:val="nil"/>
              <w:right w:val="nil"/>
            </w:tcBorders>
            <w:shd w:val="clear" w:color="auto" w:fill="auto"/>
            <w:noWrap/>
            <w:vAlign w:val="center"/>
          </w:tcPr>
          <w:p w14:paraId="3F011710" w14:textId="6E52FCA5" w:rsidR="00FF1775" w:rsidRPr="00C23CF7" w:rsidRDefault="0010049E" w:rsidP="00FF1775">
            <w:pPr>
              <w:spacing w:after="120" w:line="240" w:lineRule="auto"/>
              <w:rPr>
                <w:rFonts w:eastAsia="Times New Roman" w:cs="Calibri"/>
                <w:color w:val="000000"/>
                <w:sz w:val="20"/>
                <w:szCs w:val="20"/>
              </w:rPr>
            </w:pPr>
            <w:r>
              <w:rPr>
                <w:rFonts w:eastAsia="Times New Roman" w:cs="Calibri"/>
                <w:color w:val="000000"/>
                <w:sz w:val="20"/>
                <w:szCs w:val="20"/>
              </w:rPr>
              <w:t>Adapted from the Mindset COVID-19 survey</w:t>
            </w:r>
            <w:r w:rsidR="0079219D">
              <w:rPr>
                <w:rFonts w:eastAsia="Times New Roman" w:cs="Calibri"/>
                <w:color w:val="000000"/>
                <w:sz w:val="20"/>
                <w:szCs w:val="20"/>
              </w:rPr>
              <w:t xml:space="preserve"> [</w:t>
            </w:r>
            <w:r w:rsidR="00284287">
              <w:rPr>
                <w:rFonts w:eastAsia="Times New Roman" w:cs="Calibri"/>
                <w:color w:val="000000"/>
                <w:sz w:val="20"/>
                <w:szCs w:val="20"/>
              </w:rPr>
              <w:t>7</w:t>
            </w:r>
            <w:r w:rsidR="0079219D">
              <w:rPr>
                <w:rFonts w:eastAsia="Times New Roman" w:cs="Calibri"/>
                <w:color w:val="000000"/>
                <w:sz w:val="20"/>
                <w:szCs w:val="20"/>
              </w:rPr>
              <w:t>]</w:t>
            </w:r>
            <w:r>
              <w:rPr>
                <w:rFonts w:eastAsia="Times New Roman" w:cs="Calibri"/>
                <w:color w:val="000000"/>
                <w:sz w:val="20"/>
                <w:szCs w:val="20"/>
              </w:rPr>
              <w:t>, this outcome i</w:t>
            </w:r>
            <w:r w:rsidR="00FF1775">
              <w:rPr>
                <w:rFonts w:eastAsia="Times New Roman" w:cs="Calibri"/>
                <w:color w:val="000000"/>
                <w:sz w:val="20"/>
                <w:szCs w:val="20"/>
              </w:rPr>
              <w:t>ndicates the adolescent r</w:t>
            </w:r>
            <w:r w:rsidR="000A0A86">
              <w:rPr>
                <w:rFonts w:eastAsia="Times New Roman" w:cs="Calibri"/>
                <w:color w:val="000000"/>
                <w:sz w:val="20"/>
                <w:szCs w:val="20"/>
              </w:rPr>
              <w:t xml:space="preserve">esponded to the question “Thinking about the current Corona situation/pandemic, how much do you feel that you have more access to technology (e.g., internet, phone) compared to before the pandemic?” with </w:t>
            </w:r>
            <w:r>
              <w:rPr>
                <w:rFonts w:eastAsia="Times New Roman" w:cs="Calibri"/>
                <w:color w:val="000000"/>
                <w:sz w:val="20"/>
                <w:szCs w:val="20"/>
              </w:rPr>
              <w:t>either “completely” or “a moderate amount”</w:t>
            </w:r>
          </w:p>
        </w:tc>
      </w:tr>
      <w:tr w:rsidR="00FF1775" w:rsidRPr="00C23CF7" w14:paraId="2AC99BBA" w14:textId="77777777" w:rsidTr="004D2BF9">
        <w:trPr>
          <w:trHeight w:val="327"/>
          <w:jc w:val="center"/>
        </w:trPr>
        <w:tc>
          <w:tcPr>
            <w:tcW w:w="2610" w:type="dxa"/>
            <w:tcBorders>
              <w:left w:val="nil"/>
              <w:right w:val="nil"/>
            </w:tcBorders>
            <w:shd w:val="clear" w:color="auto" w:fill="auto"/>
            <w:noWrap/>
          </w:tcPr>
          <w:p w14:paraId="5D0FE572" w14:textId="00927860" w:rsidR="00FF1775" w:rsidRPr="00C23CF7" w:rsidRDefault="00FF1775" w:rsidP="004D2BF9">
            <w:pPr>
              <w:spacing w:after="120" w:line="240" w:lineRule="auto"/>
              <w:rPr>
                <w:rFonts w:eastAsia="Times New Roman" w:cs="Calibri"/>
                <w:color w:val="000000"/>
                <w:sz w:val="20"/>
                <w:szCs w:val="20"/>
              </w:rPr>
            </w:pPr>
            <w:r w:rsidRPr="00C23CF7">
              <w:rPr>
                <w:rFonts w:eastAsia="Times New Roman" w:cs="Calibri"/>
                <w:color w:val="000000"/>
                <w:sz w:val="20"/>
                <w:szCs w:val="20"/>
              </w:rPr>
              <w:t>Household currently receives any cash or food aid</w:t>
            </w:r>
          </w:p>
        </w:tc>
        <w:tc>
          <w:tcPr>
            <w:tcW w:w="1440" w:type="dxa"/>
            <w:tcBorders>
              <w:left w:val="nil"/>
              <w:right w:val="nil"/>
            </w:tcBorders>
            <w:shd w:val="clear" w:color="auto" w:fill="auto"/>
            <w:noWrap/>
          </w:tcPr>
          <w:p w14:paraId="45E2268C" w14:textId="17F0E4C8" w:rsidR="00FF1775" w:rsidRPr="00C23CF7" w:rsidRDefault="00FF1775" w:rsidP="00404FF2">
            <w:pPr>
              <w:spacing w:after="120" w:line="240" w:lineRule="auto"/>
              <w:rPr>
                <w:rFonts w:eastAsia="Times New Roman" w:cs="Calibri"/>
                <w:color w:val="000000"/>
                <w:sz w:val="20"/>
                <w:szCs w:val="20"/>
              </w:rPr>
            </w:pPr>
            <w:r w:rsidRPr="00C23CF7">
              <w:rPr>
                <w:rFonts w:eastAsia="Times New Roman" w:cs="Calibri"/>
                <w:color w:val="000000"/>
                <w:sz w:val="20"/>
                <w:szCs w:val="20"/>
              </w:rPr>
              <w:t>Adult female caregiver*</w:t>
            </w:r>
          </w:p>
        </w:tc>
        <w:tc>
          <w:tcPr>
            <w:tcW w:w="6750" w:type="dxa"/>
            <w:tcBorders>
              <w:left w:val="nil"/>
              <w:right w:val="nil"/>
            </w:tcBorders>
            <w:shd w:val="clear" w:color="auto" w:fill="auto"/>
            <w:noWrap/>
            <w:vAlign w:val="center"/>
          </w:tcPr>
          <w:p w14:paraId="0FEDA46D" w14:textId="3AC45C96" w:rsidR="00FF1775" w:rsidRPr="00C23CF7" w:rsidRDefault="00FF1775" w:rsidP="00FF1775">
            <w:pPr>
              <w:spacing w:after="120" w:line="240" w:lineRule="auto"/>
              <w:rPr>
                <w:rFonts w:eastAsia="Times New Roman" w:cs="Calibri"/>
                <w:color w:val="000000"/>
                <w:sz w:val="20"/>
                <w:szCs w:val="20"/>
              </w:rPr>
            </w:pPr>
            <w:r>
              <w:rPr>
                <w:rFonts w:eastAsia="Times New Roman" w:cs="Calibri"/>
                <w:color w:val="000000"/>
                <w:sz w:val="20"/>
                <w:szCs w:val="20"/>
              </w:rPr>
              <w:t xml:space="preserve">Indicates that the household benefits from at least one of four large-scale cash or food aid programs in Jordan: UNHCR cash transfer programs (for refugee households); World Food </w:t>
            </w:r>
            <w:proofErr w:type="spellStart"/>
            <w:r>
              <w:rPr>
                <w:rFonts w:eastAsia="Times New Roman" w:cs="Calibri"/>
                <w:color w:val="000000"/>
                <w:sz w:val="20"/>
                <w:szCs w:val="20"/>
              </w:rPr>
              <w:t>Programme</w:t>
            </w:r>
            <w:proofErr w:type="spellEnd"/>
            <w:r>
              <w:rPr>
                <w:rFonts w:eastAsia="Times New Roman" w:cs="Calibri"/>
                <w:color w:val="000000"/>
                <w:sz w:val="20"/>
                <w:szCs w:val="20"/>
              </w:rPr>
              <w:t xml:space="preserve"> food vouchers (for Syrian refugee households); UNRWA food aid cards (for Palestinian refugee households); </w:t>
            </w:r>
            <w:proofErr w:type="spellStart"/>
            <w:r>
              <w:rPr>
                <w:rFonts w:eastAsia="Times New Roman" w:cs="Calibri"/>
                <w:color w:val="000000"/>
                <w:sz w:val="20"/>
                <w:szCs w:val="20"/>
              </w:rPr>
              <w:t>Hajati</w:t>
            </w:r>
            <w:proofErr w:type="spellEnd"/>
            <w:r>
              <w:rPr>
                <w:rFonts w:eastAsia="Times New Roman" w:cs="Calibri"/>
                <w:color w:val="000000"/>
                <w:sz w:val="20"/>
                <w:szCs w:val="20"/>
              </w:rPr>
              <w:t xml:space="preserve"> cash assistance (for vulnerable Jordanian and refugee households living in host communities and/or informal tent settlements). </w:t>
            </w:r>
          </w:p>
        </w:tc>
      </w:tr>
      <w:tr w:rsidR="00FF1775" w:rsidRPr="00C23CF7" w14:paraId="6158C459" w14:textId="77777777" w:rsidTr="004D2BF9">
        <w:trPr>
          <w:trHeight w:val="327"/>
          <w:jc w:val="center"/>
        </w:trPr>
        <w:tc>
          <w:tcPr>
            <w:tcW w:w="2610" w:type="dxa"/>
            <w:tcBorders>
              <w:left w:val="nil"/>
              <w:bottom w:val="single" w:sz="2" w:space="0" w:color="auto"/>
              <w:right w:val="nil"/>
            </w:tcBorders>
            <w:shd w:val="clear" w:color="auto" w:fill="auto"/>
            <w:noWrap/>
          </w:tcPr>
          <w:p w14:paraId="29B10B92" w14:textId="78EB013B" w:rsidR="00FF1775" w:rsidRPr="0010049E" w:rsidRDefault="00FF1775" w:rsidP="004D2BF9">
            <w:pPr>
              <w:spacing w:after="120" w:line="240" w:lineRule="auto"/>
              <w:rPr>
                <w:rFonts w:eastAsia="Times New Roman" w:cs="Calibri"/>
                <w:color w:val="000000"/>
                <w:sz w:val="20"/>
                <w:szCs w:val="20"/>
              </w:rPr>
            </w:pPr>
            <w:r w:rsidRPr="0010049E">
              <w:rPr>
                <w:rFonts w:eastAsia="Times New Roman" w:cs="Calibri"/>
                <w:color w:val="000000"/>
                <w:sz w:val="20"/>
                <w:szCs w:val="20"/>
              </w:rPr>
              <w:t>Household cash or food aid decreased since pandemic began (among those households that receive any aid)</w:t>
            </w:r>
          </w:p>
        </w:tc>
        <w:tc>
          <w:tcPr>
            <w:tcW w:w="1440" w:type="dxa"/>
            <w:tcBorders>
              <w:left w:val="nil"/>
              <w:bottom w:val="single" w:sz="2" w:space="0" w:color="auto"/>
              <w:right w:val="nil"/>
            </w:tcBorders>
            <w:shd w:val="clear" w:color="auto" w:fill="auto"/>
            <w:noWrap/>
          </w:tcPr>
          <w:p w14:paraId="08159F48" w14:textId="102CA30B" w:rsidR="00FF1775" w:rsidRPr="0010049E" w:rsidRDefault="00FF1775" w:rsidP="00404FF2">
            <w:pPr>
              <w:spacing w:after="120" w:line="240" w:lineRule="auto"/>
              <w:rPr>
                <w:rFonts w:eastAsia="Times New Roman" w:cs="Calibri"/>
                <w:color w:val="000000"/>
                <w:sz w:val="20"/>
                <w:szCs w:val="20"/>
              </w:rPr>
            </w:pPr>
            <w:r w:rsidRPr="0010049E">
              <w:rPr>
                <w:rFonts w:eastAsia="Times New Roman" w:cs="Calibri"/>
                <w:color w:val="000000"/>
                <w:sz w:val="20"/>
                <w:szCs w:val="20"/>
              </w:rPr>
              <w:t>Adult female caregiver*</w:t>
            </w:r>
          </w:p>
        </w:tc>
        <w:tc>
          <w:tcPr>
            <w:tcW w:w="6750" w:type="dxa"/>
            <w:tcBorders>
              <w:left w:val="nil"/>
              <w:bottom w:val="single" w:sz="2" w:space="0" w:color="auto"/>
              <w:right w:val="nil"/>
            </w:tcBorders>
            <w:shd w:val="clear" w:color="auto" w:fill="auto"/>
            <w:noWrap/>
            <w:vAlign w:val="center"/>
          </w:tcPr>
          <w:p w14:paraId="408C4C52" w14:textId="570D599E" w:rsidR="00FF1775" w:rsidRPr="0010049E" w:rsidRDefault="00FF1775" w:rsidP="00FF1775">
            <w:pPr>
              <w:spacing w:after="120" w:line="240" w:lineRule="auto"/>
              <w:rPr>
                <w:rFonts w:eastAsia="Times New Roman" w:cs="Calibri"/>
                <w:color w:val="000000"/>
                <w:sz w:val="20"/>
                <w:szCs w:val="20"/>
              </w:rPr>
            </w:pPr>
            <w:r w:rsidRPr="0010049E">
              <w:rPr>
                <w:rFonts w:eastAsia="Times New Roman" w:cs="Calibri"/>
                <w:color w:val="000000"/>
                <w:sz w:val="20"/>
                <w:szCs w:val="20"/>
              </w:rPr>
              <w:t>Indicates the adult survey respondent reports that the amount of food or cash provided through any of the four aid programs listed above</w:t>
            </w:r>
            <w:r w:rsidR="0010049E">
              <w:rPr>
                <w:rFonts w:eastAsia="Times New Roman" w:cs="Calibri"/>
                <w:color w:val="000000"/>
                <w:sz w:val="20"/>
                <w:szCs w:val="20"/>
              </w:rPr>
              <w:t xml:space="preserve"> decreased compared to aid immediately before the pandemic in March 2020. Note that if the household received more than one type of aid, this indicator identifies household that reported a decrease from any program, even if other types of aid did not decrease. </w:t>
            </w:r>
          </w:p>
        </w:tc>
      </w:tr>
    </w:tbl>
    <w:p w14:paraId="56348D42" w14:textId="1DBB1133" w:rsidR="00035E65" w:rsidRPr="00C23CF7" w:rsidRDefault="00C23CF7" w:rsidP="00AD1F59">
      <w:pPr>
        <w:tabs>
          <w:tab w:val="left" w:pos="1800"/>
        </w:tabs>
        <w:spacing w:after="0" w:line="240" w:lineRule="auto"/>
        <w:rPr>
          <w:sz w:val="18"/>
          <w:szCs w:val="18"/>
        </w:rPr>
      </w:pPr>
      <w:r>
        <w:rPr>
          <w:sz w:val="18"/>
          <w:szCs w:val="18"/>
        </w:rPr>
        <w:t xml:space="preserve">*Note: In the event where there is no adult female caregiver or the adult female caregiver is not available, a shortened version of the survey is administered to another adult in the household. In the case of adolescents who live independently or are married, the shortened version of the survey may be administered to the adolescent him or herself. </w:t>
      </w:r>
    </w:p>
    <w:p w14:paraId="2F691CD6" w14:textId="6E840B97" w:rsidR="00474057" w:rsidRDefault="00474057" w:rsidP="00AD1F59">
      <w:pPr>
        <w:tabs>
          <w:tab w:val="left" w:pos="1800"/>
        </w:tabs>
        <w:spacing w:after="0" w:line="240" w:lineRule="auto"/>
        <w:rPr>
          <w:sz w:val="20"/>
          <w:szCs w:val="20"/>
        </w:rPr>
      </w:pPr>
    </w:p>
    <w:p w14:paraId="7396017D" w14:textId="77777777" w:rsidR="00DA2EC6" w:rsidRDefault="00DA2EC6" w:rsidP="009713DA">
      <w:pPr>
        <w:rPr>
          <w:rFonts w:cstheme="minorHAnsi"/>
          <w:b/>
          <w:bCs/>
          <w:sz w:val="28"/>
          <w:szCs w:val="28"/>
        </w:rPr>
      </w:pPr>
    </w:p>
    <w:p w14:paraId="67B22AA5" w14:textId="77777777" w:rsidR="00DA2EC6" w:rsidRDefault="00DA2EC6" w:rsidP="009713DA">
      <w:pPr>
        <w:rPr>
          <w:rFonts w:cstheme="minorHAnsi"/>
          <w:b/>
          <w:bCs/>
          <w:sz w:val="28"/>
          <w:szCs w:val="28"/>
        </w:rPr>
      </w:pPr>
    </w:p>
    <w:p w14:paraId="594B2001" w14:textId="77777777" w:rsidR="00DA2EC6" w:rsidRDefault="00DA2EC6" w:rsidP="009713DA">
      <w:pPr>
        <w:rPr>
          <w:rFonts w:cstheme="minorHAnsi"/>
          <w:b/>
          <w:bCs/>
          <w:sz w:val="28"/>
          <w:szCs w:val="28"/>
        </w:rPr>
      </w:pPr>
    </w:p>
    <w:p w14:paraId="4F6C9C6F" w14:textId="77777777" w:rsidR="00DA2EC6" w:rsidRDefault="00DA2EC6" w:rsidP="009713DA">
      <w:pPr>
        <w:rPr>
          <w:rFonts w:cstheme="minorHAnsi"/>
          <w:b/>
          <w:bCs/>
          <w:sz w:val="28"/>
          <w:szCs w:val="28"/>
        </w:rPr>
      </w:pPr>
    </w:p>
    <w:p w14:paraId="43F44CD2" w14:textId="77777777" w:rsidR="00DA2EC6" w:rsidRDefault="00DA2EC6" w:rsidP="009713DA">
      <w:pPr>
        <w:rPr>
          <w:rFonts w:cstheme="minorHAnsi"/>
          <w:b/>
          <w:bCs/>
          <w:sz w:val="28"/>
          <w:szCs w:val="28"/>
        </w:rPr>
      </w:pPr>
    </w:p>
    <w:p w14:paraId="769FB80C" w14:textId="77777777" w:rsidR="00DA2EC6" w:rsidRDefault="00DA2EC6" w:rsidP="009713DA">
      <w:pPr>
        <w:rPr>
          <w:rFonts w:cstheme="minorHAnsi"/>
          <w:b/>
          <w:bCs/>
          <w:sz w:val="28"/>
          <w:szCs w:val="28"/>
        </w:rPr>
      </w:pPr>
    </w:p>
    <w:p w14:paraId="79600ABE" w14:textId="77777777" w:rsidR="00DA2EC6" w:rsidRDefault="00DA2EC6" w:rsidP="009713DA">
      <w:pPr>
        <w:rPr>
          <w:rFonts w:cstheme="minorHAnsi"/>
          <w:b/>
          <w:bCs/>
          <w:sz w:val="28"/>
          <w:szCs w:val="28"/>
        </w:rPr>
      </w:pPr>
    </w:p>
    <w:p w14:paraId="064463B1" w14:textId="6864AD7A" w:rsidR="009713DA" w:rsidRPr="00DB4050" w:rsidRDefault="009713DA" w:rsidP="009713DA">
      <w:pPr>
        <w:rPr>
          <w:rFonts w:cstheme="minorHAnsi"/>
          <w:b/>
          <w:bCs/>
          <w:sz w:val="28"/>
          <w:szCs w:val="28"/>
        </w:rPr>
      </w:pPr>
      <w:r w:rsidRPr="00DB4050">
        <w:rPr>
          <w:rFonts w:cstheme="minorHAnsi"/>
          <w:b/>
          <w:bCs/>
          <w:sz w:val="28"/>
          <w:szCs w:val="28"/>
        </w:rPr>
        <w:lastRenderedPageBreak/>
        <w:t xml:space="preserve">References </w:t>
      </w:r>
    </w:p>
    <w:p w14:paraId="3056DC36" w14:textId="2BC3DF6A" w:rsidR="009713DA" w:rsidRDefault="009713DA" w:rsidP="009713DA">
      <w:pPr>
        <w:ind w:left="720" w:hanging="720"/>
        <w:rPr>
          <w:rFonts w:cstheme="minorHAnsi"/>
        </w:rPr>
      </w:pPr>
      <w:r>
        <w:rPr>
          <w:rFonts w:cstheme="minorHAnsi"/>
        </w:rPr>
        <w:t>1</w:t>
      </w:r>
      <w:r w:rsidRPr="00DB4050">
        <w:rPr>
          <w:rFonts w:cstheme="minorHAnsi"/>
        </w:rPr>
        <w:t xml:space="preserve">. </w:t>
      </w:r>
      <w:r w:rsidRPr="00DB4050">
        <w:rPr>
          <w:rFonts w:cstheme="minorHAnsi"/>
        </w:rPr>
        <w:tab/>
      </w:r>
      <w:r w:rsidRPr="006540E9">
        <w:t xml:space="preserve">Yale </w:t>
      </w:r>
      <w:r>
        <w:t xml:space="preserve">Research </w:t>
      </w:r>
      <w:r w:rsidRPr="006540E9">
        <w:t xml:space="preserve">Initiative on Innovation and Scale (Y-RISE) </w:t>
      </w:r>
      <w:r>
        <w:t>and</w:t>
      </w:r>
      <w:r w:rsidRPr="006540E9">
        <w:t xml:space="preserve"> Innovations for Poverty Action (IPA)</w:t>
      </w:r>
      <w:r>
        <w:t>.</w:t>
      </w:r>
      <w:r w:rsidRPr="006540E9">
        <w:t xml:space="preserve"> COVID-19 </w:t>
      </w:r>
      <w:r>
        <w:t xml:space="preserve">Survey for the Cox’s Bazaar Panel Survey Project. </w:t>
      </w:r>
      <w:r w:rsidR="00110989">
        <w:t>2020. Available from</w:t>
      </w:r>
      <w:r>
        <w:t xml:space="preserve">: </w:t>
      </w:r>
      <w:hyperlink r:id="rId6" w:history="1">
        <w:r>
          <w:rPr>
            <w:rStyle w:val="Hyperlink"/>
          </w:rPr>
          <w:t>https://yrise.yale.edu/covid-19-survey-for-the-coxs-bazaar-panel-survey-project/</w:t>
        </w:r>
      </w:hyperlink>
      <w:r>
        <w:t xml:space="preserve">  </w:t>
      </w:r>
    </w:p>
    <w:p w14:paraId="2318B95F" w14:textId="75229C37" w:rsidR="009713DA" w:rsidRDefault="009713DA" w:rsidP="009713DA">
      <w:pPr>
        <w:ind w:left="720" w:hanging="720"/>
        <w:rPr>
          <w:rFonts w:cstheme="minorHAnsi"/>
        </w:rPr>
      </w:pPr>
      <w:r>
        <w:rPr>
          <w:rFonts w:cstheme="minorHAnsi"/>
        </w:rPr>
        <w:t>2</w:t>
      </w:r>
      <w:r w:rsidRPr="00DB4050">
        <w:rPr>
          <w:rFonts w:cstheme="minorHAnsi"/>
        </w:rPr>
        <w:t xml:space="preserve">. </w:t>
      </w:r>
      <w:r w:rsidRPr="00DB4050">
        <w:rPr>
          <w:rFonts w:cstheme="minorHAnsi"/>
        </w:rPr>
        <w:tab/>
        <w:t xml:space="preserve">Coates J, </w:t>
      </w:r>
      <w:proofErr w:type="spellStart"/>
      <w:r w:rsidRPr="00DB4050">
        <w:rPr>
          <w:rFonts w:cstheme="minorHAnsi"/>
        </w:rPr>
        <w:t>Swindale</w:t>
      </w:r>
      <w:proofErr w:type="spellEnd"/>
      <w:r w:rsidRPr="00DB4050">
        <w:rPr>
          <w:rFonts w:cstheme="minorHAnsi"/>
        </w:rPr>
        <w:t xml:space="preserve"> A, </w:t>
      </w:r>
      <w:proofErr w:type="spellStart"/>
      <w:r w:rsidRPr="00DB4050">
        <w:rPr>
          <w:rFonts w:cstheme="minorHAnsi"/>
        </w:rPr>
        <w:t>Bilinsky</w:t>
      </w:r>
      <w:proofErr w:type="spellEnd"/>
      <w:r w:rsidRPr="00DB4050">
        <w:rPr>
          <w:rFonts w:cstheme="minorHAnsi"/>
        </w:rPr>
        <w:t xml:space="preserve"> P. Household Food Insecurity Access Scale (HFIAS) for measurement of household food access: indicator guide (v. 3). Washington</w:t>
      </w:r>
      <w:r>
        <w:rPr>
          <w:rFonts w:cstheme="minorHAnsi"/>
        </w:rPr>
        <w:t>,</w:t>
      </w:r>
      <w:r w:rsidRPr="00DB4050">
        <w:rPr>
          <w:rFonts w:cstheme="minorHAnsi"/>
        </w:rPr>
        <w:t xml:space="preserve"> DC: </w:t>
      </w:r>
      <w:r>
        <w:rPr>
          <w:rFonts w:cstheme="minorHAnsi"/>
        </w:rPr>
        <w:t>Food and Nutrition Technical Assistance III Project (FANTA)/</w:t>
      </w:r>
      <w:r w:rsidRPr="00DB4050">
        <w:rPr>
          <w:rFonts w:cstheme="minorHAnsi"/>
        </w:rPr>
        <w:t xml:space="preserve">FHI 360; 2007. Available from: </w:t>
      </w:r>
      <w:hyperlink r:id="rId7" w:history="1">
        <w:r w:rsidR="007E7D2A" w:rsidRPr="00A047E7">
          <w:rPr>
            <w:rStyle w:val="Hyperlink"/>
            <w:rFonts w:cstheme="minorHAnsi"/>
          </w:rPr>
          <w:t>https://www.fantaproject.org/monitoring-and-evaluation/household-food-insecurity-access-scale-hfias</w:t>
        </w:r>
      </w:hyperlink>
    </w:p>
    <w:p w14:paraId="3841959A" w14:textId="486B0E79" w:rsidR="007E7D2A" w:rsidRPr="00DB4050" w:rsidRDefault="007E7D2A" w:rsidP="00DA2EC6">
      <w:pPr>
        <w:ind w:left="720" w:hanging="720"/>
        <w:rPr>
          <w:rFonts w:cstheme="minorHAnsi"/>
        </w:rPr>
      </w:pPr>
      <w:r>
        <w:rPr>
          <w:rFonts w:cstheme="minorHAnsi"/>
        </w:rPr>
        <w:t>3</w:t>
      </w:r>
      <w:r w:rsidRPr="00DB4050">
        <w:rPr>
          <w:rFonts w:cstheme="minorHAnsi"/>
        </w:rPr>
        <w:t xml:space="preserve">. </w:t>
      </w:r>
      <w:r w:rsidRPr="00DB4050">
        <w:rPr>
          <w:rFonts w:cstheme="minorHAnsi"/>
        </w:rPr>
        <w:tab/>
      </w:r>
      <w:r>
        <w:t xml:space="preserve">Center on Gender Equity and Health (GEH). </w:t>
      </w:r>
      <w:r w:rsidRPr="00EA2656">
        <w:t>EMERGE COVID-19 and Gender Survey Questions</w:t>
      </w:r>
      <w:r>
        <w:t xml:space="preserve">. </w:t>
      </w:r>
      <w:r w:rsidR="00110989">
        <w:t>2020. Available from:</w:t>
      </w:r>
      <w:r>
        <w:t xml:space="preserve"> </w:t>
      </w:r>
      <w:hyperlink r:id="rId8" w:history="1">
        <w:r w:rsidRPr="000B659A">
          <w:rPr>
            <w:rStyle w:val="Hyperlink"/>
          </w:rPr>
          <w:t>http://emerge.ucsd.edu/covid-19/</w:t>
        </w:r>
      </w:hyperlink>
    </w:p>
    <w:p w14:paraId="49BE8C38" w14:textId="05181F64" w:rsidR="009713DA" w:rsidRDefault="00404FF2" w:rsidP="00404FF2">
      <w:pPr>
        <w:ind w:left="720" w:hanging="720"/>
        <w:rPr>
          <w:rFonts w:cstheme="minorHAnsi"/>
        </w:rPr>
      </w:pPr>
      <w:r>
        <w:rPr>
          <w:rFonts w:cstheme="minorHAnsi"/>
        </w:rPr>
        <w:t>4</w:t>
      </w:r>
      <w:r w:rsidR="009713DA" w:rsidRPr="00DB4050">
        <w:rPr>
          <w:rFonts w:cstheme="minorHAnsi"/>
        </w:rPr>
        <w:t xml:space="preserve">. </w:t>
      </w:r>
      <w:r w:rsidR="009713DA" w:rsidRPr="00DB4050">
        <w:rPr>
          <w:rFonts w:cstheme="minorHAnsi"/>
        </w:rPr>
        <w:tab/>
        <w:t xml:space="preserve">Kroenke K, </w:t>
      </w:r>
      <w:proofErr w:type="spellStart"/>
      <w:r w:rsidR="009713DA" w:rsidRPr="00DB4050">
        <w:rPr>
          <w:rFonts w:cstheme="minorHAnsi"/>
        </w:rPr>
        <w:t>Strine</w:t>
      </w:r>
      <w:proofErr w:type="spellEnd"/>
      <w:r w:rsidR="009713DA" w:rsidRPr="00DB4050">
        <w:rPr>
          <w:rFonts w:cstheme="minorHAnsi"/>
        </w:rPr>
        <w:t xml:space="preserve"> TW, Spitzer RL, Williams JBW, Berry JT, </w:t>
      </w:r>
      <w:proofErr w:type="spellStart"/>
      <w:r w:rsidR="009713DA" w:rsidRPr="00DB4050">
        <w:rPr>
          <w:rFonts w:cstheme="minorHAnsi"/>
        </w:rPr>
        <w:t>Mokdad</w:t>
      </w:r>
      <w:proofErr w:type="spellEnd"/>
      <w:r w:rsidR="009713DA" w:rsidRPr="00DB4050">
        <w:rPr>
          <w:rFonts w:cstheme="minorHAnsi"/>
        </w:rPr>
        <w:t xml:space="preserve"> AH. The PHQ-8 as a measure of</w:t>
      </w:r>
      <w:r>
        <w:rPr>
          <w:rFonts w:cstheme="minorHAnsi"/>
        </w:rPr>
        <w:t xml:space="preserve"> </w:t>
      </w:r>
      <w:r w:rsidR="009713DA" w:rsidRPr="00DB4050">
        <w:rPr>
          <w:rFonts w:cstheme="minorHAnsi"/>
        </w:rPr>
        <w:t xml:space="preserve">current depression in the general population. J Affect </w:t>
      </w:r>
      <w:proofErr w:type="spellStart"/>
      <w:r w:rsidR="009713DA" w:rsidRPr="00DB4050">
        <w:rPr>
          <w:rFonts w:cstheme="minorHAnsi"/>
        </w:rPr>
        <w:t>Disord</w:t>
      </w:r>
      <w:proofErr w:type="spellEnd"/>
      <w:r w:rsidR="009713DA" w:rsidRPr="00DB4050">
        <w:rPr>
          <w:rFonts w:cstheme="minorHAnsi"/>
        </w:rPr>
        <w:t>. 2009; 114(1-3): 163-173.</w:t>
      </w:r>
      <w:r w:rsidR="00626C3E">
        <w:rPr>
          <w:rFonts w:cstheme="minorHAnsi"/>
        </w:rPr>
        <w:t xml:space="preserve"> Available from: </w:t>
      </w:r>
      <w:hyperlink r:id="rId9" w:history="1">
        <w:r w:rsidR="00626C3E" w:rsidRPr="00A047E7">
          <w:rPr>
            <w:rStyle w:val="Hyperlink"/>
            <w:rFonts w:cstheme="minorHAnsi"/>
          </w:rPr>
          <w:t>https://pubmed.ncbi.nlm.nih.gov/18752852/</w:t>
        </w:r>
      </w:hyperlink>
      <w:r w:rsidR="00626C3E">
        <w:rPr>
          <w:rFonts w:cstheme="minorHAnsi"/>
        </w:rPr>
        <w:t xml:space="preserve"> </w:t>
      </w:r>
    </w:p>
    <w:p w14:paraId="75E31363" w14:textId="1DD20DE9" w:rsidR="009713DA" w:rsidRDefault="00404FF2" w:rsidP="00404FF2">
      <w:pPr>
        <w:ind w:left="720" w:hanging="720"/>
        <w:rPr>
          <w:rFonts w:cstheme="minorHAnsi"/>
        </w:rPr>
      </w:pPr>
      <w:r>
        <w:rPr>
          <w:rFonts w:cstheme="minorHAnsi"/>
        </w:rPr>
        <w:t>5</w:t>
      </w:r>
      <w:r w:rsidR="009713DA" w:rsidRPr="00DB4050">
        <w:rPr>
          <w:rFonts w:cstheme="minorHAnsi"/>
        </w:rPr>
        <w:t xml:space="preserve">. </w:t>
      </w:r>
      <w:r w:rsidR="009713DA" w:rsidRPr="00DB4050">
        <w:rPr>
          <w:rFonts w:cstheme="minorHAnsi"/>
        </w:rPr>
        <w:tab/>
        <w:t xml:space="preserve">Spitzer RL, Kroenke K, Williams JBW, </w:t>
      </w:r>
      <w:proofErr w:type="spellStart"/>
      <w:r w:rsidR="009713DA" w:rsidRPr="00DB4050">
        <w:rPr>
          <w:rFonts w:cstheme="minorHAnsi"/>
        </w:rPr>
        <w:t>Löwe</w:t>
      </w:r>
      <w:proofErr w:type="spellEnd"/>
      <w:r w:rsidR="009713DA" w:rsidRPr="00DB4050">
        <w:rPr>
          <w:rFonts w:cstheme="minorHAnsi"/>
        </w:rPr>
        <w:t xml:space="preserve"> B. A brief measure for assessing generalized anxiety disorder: the GAD-7. Arch Intern Med. 2006; 166(10): 1092-1097.</w:t>
      </w:r>
      <w:r w:rsidR="009713DA" w:rsidRPr="00DB4050">
        <w:rPr>
          <w:rFonts w:ascii="Arial" w:hAnsi="Arial"/>
          <w:szCs w:val="24"/>
        </w:rPr>
        <w:t xml:space="preserve"> </w:t>
      </w:r>
      <w:r w:rsidR="009713DA" w:rsidRPr="00DB4050">
        <w:rPr>
          <w:rFonts w:cstheme="minorHAnsi"/>
          <w:szCs w:val="24"/>
        </w:rPr>
        <w:t>Available from:</w:t>
      </w:r>
      <w:r w:rsidR="009713DA" w:rsidRPr="00DB4050">
        <w:rPr>
          <w:rFonts w:ascii="Arial" w:hAnsi="Arial"/>
          <w:szCs w:val="24"/>
        </w:rPr>
        <w:t xml:space="preserve"> </w:t>
      </w:r>
      <w:hyperlink r:id="rId10" w:history="1">
        <w:r w:rsidRPr="00A047E7">
          <w:rPr>
            <w:rStyle w:val="Hyperlink"/>
            <w:rFonts w:cstheme="minorHAnsi"/>
          </w:rPr>
          <w:t>https://pubmed.ncbi.nlm.nih.gov/16717171/</w:t>
        </w:r>
      </w:hyperlink>
      <w:r>
        <w:rPr>
          <w:rFonts w:cstheme="minorHAnsi"/>
        </w:rPr>
        <w:t xml:space="preserve"> </w:t>
      </w:r>
    </w:p>
    <w:p w14:paraId="7672F799" w14:textId="07AAE3FC" w:rsidR="009713DA" w:rsidRDefault="009713DA" w:rsidP="009713DA">
      <w:pPr>
        <w:ind w:left="720" w:hanging="720"/>
        <w:rPr>
          <w:rFonts w:cstheme="minorHAnsi"/>
        </w:rPr>
      </w:pPr>
      <w:r w:rsidRPr="00DB4050">
        <w:rPr>
          <w:rFonts w:cstheme="minorHAnsi"/>
        </w:rPr>
        <w:t xml:space="preserve">6. </w:t>
      </w:r>
      <w:r w:rsidRPr="00DB4050">
        <w:rPr>
          <w:rFonts w:cstheme="minorHAnsi"/>
        </w:rPr>
        <w:tab/>
        <w:t xml:space="preserve">Sinclair VG, </w:t>
      </w:r>
      <w:proofErr w:type="spellStart"/>
      <w:r w:rsidRPr="00DB4050">
        <w:rPr>
          <w:rFonts w:cstheme="minorHAnsi"/>
        </w:rPr>
        <w:t>Wallston</w:t>
      </w:r>
      <w:proofErr w:type="spellEnd"/>
      <w:r w:rsidRPr="00DB4050">
        <w:rPr>
          <w:rFonts w:cstheme="minorHAnsi"/>
        </w:rPr>
        <w:t xml:space="preserve"> KA. The development and psychometric evaluation of the Brief Resilient Coping Scale. Assessment. 2004; 11(1): 94-101. Available from: </w:t>
      </w:r>
      <w:hyperlink r:id="rId11" w:history="1">
        <w:r w:rsidRPr="00DB4050">
          <w:rPr>
            <w:rFonts w:cstheme="minorHAnsi"/>
            <w:color w:val="0563C1" w:themeColor="hyperlink"/>
            <w:u w:val="single"/>
          </w:rPr>
          <w:t>https://www.ncbi.nlm.nih.gov/pubmed/14994958</w:t>
        </w:r>
      </w:hyperlink>
      <w:r w:rsidRPr="00DB4050">
        <w:rPr>
          <w:rFonts w:cstheme="minorHAnsi"/>
        </w:rPr>
        <w:t xml:space="preserve"> </w:t>
      </w:r>
    </w:p>
    <w:p w14:paraId="41F8FECF" w14:textId="5BCFABE8" w:rsidR="00404FF2" w:rsidRDefault="00404FF2" w:rsidP="009713DA">
      <w:pPr>
        <w:ind w:left="720" w:hanging="720"/>
        <w:rPr>
          <w:rFonts w:cstheme="minorHAnsi"/>
        </w:rPr>
      </w:pPr>
      <w:r>
        <w:rPr>
          <w:rFonts w:cstheme="minorHAnsi"/>
        </w:rPr>
        <w:t>7.</w:t>
      </w:r>
      <w:r>
        <w:rPr>
          <w:rFonts w:cstheme="minorHAnsi"/>
        </w:rPr>
        <w:tab/>
      </w:r>
      <w:r>
        <w:t>Mindset. COVID-19 Survey.</w:t>
      </w:r>
      <w:r w:rsidR="00405F0C">
        <w:t xml:space="preserve"> 2020. </w:t>
      </w:r>
      <w:r>
        <w:t xml:space="preserve"> </w:t>
      </w:r>
    </w:p>
    <w:p w14:paraId="1DD97661" w14:textId="0AD13917" w:rsidR="009713DA" w:rsidRPr="00284287" w:rsidRDefault="00CF17C9" w:rsidP="00284287">
      <w:pPr>
        <w:ind w:left="720" w:hanging="720"/>
        <w:rPr>
          <w:color w:val="0563C1" w:themeColor="hyperlink"/>
          <w:u w:val="single"/>
        </w:rPr>
      </w:pPr>
      <w:r>
        <w:rPr>
          <w:rFonts w:cstheme="minorHAnsi"/>
        </w:rPr>
        <w:t>8</w:t>
      </w:r>
      <w:r w:rsidR="009713DA">
        <w:rPr>
          <w:rFonts w:cstheme="minorHAnsi"/>
        </w:rPr>
        <w:t xml:space="preserve">. </w:t>
      </w:r>
      <w:r w:rsidR="009713DA">
        <w:rPr>
          <w:rFonts w:cstheme="minorHAnsi"/>
        </w:rPr>
        <w:tab/>
      </w:r>
      <w:r w:rsidR="009713DA">
        <w:t>Burges</w:t>
      </w:r>
      <w:r w:rsidR="00405F0C">
        <w:t xml:space="preserve">s, M, </w:t>
      </w:r>
      <w:proofErr w:type="spellStart"/>
      <w:r w:rsidR="00405F0C">
        <w:t>Sulaiman</w:t>
      </w:r>
      <w:proofErr w:type="spellEnd"/>
      <w:r w:rsidR="00405F0C">
        <w:t xml:space="preserve">, M, </w:t>
      </w:r>
      <w:proofErr w:type="spellStart"/>
      <w:r w:rsidR="00405F0C">
        <w:t>Arlini</w:t>
      </w:r>
      <w:proofErr w:type="spellEnd"/>
      <w:r w:rsidR="00405F0C">
        <w:t xml:space="preserve">, SM, </w:t>
      </w:r>
      <w:proofErr w:type="spellStart"/>
      <w:r w:rsidR="00405F0C">
        <w:t>Qaiser</w:t>
      </w:r>
      <w:proofErr w:type="spellEnd"/>
      <w:r w:rsidR="00405F0C">
        <w:t xml:space="preserve">, MH, </w:t>
      </w:r>
      <w:proofErr w:type="spellStart"/>
      <w:r w:rsidR="00405F0C">
        <w:t>Thiyagarajah</w:t>
      </w:r>
      <w:proofErr w:type="spellEnd"/>
      <w:r w:rsidR="00405F0C">
        <w:t xml:space="preserve">, S, </w:t>
      </w:r>
      <w:proofErr w:type="spellStart"/>
      <w:r w:rsidR="00405F0C">
        <w:t>Dulieu</w:t>
      </w:r>
      <w:proofErr w:type="spellEnd"/>
      <w:r w:rsidR="00405F0C">
        <w:t>, N, et al</w:t>
      </w:r>
      <w:r w:rsidR="009713DA">
        <w:t xml:space="preserve">. </w:t>
      </w:r>
      <w:r w:rsidR="009713DA" w:rsidRPr="005A38E9">
        <w:t>Hidden Impact of COVID-19 on Children</w:t>
      </w:r>
      <w:r w:rsidR="00405F0C">
        <w:t xml:space="preserve">: A Global Research Series. </w:t>
      </w:r>
      <w:r w:rsidR="009713DA" w:rsidRPr="005A38E9">
        <w:t>Save the Children International</w:t>
      </w:r>
      <w:r w:rsidR="009713DA">
        <w:t>.</w:t>
      </w:r>
      <w:r w:rsidR="00405F0C">
        <w:t xml:space="preserve"> 2020.</w:t>
      </w:r>
      <w:r w:rsidR="009713DA">
        <w:t xml:space="preserve"> </w:t>
      </w:r>
      <w:r w:rsidR="00110989">
        <w:t>Available from</w:t>
      </w:r>
      <w:r w:rsidR="009713DA">
        <w:t xml:space="preserve">: </w:t>
      </w:r>
      <w:hyperlink r:id="rId12" w:history="1">
        <w:r w:rsidR="009713DA" w:rsidRPr="007E13BD">
          <w:rPr>
            <w:rStyle w:val="Hyperlink"/>
          </w:rPr>
          <w:t>https://resourcecentre.savethechildren.net/library/hidden-impact-covid-19-children-global-research-series</w:t>
        </w:r>
      </w:hyperlink>
    </w:p>
    <w:p w14:paraId="29353D27" w14:textId="77777777" w:rsidR="009713DA" w:rsidRDefault="009713DA" w:rsidP="009713DA">
      <w:pPr>
        <w:ind w:left="720" w:hanging="720"/>
        <w:rPr>
          <w:rStyle w:val="Hyperlink"/>
        </w:rPr>
      </w:pPr>
    </w:p>
    <w:p w14:paraId="596E2D9A" w14:textId="77777777" w:rsidR="009713DA" w:rsidRDefault="009713DA" w:rsidP="009713DA">
      <w:pPr>
        <w:ind w:left="720" w:hanging="720"/>
        <w:rPr>
          <w:rStyle w:val="Hyperlink"/>
        </w:rPr>
      </w:pPr>
    </w:p>
    <w:p w14:paraId="4D44AA25" w14:textId="5E402CE6" w:rsidR="009713DA" w:rsidRDefault="009713DA" w:rsidP="009713DA">
      <w:pPr>
        <w:ind w:left="720" w:hanging="720"/>
        <w:rPr>
          <w:rStyle w:val="Hyperlink"/>
        </w:rPr>
      </w:pPr>
    </w:p>
    <w:p w14:paraId="5F075D21" w14:textId="77777777" w:rsidR="009713DA" w:rsidRPr="00DB4050" w:rsidRDefault="009713DA" w:rsidP="009713DA">
      <w:pPr>
        <w:ind w:left="720" w:hanging="720"/>
        <w:rPr>
          <w:rFonts w:cstheme="minorHAnsi"/>
        </w:rPr>
      </w:pPr>
    </w:p>
    <w:p w14:paraId="73FAC560" w14:textId="77777777" w:rsidR="009713DA" w:rsidRPr="00DB4050" w:rsidRDefault="009713DA" w:rsidP="009713DA">
      <w:pPr>
        <w:ind w:left="720" w:hanging="720"/>
        <w:rPr>
          <w:rFonts w:cstheme="minorHAnsi"/>
        </w:rPr>
      </w:pPr>
    </w:p>
    <w:p w14:paraId="5ABD957E" w14:textId="361CE382" w:rsidR="00474057" w:rsidRDefault="00474057" w:rsidP="00AD1F59">
      <w:pPr>
        <w:tabs>
          <w:tab w:val="left" w:pos="1800"/>
        </w:tabs>
        <w:spacing w:after="0" w:line="240" w:lineRule="auto"/>
        <w:rPr>
          <w:sz w:val="20"/>
          <w:szCs w:val="20"/>
        </w:rPr>
      </w:pPr>
    </w:p>
    <w:p w14:paraId="0D50B8D0" w14:textId="77777777" w:rsidR="00474057" w:rsidRDefault="00474057" w:rsidP="00AD1F59">
      <w:pPr>
        <w:tabs>
          <w:tab w:val="left" w:pos="1800"/>
        </w:tabs>
        <w:spacing w:after="0" w:line="240" w:lineRule="auto"/>
        <w:rPr>
          <w:sz w:val="20"/>
          <w:szCs w:val="20"/>
        </w:rPr>
      </w:pPr>
    </w:p>
    <w:sectPr w:rsidR="00474057" w:rsidSect="00C23CF7">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C45F0"/>
    <w:multiLevelType w:val="hybridMultilevel"/>
    <w:tmpl w:val="58422CAC"/>
    <w:lvl w:ilvl="0" w:tplc="C2C0E5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68"/>
    <w:rsid w:val="00002FFA"/>
    <w:rsid w:val="000346BD"/>
    <w:rsid w:val="00035E65"/>
    <w:rsid w:val="000515DB"/>
    <w:rsid w:val="00064FEF"/>
    <w:rsid w:val="00087D8E"/>
    <w:rsid w:val="00094723"/>
    <w:rsid w:val="000A0A86"/>
    <w:rsid w:val="000A31B7"/>
    <w:rsid w:val="000B0F33"/>
    <w:rsid w:val="000B55A3"/>
    <w:rsid w:val="000C44BA"/>
    <w:rsid w:val="0010049E"/>
    <w:rsid w:val="00110989"/>
    <w:rsid w:val="00125AD6"/>
    <w:rsid w:val="00131619"/>
    <w:rsid w:val="0013763A"/>
    <w:rsid w:val="00180B80"/>
    <w:rsid w:val="001A2F2E"/>
    <w:rsid w:val="001B4CC9"/>
    <w:rsid w:val="001C4294"/>
    <w:rsid w:val="001C5663"/>
    <w:rsid w:val="001D781D"/>
    <w:rsid w:val="00233EE4"/>
    <w:rsid w:val="00284287"/>
    <w:rsid w:val="002875E2"/>
    <w:rsid w:val="002E6BB7"/>
    <w:rsid w:val="002E6BC1"/>
    <w:rsid w:val="002F4F5A"/>
    <w:rsid w:val="00312C31"/>
    <w:rsid w:val="00323468"/>
    <w:rsid w:val="00357CE4"/>
    <w:rsid w:val="00366EEB"/>
    <w:rsid w:val="003C0CA2"/>
    <w:rsid w:val="00404FF2"/>
    <w:rsid w:val="00405F0C"/>
    <w:rsid w:val="00417DD6"/>
    <w:rsid w:val="00474057"/>
    <w:rsid w:val="00474FE7"/>
    <w:rsid w:val="004774C1"/>
    <w:rsid w:val="004D1C18"/>
    <w:rsid w:val="004D2BF9"/>
    <w:rsid w:val="00506720"/>
    <w:rsid w:val="00506D09"/>
    <w:rsid w:val="005136D5"/>
    <w:rsid w:val="005C34AA"/>
    <w:rsid w:val="005E30E8"/>
    <w:rsid w:val="005E6E89"/>
    <w:rsid w:val="005F4743"/>
    <w:rsid w:val="00600723"/>
    <w:rsid w:val="00626C3E"/>
    <w:rsid w:val="006501B0"/>
    <w:rsid w:val="00686F06"/>
    <w:rsid w:val="006F179F"/>
    <w:rsid w:val="00701EEE"/>
    <w:rsid w:val="00730039"/>
    <w:rsid w:val="007404A3"/>
    <w:rsid w:val="0079219D"/>
    <w:rsid w:val="007A4105"/>
    <w:rsid w:val="007B0380"/>
    <w:rsid w:val="007B6BB0"/>
    <w:rsid w:val="007C7B92"/>
    <w:rsid w:val="007E2A7E"/>
    <w:rsid w:val="007E7D2A"/>
    <w:rsid w:val="00822E4E"/>
    <w:rsid w:val="00846E36"/>
    <w:rsid w:val="00854227"/>
    <w:rsid w:val="00882D3D"/>
    <w:rsid w:val="00921EA7"/>
    <w:rsid w:val="00935902"/>
    <w:rsid w:val="00964BDE"/>
    <w:rsid w:val="009713DA"/>
    <w:rsid w:val="00992015"/>
    <w:rsid w:val="009F766E"/>
    <w:rsid w:val="00A11E69"/>
    <w:rsid w:val="00A36A16"/>
    <w:rsid w:val="00AD1F59"/>
    <w:rsid w:val="00AE07AE"/>
    <w:rsid w:val="00B16B4D"/>
    <w:rsid w:val="00B37EBE"/>
    <w:rsid w:val="00B75CDC"/>
    <w:rsid w:val="00B94BB3"/>
    <w:rsid w:val="00BA59D0"/>
    <w:rsid w:val="00BB002C"/>
    <w:rsid w:val="00BB75C6"/>
    <w:rsid w:val="00BD2012"/>
    <w:rsid w:val="00BD237E"/>
    <w:rsid w:val="00BD2C53"/>
    <w:rsid w:val="00BF7E69"/>
    <w:rsid w:val="00C1137D"/>
    <w:rsid w:val="00C17ACC"/>
    <w:rsid w:val="00C23CF7"/>
    <w:rsid w:val="00C6139E"/>
    <w:rsid w:val="00C859C0"/>
    <w:rsid w:val="00CF17C9"/>
    <w:rsid w:val="00D321B9"/>
    <w:rsid w:val="00D34B68"/>
    <w:rsid w:val="00D74FC4"/>
    <w:rsid w:val="00DA2EC6"/>
    <w:rsid w:val="00DD336B"/>
    <w:rsid w:val="00DF6656"/>
    <w:rsid w:val="00E00646"/>
    <w:rsid w:val="00E56039"/>
    <w:rsid w:val="00EB060B"/>
    <w:rsid w:val="00EC14D1"/>
    <w:rsid w:val="00F070B9"/>
    <w:rsid w:val="00F56BEA"/>
    <w:rsid w:val="00F6238C"/>
    <w:rsid w:val="00F67007"/>
    <w:rsid w:val="00FD53DC"/>
    <w:rsid w:val="00FE13C0"/>
    <w:rsid w:val="00FF1775"/>
    <w:rsid w:val="00FF7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0F3BE"/>
  <w15:chartTrackingRefBased/>
  <w15:docId w15:val="{4F186B07-2194-4EA5-A41D-5DC83ED25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3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BD237E"/>
    <w:rPr>
      <w:sz w:val="16"/>
      <w:szCs w:val="16"/>
    </w:rPr>
  </w:style>
  <w:style w:type="paragraph" w:styleId="CommentText">
    <w:name w:val="annotation text"/>
    <w:basedOn w:val="Normal"/>
    <w:link w:val="CommentTextChar"/>
    <w:unhideWhenUsed/>
    <w:rsid w:val="00BD237E"/>
    <w:pPr>
      <w:spacing w:after="0" w:line="240" w:lineRule="auto"/>
    </w:pPr>
    <w:rPr>
      <w:rFonts w:ascii="Calibri" w:hAnsi="Calibri" w:cs="Times New Roman"/>
      <w:sz w:val="20"/>
      <w:szCs w:val="20"/>
      <w:lang w:val="en-GB" w:eastAsia="en-GB"/>
    </w:rPr>
  </w:style>
  <w:style w:type="character" w:customStyle="1" w:styleId="CommentTextChar">
    <w:name w:val="Comment Text Char"/>
    <w:basedOn w:val="DefaultParagraphFont"/>
    <w:link w:val="CommentText"/>
    <w:rsid w:val="00BD237E"/>
    <w:rPr>
      <w:rFonts w:ascii="Calibri" w:hAnsi="Calibri"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7E2A7E"/>
    <w:pPr>
      <w:spacing w:after="160"/>
    </w:pPr>
    <w:rPr>
      <w:rFonts w:ascii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7E2A7E"/>
    <w:rPr>
      <w:rFonts w:ascii="Calibri" w:hAnsi="Calibri" w:cs="Times New Roman"/>
      <w:b/>
      <w:bCs/>
      <w:sz w:val="20"/>
      <w:szCs w:val="20"/>
      <w:lang w:val="en-GB" w:eastAsia="en-GB"/>
    </w:rPr>
  </w:style>
  <w:style w:type="character" w:styleId="Hyperlink">
    <w:name w:val="Hyperlink"/>
    <w:basedOn w:val="DefaultParagraphFont"/>
    <w:uiPriority w:val="99"/>
    <w:unhideWhenUsed/>
    <w:rsid w:val="00180B80"/>
    <w:rPr>
      <w:color w:val="0563C1" w:themeColor="hyperlink"/>
      <w:u w:val="single"/>
    </w:rPr>
  </w:style>
  <w:style w:type="character" w:styleId="UnresolvedMention">
    <w:name w:val="Unresolved Mention"/>
    <w:basedOn w:val="DefaultParagraphFont"/>
    <w:uiPriority w:val="99"/>
    <w:semiHidden/>
    <w:unhideWhenUsed/>
    <w:rsid w:val="00180B80"/>
    <w:rPr>
      <w:color w:val="605E5C"/>
      <w:shd w:val="clear" w:color="auto" w:fill="E1DFDD"/>
    </w:rPr>
  </w:style>
  <w:style w:type="character" w:styleId="FollowedHyperlink">
    <w:name w:val="FollowedHyperlink"/>
    <w:basedOn w:val="DefaultParagraphFont"/>
    <w:uiPriority w:val="99"/>
    <w:semiHidden/>
    <w:unhideWhenUsed/>
    <w:rsid w:val="0079219D"/>
    <w:rPr>
      <w:color w:val="954F72" w:themeColor="followedHyperlink"/>
      <w:u w:val="single"/>
    </w:rPr>
  </w:style>
  <w:style w:type="paragraph" w:styleId="ListParagraph">
    <w:name w:val="List Paragraph"/>
    <w:basedOn w:val="Normal"/>
    <w:uiPriority w:val="34"/>
    <w:qFormat/>
    <w:rsid w:val="00971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03951">
      <w:bodyDiv w:val="1"/>
      <w:marLeft w:val="0"/>
      <w:marRight w:val="0"/>
      <w:marTop w:val="0"/>
      <w:marBottom w:val="0"/>
      <w:divBdr>
        <w:top w:val="none" w:sz="0" w:space="0" w:color="auto"/>
        <w:left w:val="none" w:sz="0" w:space="0" w:color="auto"/>
        <w:bottom w:val="none" w:sz="0" w:space="0" w:color="auto"/>
        <w:right w:val="none" w:sz="0" w:space="0" w:color="auto"/>
      </w:divBdr>
    </w:div>
    <w:div w:id="39792952">
      <w:bodyDiv w:val="1"/>
      <w:marLeft w:val="0"/>
      <w:marRight w:val="0"/>
      <w:marTop w:val="0"/>
      <w:marBottom w:val="0"/>
      <w:divBdr>
        <w:top w:val="none" w:sz="0" w:space="0" w:color="auto"/>
        <w:left w:val="none" w:sz="0" w:space="0" w:color="auto"/>
        <w:bottom w:val="none" w:sz="0" w:space="0" w:color="auto"/>
        <w:right w:val="none" w:sz="0" w:space="0" w:color="auto"/>
      </w:divBdr>
    </w:div>
    <w:div w:id="56369049">
      <w:bodyDiv w:val="1"/>
      <w:marLeft w:val="0"/>
      <w:marRight w:val="0"/>
      <w:marTop w:val="0"/>
      <w:marBottom w:val="0"/>
      <w:divBdr>
        <w:top w:val="none" w:sz="0" w:space="0" w:color="auto"/>
        <w:left w:val="none" w:sz="0" w:space="0" w:color="auto"/>
        <w:bottom w:val="none" w:sz="0" w:space="0" w:color="auto"/>
        <w:right w:val="none" w:sz="0" w:space="0" w:color="auto"/>
      </w:divBdr>
    </w:div>
    <w:div w:id="87697644">
      <w:bodyDiv w:val="1"/>
      <w:marLeft w:val="0"/>
      <w:marRight w:val="0"/>
      <w:marTop w:val="0"/>
      <w:marBottom w:val="0"/>
      <w:divBdr>
        <w:top w:val="none" w:sz="0" w:space="0" w:color="auto"/>
        <w:left w:val="none" w:sz="0" w:space="0" w:color="auto"/>
        <w:bottom w:val="none" w:sz="0" w:space="0" w:color="auto"/>
        <w:right w:val="none" w:sz="0" w:space="0" w:color="auto"/>
      </w:divBdr>
    </w:div>
    <w:div w:id="101727214">
      <w:bodyDiv w:val="1"/>
      <w:marLeft w:val="0"/>
      <w:marRight w:val="0"/>
      <w:marTop w:val="0"/>
      <w:marBottom w:val="0"/>
      <w:divBdr>
        <w:top w:val="none" w:sz="0" w:space="0" w:color="auto"/>
        <w:left w:val="none" w:sz="0" w:space="0" w:color="auto"/>
        <w:bottom w:val="none" w:sz="0" w:space="0" w:color="auto"/>
        <w:right w:val="none" w:sz="0" w:space="0" w:color="auto"/>
      </w:divBdr>
    </w:div>
    <w:div w:id="121967064">
      <w:bodyDiv w:val="1"/>
      <w:marLeft w:val="0"/>
      <w:marRight w:val="0"/>
      <w:marTop w:val="0"/>
      <w:marBottom w:val="0"/>
      <w:divBdr>
        <w:top w:val="none" w:sz="0" w:space="0" w:color="auto"/>
        <w:left w:val="none" w:sz="0" w:space="0" w:color="auto"/>
        <w:bottom w:val="none" w:sz="0" w:space="0" w:color="auto"/>
        <w:right w:val="none" w:sz="0" w:space="0" w:color="auto"/>
      </w:divBdr>
    </w:div>
    <w:div w:id="196427901">
      <w:bodyDiv w:val="1"/>
      <w:marLeft w:val="0"/>
      <w:marRight w:val="0"/>
      <w:marTop w:val="0"/>
      <w:marBottom w:val="0"/>
      <w:divBdr>
        <w:top w:val="none" w:sz="0" w:space="0" w:color="auto"/>
        <w:left w:val="none" w:sz="0" w:space="0" w:color="auto"/>
        <w:bottom w:val="none" w:sz="0" w:space="0" w:color="auto"/>
        <w:right w:val="none" w:sz="0" w:space="0" w:color="auto"/>
      </w:divBdr>
    </w:div>
    <w:div w:id="205869645">
      <w:bodyDiv w:val="1"/>
      <w:marLeft w:val="0"/>
      <w:marRight w:val="0"/>
      <w:marTop w:val="0"/>
      <w:marBottom w:val="0"/>
      <w:divBdr>
        <w:top w:val="none" w:sz="0" w:space="0" w:color="auto"/>
        <w:left w:val="none" w:sz="0" w:space="0" w:color="auto"/>
        <w:bottom w:val="none" w:sz="0" w:space="0" w:color="auto"/>
        <w:right w:val="none" w:sz="0" w:space="0" w:color="auto"/>
      </w:divBdr>
    </w:div>
    <w:div w:id="347610215">
      <w:bodyDiv w:val="1"/>
      <w:marLeft w:val="0"/>
      <w:marRight w:val="0"/>
      <w:marTop w:val="0"/>
      <w:marBottom w:val="0"/>
      <w:divBdr>
        <w:top w:val="none" w:sz="0" w:space="0" w:color="auto"/>
        <w:left w:val="none" w:sz="0" w:space="0" w:color="auto"/>
        <w:bottom w:val="none" w:sz="0" w:space="0" w:color="auto"/>
        <w:right w:val="none" w:sz="0" w:space="0" w:color="auto"/>
      </w:divBdr>
    </w:div>
    <w:div w:id="414283275">
      <w:bodyDiv w:val="1"/>
      <w:marLeft w:val="0"/>
      <w:marRight w:val="0"/>
      <w:marTop w:val="0"/>
      <w:marBottom w:val="0"/>
      <w:divBdr>
        <w:top w:val="none" w:sz="0" w:space="0" w:color="auto"/>
        <w:left w:val="none" w:sz="0" w:space="0" w:color="auto"/>
        <w:bottom w:val="none" w:sz="0" w:space="0" w:color="auto"/>
        <w:right w:val="none" w:sz="0" w:space="0" w:color="auto"/>
      </w:divBdr>
    </w:div>
    <w:div w:id="446197151">
      <w:bodyDiv w:val="1"/>
      <w:marLeft w:val="0"/>
      <w:marRight w:val="0"/>
      <w:marTop w:val="0"/>
      <w:marBottom w:val="0"/>
      <w:divBdr>
        <w:top w:val="none" w:sz="0" w:space="0" w:color="auto"/>
        <w:left w:val="none" w:sz="0" w:space="0" w:color="auto"/>
        <w:bottom w:val="none" w:sz="0" w:space="0" w:color="auto"/>
        <w:right w:val="none" w:sz="0" w:space="0" w:color="auto"/>
      </w:divBdr>
    </w:div>
    <w:div w:id="485586091">
      <w:bodyDiv w:val="1"/>
      <w:marLeft w:val="0"/>
      <w:marRight w:val="0"/>
      <w:marTop w:val="0"/>
      <w:marBottom w:val="0"/>
      <w:divBdr>
        <w:top w:val="none" w:sz="0" w:space="0" w:color="auto"/>
        <w:left w:val="none" w:sz="0" w:space="0" w:color="auto"/>
        <w:bottom w:val="none" w:sz="0" w:space="0" w:color="auto"/>
        <w:right w:val="none" w:sz="0" w:space="0" w:color="auto"/>
      </w:divBdr>
    </w:div>
    <w:div w:id="764962449">
      <w:bodyDiv w:val="1"/>
      <w:marLeft w:val="0"/>
      <w:marRight w:val="0"/>
      <w:marTop w:val="0"/>
      <w:marBottom w:val="0"/>
      <w:divBdr>
        <w:top w:val="none" w:sz="0" w:space="0" w:color="auto"/>
        <w:left w:val="none" w:sz="0" w:space="0" w:color="auto"/>
        <w:bottom w:val="none" w:sz="0" w:space="0" w:color="auto"/>
        <w:right w:val="none" w:sz="0" w:space="0" w:color="auto"/>
      </w:divBdr>
    </w:div>
    <w:div w:id="1244333518">
      <w:bodyDiv w:val="1"/>
      <w:marLeft w:val="0"/>
      <w:marRight w:val="0"/>
      <w:marTop w:val="0"/>
      <w:marBottom w:val="0"/>
      <w:divBdr>
        <w:top w:val="none" w:sz="0" w:space="0" w:color="auto"/>
        <w:left w:val="none" w:sz="0" w:space="0" w:color="auto"/>
        <w:bottom w:val="none" w:sz="0" w:space="0" w:color="auto"/>
        <w:right w:val="none" w:sz="0" w:space="0" w:color="auto"/>
      </w:divBdr>
    </w:div>
    <w:div w:id="1336106116">
      <w:bodyDiv w:val="1"/>
      <w:marLeft w:val="0"/>
      <w:marRight w:val="0"/>
      <w:marTop w:val="0"/>
      <w:marBottom w:val="0"/>
      <w:divBdr>
        <w:top w:val="none" w:sz="0" w:space="0" w:color="auto"/>
        <w:left w:val="none" w:sz="0" w:space="0" w:color="auto"/>
        <w:bottom w:val="none" w:sz="0" w:space="0" w:color="auto"/>
        <w:right w:val="none" w:sz="0" w:space="0" w:color="auto"/>
      </w:divBdr>
    </w:div>
    <w:div w:id="1429736436">
      <w:bodyDiv w:val="1"/>
      <w:marLeft w:val="0"/>
      <w:marRight w:val="0"/>
      <w:marTop w:val="0"/>
      <w:marBottom w:val="0"/>
      <w:divBdr>
        <w:top w:val="none" w:sz="0" w:space="0" w:color="auto"/>
        <w:left w:val="none" w:sz="0" w:space="0" w:color="auto"/>
        <w:bottom w:val="none" w:sz="0" w:space="0" w:color="auto"/>
        <w:right w:val="none" w:sz="0" w:space="0" w:color="auto"/>
      </w:divBdr>
    </w:div>
    <w:div w:id="1468745752">
      <w:bodyDiv w:val="1"/>
      <w:marLeft w:val="0"/>
      <w:marRight w:val="0"/>
      <w:marTop w:val="0"/>
      <w:marBottom w:val="0"/>
      <w:divBdr>
        <w:top w:val="none" w:sz="0" w:space="0" w:color="auto"/>
        <w:left w:val="none" w:sz="0" w:space="0" w:color="auto"/>
        <w:bottom w:val="none" w:sz="0" w:space="0" w:color="auto"/>
        <w:right w:val="none" w:sz="0" w:space="0" w:color="auto"/>
      </w:divBdr>
    </w:div>
    <w:div w:id="1512641763">
      <w:bodyDiv w:val="1"/>
      <w:marLeft w:val="0"/>
      <w:marRight w:val="0"/>
      <w:marTop w:val="0"/>
      <w:marBottom w:val="0"/>
      <w:divBdr>
        <w:top w:val="none" w:sz="0" w:space="0" w:color="auto"/>
        <w:left w:val="none" w:sz="0" w:space="0" w:color="auto"/>
        <w:bottom w:val="none" w:sz="0" w:space="0" w:color="auto"/>
        <w:right w:val="none" w:sz="0" w:space="0" w:color="auto"/>
      </w:divBdr>
    </w:div>
    <w:div w:id="1538546674">
      <w:bodyDiv w:val="1"/>
      <w:marLeft w:val="0"/>
      <w:marRight w:val="0"/>
      <w:marTop w:val="0"/>
      <w:marBottom w:val="0"/>
      <w:divBdr>
        <w:top w:val="none" w:sz="0" w:space="0" w:color="auto"/>
        <w:left w:val="none" w:sz="0" w:space="0" w:color="auto"/>
        <w:bottom w:val="none" w:sz="0" w:space="0" w:color="auto"/>
        <w:right w:val="none" w:sz="0" w:space="0" w:color="auto"/>
      </w:divBdr>
    </w:div>
    <w:div w:id="1575578999">
      <w:bodyDiv w:val="1"/>
      <w:marLeft w:val="0"/>
      <w:marRight w:val="0"/>
      <w:marTop w:val="0"/>
      <w:marBottom w:val="0"/>
      <w:divBdr>
        <w:top w:val="none" w:sz="0" w:space="0" w:color="auto"/>
        <w:left w:val="none" w:sz="0" w:space="0" w:color="auto"/>
        <w:bottom w:val="none" w:sz="0" w:space="0" w:color="auto"/>
        <w:right w:val="none" w:sz="0" w:space="0" w:color="auto"/>
      </w:divBdr>
    </w:div>
    <w:div w:id="1577784560">
      <w:bodyDiv w:val="1"/>
      <w:marLeft w:val="0"/>
      <w:marRight w:val="0"/>
      <w:marTop w:val="0"/>
      <w:marBottom w:val="0"/>
      <w:divBdr>
        <w:top w:val="none" w:sz="0" w:space="0" w:color="auto"/>
        <w:left w:val="none" w:sz="0" w:space="0" w:color="auto"/>
        <w:bottom w:val="none" w:sz="0" w:space="0" w:color="auto"/>
        <w:right w:val="none" w:sz="0" w:space="0" w:color="auto"/>
      </w:divBdr>
    </w:div>
    <w:div w:id="1970696232">
      <w:bodyDiv w:val="1"/>
      <w:marLeft w:val="0"/>
      <w:marRight w:val="0"/>
      <w:marTop w:val="0"/>
      <w:marBottom w:val="0"/>
      <w:divBdr>
        <w:top w:val="none" w:sz="0" w:space="0" w:color="auto"/>
        <w:left w:val="none" w:sz="0" w:space="0" w:color="auto"/>
        <w:bottom w:val="none" w:sz="0" w:space="0" w:color="auto"/>
        <w:right w:val="none" w:sz="0" w:space="0" w:color="auto"/>
      </w:divBdr>
    </w:div>
    <w:div w:id="2046321152">
      <w:bodyDiv w:val="1"/>
      <w:marLeft w:val="0"/>
      <w:marRight w:val="0"/>
      <w:marTop w:val="0"/>
      <w:marBottom w:val="0"/>
      <w:divBdr>
        <w:top w:val="none" w:sz="0" w:space="0" w:color="auto"/>
        <w:left w:val="none" w:sz="0" w:space="0" w:color="auto"/>
        <w:bottom w:val="none" w:sz="0" w:space="0" w:color="auto"/>
        <w:right w:val="none" w:sz="0" w:space="0" w:color="auto"/>
      </w:divBdr>
    </w:div>
    <w:div w:id="2089156778">
      <w:bodyDiv w:val="1"/>
      <w:marLeft w:val="0"/>
      <w:marRight w:val="0"/>
      <w:marTop w:val="0"/>
      <w:marBottom w:val="0"/>
      <w:divBdr>
        <w:top w:val="none" w:sz="0" w:space="0" w:color="auto"/>
        <w:left w:val="none" w:sz="0" w:space="0" w:color="auto"/>
        <w:bottom w:val="none" w:sz="0" w:space="0" w:color="auto"/>
        <w:right w:val="none" w:sz="0" w:space="0" w:color="auto"/>
      </w:divBdr>
    </w:div>
    <w:div w:id="209940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emerge.ucsd.edu/covid-1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antaproject.org/monitoring-and-evaluation/household-food-insecurity-access-scale-hfias" TargetMode="External"/><Relationship Id="rId12" Type="http://schemas.openxmlformats.org/officeDocument/2006/relationships/hyperlink" Target="https://resourcecentre.savethechildren.net/library/hidden-impact-covid-19-children-global-research-ser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rise.yale.edu/covid-19-survey-for-the-coxs-bazaar-panel-survey-project/" TargetMode="External"/><Relationship Id="rId11" Type="http://schemas.openxmlformats.org/officeDocument/2006/relationships/hyperlink" Target="https://www.ncbi.nlm.nih.gov/pubmed/14994958" TargetMode="External"/><Relationship Id="rId5" Type="http://schemas.openxmlformats.org/officeDocument/2006/relationships/webSettings" Target="webSettings.xml"/><Relationship Id="rId10" Type="http://schemas.openxmlformats.org/officeDocument/2006/relationships/hyperlink" Target="https://pubmed.ncbi.nlm.nih.gov/16717171/" TargetMode="External"/><Relationship Id="rId4" Type="http://schemas.openxmlformats.org/officeDocument/2006/relationships/settings" Target="settings.xml"/><Relationship Id="rId9" Type="http://schemas.openxmlformats.org/officeDocument/2006/relationships/hyperlink" Target="https://pubmed.ncbi.nlm.nih.gov/1875285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8AFE7-65D4-4D29-9EFE-E89F1D2EC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2576</Words>
  <Characters>14687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Oakley</dc:creator>
  <cp:keywords/>
  <dc:description/>
  <cp:lastModifiedBy>Baird, Sarah Jane</cp:lastModifiedBy>
  <cp:revision>12</cp:revision>
  <dcterms:created xsi:type="dcterms:W3CDTF">2021-06-30T14:58:00Z</dcterms:created>
  <dcterms:modified xsi:type="dcterms:W3CDTF">2021-07-02T12:25:00Z</dcterms:modified>
</cp:coreProperties>
</file>