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4AE2" w14:textId="5CA2FE86" w:rsidR="006724AA" w:rsidRPr="005F2AB6" w:rsidRDefault="006724AA">
      <w:pPr>
        <w:rPr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24AA" w:rsidRPr="00BE2A44" w14:paraId="1B760490" w14:textId="77777777" w:rsidTr="00606879">
        <w:trPr>
          <w:trHeight w:val="432"/>
          <w:jc w:val="center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vAlign w:val="center"/>
          </w:tcPr>
          <w:p w14:paraId="1793C840" w14:textId="5B3F9809" w:rsidR="006724AA" w:rsidRPr="00FD169C" w:rsidRDefault="00FD169C" w:rsidP="00BE2A44">
            <w:pPr>
              <w:rPr>
                <w:rFonts w:cstheme="minorHAnsi"/>
                <w:b/>
                <w:bCs/>
                <w:i/>
                <w:iCs/>
                <w:sz w:val="22"/>
                <w:szCs w:val="22"/>
                <w:lang w:bidi="ar-JO"/>
              </w:rPr>
            </w:pPr>
            <w:bookmarkStart w:id="0" w:name="_Hlk71376004"/>
            <w:r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>S</w:t>
            </w:r>
            <w:r w:rsidR="00B03338">
              <w:rPr>
                <w:rFonts w:cstheme="minorHAnsi"/>
                <w:b/>
                <w:bCs/>
                <w:sz w:val="22"/>
                <w:szCs w:val="22"/>
                <w:lang w:bidi="ar-JO"/>
              </w:rPr>
              <w:t>3</w:t>
            </w:r>
            <w:r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 xml:space="preserve"> </w:t>
            </w:r>
            <w:r w:rsidR="006C2678"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>Table</w:t>
            </w:r>
            <w:r w:rsidR="00BE2A44"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 xml:space="preserve">. </w:t>
            </w:r>
            <w:r w:rsidR="00B10A0A"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 xml:space="preserve">Rotated </w:t>
            </w:r>
            <w:r w:rsidR="00BE2A44"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 xml:space="preserve">Component Matrix and Factorial Structure of </w:t>
            </w:r>
            <w:r w:rsidR="00B10A0A"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 xml:space="preserve">Students’ </w:t>
            </w:r>
            <w:r w:rsidR="00BE2A44" w:rsidRPr="00FD169C">
              <w:rPr>
                <w:rFonts w:cstheme="minorHAnsi"/>
                <w:b/>
                <w:bCs/>
                <w:sz w:val="22"/>
                <w:szCs w:val="22"/>
                <w:lang w:bidi="ar-JO"/>
              </w:rPr>
              <w:t>Perceptions Towards SC.</w:t>
            </w:r>
            <w:bookmarkEnd w:id="0"/>
          </w:p>
        </w:tc>
      </w:tr>
    </w:tbl>
    <w:tbl>
      <w:tblPr>
        <w:tblStyle w:val="TableGrid"/>
        <w:tblW w:w="10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6724AA" w:rsidRPr="00BE2A44" w14:paraId="4E10885F" w14:textId="77777777" w:rsidTr="00606879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9BC77" w14:textId="77777777" w:rsidR="006724AA" w:rsidRPr="00BE2A44" w:rsidRDefault="006724AA" w:rsidP="00641305">
            <w:pPr>
              <w:rPr>
                <w:rFonts w:cstheme="minorHAnsi"/>
                <w:b/>
                <w:bCs/>
                <w:lang w:bidi="ar-JO"/>
              </w:rPr>
            </w:pPr>
            <w:r w:rsidRPr="00BE2A44">
              <w:rPr>
                <w:rFonts w:cstheme="minorHAnsi"/>
                <w:b/>
                <w:bCs/>
                <w:lang w:bidi="ar-JO"/>
              </w:rPr>
              <w:t>Statement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FE4E4" w14:textId="77777777" w:rsidR="006724AA" w:rsidRPr="00BE2A44" w:rsidRDefault="006724AA" w:rsidP="00641305">
            <w:pPr>
              <w:jc w:val="center"/>
              <w:rPr>
                <w:rFonts w:cstheme="minorHAnsi"/>
                <w:b/>
                <w:bCs/>
                <w:i/>
                <w:iCs/>
                <w:lang w:bidi="ar-JO"/>
              </w:rPr>
            </w:pPr>
            <w:r w:rsidRPr="00BE2A44">
              <w:rPr>
                <w:rFonts w:cstheme="minorHAnsi"/>
                <w:b/>
                <w:bCs/>
                <w:i/>
                <w:iCs/>
                <w:lang w:bidi="ar-JO"/>
              </w:rPr>
              <w:t>Factor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5CD97D" w14:textId="77777777" w:rsidR="006724AA" w:rsidRPr="00BE2A44" w:rsidRDefault="006724AA" w:rsidP="00641305">
            <w:pPr>
              <w:jc w:val="center"/>
              <w:rPr>
                <w:rFonts w:cstheme="minorHAnsi"/>
                <w:b/>
                <w:bCs/>
                <w:i/>
                <w:iCs/>
                <w:lang w:bidi="ar-JO"/>
              </w:rPr>
            </w:pPr>
            <w:r w:rsidRPr="00BE2A44">
              <w:rPr>
                <w:rFonts w:cstheme="minorHAnsi"/>
                <w:b/>
                <w:bCs/>
                <w:i/>
                <w:iCs/>
                <w:lang w:bidi="ar-JO"/>
              </w:rPr>
              <w:t>Factor 2</w:t>
            </w:r>
          </w:p>
        </w:tc>
      </w:tr>
      <w:tr w:rsidR="006724AA" w:rsidRPr="00BE2A44" w14:paraId="470FDF3B" w14:textId="77777777" w:rsidTr="00606879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right w:val="nil"/>
            </w:tcBorders>
            <w:vAlign w:val="center"/>
          </w:tcPr>
          <w:p w14:paraId="6B4C76EE" w14:textId="079AA845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It is easy to obtain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from the local market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7B812B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14:paraId="7017406F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0.728 </w:t>
            </w:r>
          </w:p>
        </w:tc>
      </w:tr>
      <w:tr w:rsidR="006724AA" w:rsidRPr="00BE2A44" w14:paraId="2477DBE2" w14:textId="77777777" w:rsidTr="00606879">
        <w:trPr>
          <w:trHeight w:val="227"/>
          <w:jc w:val="center"/>
        </w:trPr>
        <w:tc>
          <w:tcPr>
            <w:tcW w:w="6096" w:type="dxa"/>
            <w:tcBorders>
              <w:right w:val="nil"/>
            </w:tcBorders>
            <w:vAlign w:val="center"/>
          </w:tcPr>
          <w:p w14:paraId="46F3AC7B" w14:textId="028B7D9D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Taking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is considered a behaviour banned by religion 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0D2CC08E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0.647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8E3C136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</w:tr>
      <w:tr w:rsidR="006724AA" w:rsidRPr="00BE2A44" w14:paraId="3B315125" w14:textId="77777777" w:rsidTr="00606879">
        <w:trPr>
          <w:trHeight w:val="227"/>
          <w:jc w:val="center"/>
        </w:trPr>
        <w:tc>
          <w:tcPr>
            <w:tcW w:w="6096" w:type="dxa"/>
            <w:tcBorders>
              <w:right w:val="nil"/>
            </w:tcBorders>
            <w:vAlign w:val="center"/>
          </w:tcPr>
          <w:p w14:paraId="253B2779" w14:textId="12F08A15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Taking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is considered a behaviour rejected by social norms 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6966138A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0.830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C087305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</w:tr>
      <w:tr w:rsidR="006724AA" w:rsidRPr="00BE2A44" w14:paraId="1E7F6A4A" w14:textId="77777777" w:rsidTr="00606879">
        <w:trPr>
          <w:trHeight w:val="227"/>
          <w:jc w:val="center"/>
        </w:trPr>
        <w:tc>
          <w:tcPr>
            <w:tcW w:w="6096" w:type="dxa"/>
            <w:tcBorders>
              <w:right w:val="nil"/>
            </w:tcBorders>
            <w:vAlign w:val="center"/>
          </w:tcPr>
          <w:p w14:paraId="6E02D979" w14:textId="34DB2B93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Taking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is considered a behaviour banned by law 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7E5DD969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0.752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16A850E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</w:tr>
      <w:tr w:rsidR="006724AA" w:rsidRPr="00BE2A44" w14:paraId="2BAA2B51" w14:textId="77777777" w:rsidTr="00606879">
        <w:trPr>
          <w:trHeight w:val="227"/>
          <w:jc w:val="center"/>
        </w:trPr>
        <w:tc>
          <w:tcPr>
            <w:tcW w:w="6096" w:type="dxa"/>
            <w:tcBorders>
              <w:right w:val="nil"/>
            </w:tcBorders>
            <w:vAlign w:val="center"/>
          </w:tcPr>
          <w:p w14:paraId="191D6AA2" w14:textId="09576C8D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Taking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is considered a freedom of choice for the individual 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189082D9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-0.534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AF888EF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</w:tr>
      <w:tr w:rsidR="006724AA" w:rsidRPr="00BE2A44" w14:paraId="52A4B9E3" w14:textId="77777777" w:rsidTr="00606879">
        <w:trPr>
          <w:trHeight w:val="227"/>
          <w:jc w:val="center"/>
        </w:trPr>
        <w:tc>
          <w:tcPr>
            <w:tcW w:w="6096" w:type="dxa"/>
            <w:tcBorders>
              <w:right w:val="nil"/>
            </w:tcBorders>
            <w:vAlign w:val="center"/>
          </w:tcPr>
          <w:p w14:paraId="3A4C8AE2" w14:textId="703B1558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Social media can be utilized to spread awareness on the risks of taking </w:t>
            </w:r>
            <w:r w:rsidR="00BE2A44">
              <w:rPr>
                <w:rFonts w:cstheme="minorHAnsi"/>
                <w:lang w:bidi="ar-JO"/>
              </w:rPr>
              <w:t>SC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578CC61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6457BA2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0.638</w:t>
            </w:r>
          </w:p>
        </w:tc>
      </w:tr>
      <w:tr w:rsidR="006724AA" w:rsidRPr="00BE2A44" w14:paraId="463D44E6" w14:textId="77777777" w:rsidTr="00606879">
        <w:trPr>
          <w:trHeight w:val="227"/>
          <w:jc w:val="center"/>
        </w:trPr>
        <w:tc>
          <w:tcPr>
            <w:tcW w:w="6096" w:type="dxa"/>
            <w:tcBorders>
              <w:right w:val="nil"/>
            </w:tcBorders>
            <w:vAlign w:val="center"/>
          </w:tcPr>
          <w:p w14:paraId="147C109C" w14:textId="6D684A47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The media reports on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increase people’s curiosity to attempt taking </w:t>
            </w:r>
            <w:r w:rsidR="00BE2A44">
              <w:rPr>
                <w:rFonts w:cstheme="minorHAnsi"/>
                <w:lang w:bidi="ar-JO"/>
              </w:rPr>
              <w:t>SC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7695EDA9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0CB670D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0.583</w:t>
            </w:r>
          </w:p>
        </w:tc>
      </w:tr>
      <w:tr w:rsidR="006724AA" w:rsidRPr="00BE2A44" w14:paraId="72CBAB24" w14:textId="77777777" w:rsidTr="00606879">
        <w:trPr>
          <w:trHeight w:val="227"/>
          <w:jc w:val="center"/>
        </w:trPr>
        <w:tc>
          <w:tcPr>
            <w:tcW w:w="6096" w:type="dxa"/>
            <w:tcBorders>
              <w:bottom w:val="single" w:sz="4" w:space="0" w:color="auto"/>
              <w:right w:val="nil"/>
            </w:tcBorders>
            <w:vAlign w:val="center"/>
          </w:tcPr>
          <w:p w14:paraId="37890A0A" w14:textId="0FAD82E7" w:rsidR="006724AA" w:rsidRPr="00BE2A44" w:rsidRDefault="006724AA" w:rsidP="00BE2A44">
            <w:pPr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 xml:space="preserve">The act of taking </w:t>
            </w:r>
            <w:r w:rsidR="00BE2A44">
              <w:rPr>
                <w:rFonts w:cstheme="minorHAnsi"/>
                <w:lang w:bidi="ar-JO"/>
              </w:rPr>
              <w:t>SC</w:t>
            </w:r>
            <w:r w:rsidRPr="00BE2A44">
              <w:rPr>
                <w:rFonts w:cstheme="minorHAnsi"/>
                <w:lang w:bidi="ar-JO"/>
              </w:rPr>
              <w:t xml:space="preserve"> is widely spread among university students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52FD59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4DCDFF65" w14:textId="77777777" w:rsidR="006724AA" w:rsidRPr="00BE2A44" w:rsidRDefault="006724AA" w:rsidP="00641305">
            <w:pPr>
              <w:jc w:val="center"/>
              <w:rPr>
                <w:rFonts w:cstheme="minorHAnsi"/>
                <w:lang w:bidi="ar-JO"/>
              </w:rPr>
            </w:pPr>
            <w:r w:rsidRPr="00BE2A44">
              <w:rPr>
                <w:rFonts w:cstheme="minorHAnsi"/>
                <w:lang w:bidi="ar-JO"/>
              </w:rPr>
              <w:t>0.736</w:t>
            </w:r>
          </w:p>
        </w:tc>
      </w:tr>
      <w:tr w:rsidR="006724AA" w:rsidRPr="00BE2A44" w14:paraId="2C6A14D1" w14:textId="77777777" w:rsidTr="00606879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18209" w14:textId="77777777" w:rsidR="006724AA" w:rsidRPr="00BE2A44" w:rsidRDefault="006724AA" w:rsidP="00641305">
            <w:pPr>
              <w:rPr>
                <w:rFonts w:cstheme="minorHAnsi"/>
                <w:b/>
                <w:bCs/>
                <w:lang w:bidi="ar-J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653C8" w14:textId="77777777" w:rsidR="006724AA" w:rsidRPr="00BE2A44" w:rsidRDefault="006724AA" w:rsidP="00641305">
            <w:pPr>
              <w:jc w:val="center"/>
              <w:rPr>
                <w:rFonts w:cstheme="minorHAnsi"/>
                <w:b/>
                <w:bCs/>
                <w:lang w:bidi="ar-JO"/>
              </w:rPr>
            </w:pPr>
            <w:r w:rsidRPr="00BE2A44">
              <w:rPr>
                <w:rFonts w:cstheme="minorHAnsi"/>
                <w:b/>
                <w:bCs/>
                <w:lang w:bidi="ar-JO"/>
              </w:rPr>
              <w:t>46.9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19088F" w14:textId="77777777" w:rsidR="006724AA" w:rsidRPr="00BE2A44" w:rsidRDefault="006724AA" w:rsidP="00641305">
            <w:pPr>
              <w:jc w:val="center"/>
              <w:rPr>
                <w:rFonts w:cstheme="minorHAnsi"/>
                <w:b/>
                <w:bCs/>
                <w:lang w:bidi="ar-JO"/>
              </w:rPr>
            </w:pPr>
            <w:r w:rsidRPr="00BE2A44">
              <w:rPr>
                <w:rFonts w:cstheme="minorHAnsi"/>
                <w:b/>
                <w:bCs/>
                <w:lang w:bidi="ar-JO"/>
              </w:rPr>
              <w:t>19.4</w:t>
            </w:r>
          </w:p>
        </w:tc>
      </w:tr>
      <w:tr w:rsidR="006724AA" w:rsidRPr="00BE2A44" w14:paraId="18539BA6" w14:textId="77777777" w:rsidTr="00606879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D589C" w14:textId="77777777" w:rsidR="006724AA" w:rsidRPr="00BE2A44" w:rsidRDefault="006724AA" w:rsidP="00641305">
            <w:pPr>
              <w:rPr>
                <w:rFonts w:cstheme="minorHAnsi"/>
                <w:b/>
                <w:bCs/>
                <w:lang w:bidi="ar-J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D4BD7" w14:textId="77777777" w:rsidR="006724AA" w:rsidRPr="00BE2A44" w:rsidRDefault="006724AA" w:rsidP="00641305">
            <w:pPr>
              <w:jc w:val="center"/>
              <w:rPr>
                <w:rFonts w:cstheme="minorHAnsi"/>
                <w:b/>
                <w:bCs/>
                <w:lang w:bidi="ar-JO"/>
              </w:rPr>
            </w:pPr>
            <w:r w:rsidRPr="00BE2A44">
              <w:rPr>
                <w:rFonts w:cstheme="minorHAnsi"/>
                <w:b/>
                <w:bCs/>
                <w:lang w:bidi="ar-JO"/>
              </w:rPr>
              <w:t>46.9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C3319F" w14:textId="77777777" w:rsidR="006724AA" w:rsidRPr="00BE2A44" w:rsidRDefault="006724AA" w:rsidP="00641305">
            <w:pPr>
              <w:jc w:val="center"/>
              <w:rPr>
                <w:rFonts w:cstheme="minorHAnsi"/>
                <w:b/>
                <w:bCs/>
                <w:lang w:bidi="ar-JO"/>
              </w:rPr>
            </w:pPr>
            <w:r w:rsidRPr="00BE2A44">
              <w:rPr>
                <w:rFonts w:cstheme="minorHAnsi"/>
                <w:b/>
                <w:bCs/>
                <w:lang w:bidi="ar-JO"/>
              </w:rPr>
              <w:t>66.3</w:t>
            </w:r>
          </w:p>
        </w:tc>
      </w:tr>
    </w:tbl>
    <w:p w14:paraId="740B5004" w14:textId="200EFC0B" w:rsidR="006724AA" w:rsidRDefault="006724AA"/>
    <w:p w14:paraId="79E7E8EA" w14:textId="4BB8723D" w:rsidR="00B10A0A" w:rsidRDefault="00B10A0A" w:rsidP="00BE2A44">
      <w:pPr>
        <w:jc w:val="both"/>
        <w:rPr>
          <w:rFonts w:cstheme="minorHAnsi"/>
          <w:lang w:bidi="ar-JO"/>
        </w:rPr>
      </w:pPr>
      <w:r w:rsidRPr="009612C2">
        <w:rPr>
          <w:rFonts w:cstheme="minorHAnsi"/>
        </w:rPr>
        <w:t>Bartlett’s test of sphericity was significant (</w:t>
      </w:r>
      <w:r w:rsidRPr="00475DAF">
        <w:rPr>
          <w:rFonts w:asciiTheme="majorBidi" w:hAnsiTheme="majorBidi" w:cstheme="majorBidi"/>
          <w:i/>
          <w:iCs/>
        </w:rPr>
        <w:t>X</w:t>
      </w:r>
      <w:r w:rsidRPr="009612C2">
        <w:rPr>
          <w:rFonts w:cstheme="minorHAnsi"/>
          <w:vertAlign w:val="superscript"/>
        </w:rPr>
        <w:t>2</w:t>
      </w:r>
      <w:r w:rsidRPr="009612C2">
        <w:rPr>
          <w:rFonts w:cstheme="minorHAnsi"/>
        </w:rPr>
        <w:t xml:space="preserve"> (28) = </w:t>
      </w:r>
      <w:r>
        <w:rPr>
          <w:rFonts w:cstheme="minorHAnsi"/>
        </w:rPr>
        <w:t>1999.4</w:t>
      </w:r>
      <w:r w:rsidRPr="009612C2">
        <w:rPr>
          <w:rFonts w:cstheme="minorHAnsi"/>
        </w:rPr>
        <w:t xml:space="preserve">, </w:t>
      </w:r>
      <w:r w:rsidRPr="009612C2">
        <w:rPr>
          <w:rFonts w:cstheme="minorHAnsi"/>
          <w:i/>
          <w:iCs/>
        </w:rPr>
        <w:t>p</w:t>
      </w:r>
      <w:r w:rsidRPr="009612C2">
        <w:rPr>
          <w:rFonts w:cstheme="minorHAnsi"/>
        </w:rPr>
        <w:t>&lt;.0001) and Kaiser-Meyer-Olkin measure of sampling adequacy was 0.692</w:t>
      </w:r>
      <w:r>
        <w:rPr>
          <w:rFonts w:cstheme="minorHAnsi"/>
        </w:rPr>
        <w:t>,</w:t>
      </w:r>
      <w:r w:rsidRPr="009612C2">
        <w:rPr>
          <w:rFonts w:cstheme="minorHAnsi"/>
        </w:rPr>
        <w:t xml:space="preserve"> which renders the data eligible for factorability</w:t>
      </w:r>
      <w:r w:rsidR="00881EC6">
        <w:rPr>
          <w:rFonts w:cstheme="minorHAnsi"/>
        </w:rPr>
        <w:t xml:space="preserve">. </w:t>
      </w:r>
      <w:r w:rsidR="00332364" w:rsidRPr="009612C2">
        <w:rPr>
          <w:rFonts w:cstheme="minorHAnsi"/>
          <w:lang w:bidi="ar-JO"/>
        </w:rPr>
        <w:t>All items had communalities greater than 0.6.</w:t>
      </w:r>
      <w:r w:rsidR="00332364">
        <w:rPr>
          <w:rFonts w:cstheme="minorHAnsi"/>
          <w:lang w:bidi="ar-JO"/>
        </w:rPr>
        <w:t xml:space="preserve"> The solution was confirmed by parallel analysis conducted in JASP statistical package. </w:t>
      </w:r>
    </w:p>
    <w:p w14:paraId="06C1E6D1" w14:textId="77777777" w:rsidR="000F35BA" w:rsidRDefault="000F35BA" w:rsidP="00881EC6">
      <w:pPr>
        <w:rPr>
          <w:rFonts w:cstheme="minorHAnsi"/>
        </w:rPr>
      </w:pPr>
    </w:p>
    <w:sectPr w:rsidR="000F35BA" w:rsidSect="005F77D3">
      <w:footerReference w:type="default" r:id="rId7"/>
      <w:pgSz w:w="11900" w:h="16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4934" w14:textId="77777777" w:rsidR="00DE727E" w:rsidRDefault="00DE727E" w:rsidP="005F77D3">
      <w:r>
        <w:separator/>
      </w:r>
    </w:p>
  </w:endnote>
  <w:endnote w:type="continuationSeparator" w:id="0">
    <w:p w14:paraId="740A8993" w14:textId="77777777" w:rsidR="00DE727E" w:rsidRDefault="00DE727E" w:rsidP="005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5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C3880" w14:textId="2B555AE4" w:rsidR="005F77D3" w:rsidRDefault="005F77D3">
        <w:pPr>
          <w:pStyle w:val="Footer"/>
          <w:jc w:val="center"/>
        </w:pPr>
        <w:r w:rsidRPr="005F77D3">
          <w:rPr>
            <w:sz w:val="22"/>
            <w:szCs w:val="22"/>
          </w:rPr>
          <w:fldChar w:fldCharType="begin"/>
        </w:r>
        <w:r w:rsidRPr="005F77D3">
          <w:rPr>
            <w:sz w:val="22"/>
            <w:szCs w:val="22"/>
          </w:rPr>
          <w:instrText xml:space="preserve"> PAGE   \* MERGEFORMAT </w:instrText>
        </w:r>
        <w:r w:rsidRPr="005F77D3">
          <w:rPr>
            <w:sz w:val="22"/>
            <w:szCs w:val="22"/>
          </w:rPr>
          <w:fldChar w:fldCharType="separate"/>
        </w:r>
        <w:r w:rsidRPr="005F77D3">
          <w:rPr>
            <w:noProof/>
            <w:sz w:val="22"/>
            <w:szCs w:val="22"/>
          </w:rPr>
          <w:t>2</w:t>
        </w:r>
        <w:r w:rsidRPr="005F77D3">
          <w:rPr>
            <w:noProof/>
            <w:sz w:val="22"/>
            <w:szCs w:val="22"/>
          </w:rPr>
          <w:fldChar w:fldCharType="end"/>
        </w:r>
      </w:p>
    </w:sdtContent>
  </w:sdt>
  <w:p w14:paraId="4E6941A1" w14:textId="77777777" w:rsidR="005F77D3" w:rsidRDefault="005F7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53C7" w14:textId="77777777" w:rsidR="00DE727E" w:rsidRDefault="00DE727E" w:rsidP="005F77D3">
      <w:r>
        <w:separator/>
      </w:r>
    </w:p>
  </w:footnote>
  <w:footnote w:type="continuationSeparator" w:id="0">
    <w:p w14:paraId="5B4BA6C0" w14:textId="77777777" w:rsidR="00DE727E" w:rsidRDefault="00DE727E" w:rsidP="005F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45F"/>
    <w:multiLevelType w:val="hybridMultilevel"/>
    <w:tmpl w:val="93F8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6C3A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F6B70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8629A"/>
    <w:multiLevelType w:val="hybridMultilevel"/>
    <w:tmpl w:val="01986622"/>
    <w:lvl w:ilvl="0" w:tplc="A928EAC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204B1"/>
    <w:multiLevelType w:val="hybridMultilevel"/>
    <w:tmpl w:val="E858FA54"/>
    <w:lvl w:ilvl="0" w:tplc="F16670B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D6D96"/>
    <w:multiLevelType w:val="hybridMultilevel"/>
    <w:tmpl w:val="D71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030F"/>
    <w:multiLevelType w:val="hybridMultilevel"/>
    <w:tmpl w:val="0D48FD26"/>
    <w:lvl w:ilvl="0" w:tplc="559CA75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680C"/>
    <w:multiLevelType w:val="hybridMultilevel"/>
    <w:tmpl w:val="DFC64C38"/>
    <w:lvl w:ilvl="0" w:tplc="A482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75EFB"/>
    <w:multiLevelType w:val="hybridMultilevel"/>
    <w:tmpl w:val="D66EE45E"/>
    <w:lvl w:ilvl="0" w:tplc="AB9E4C2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13EF0"/>
    <w:multiLevelType w:val="hybridMultilevel"/>
    <w:tmpl w:val="575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rQ0NDCzNDUyNDNR0lEKTi0uzszPAykwqQUAOfILeSwAAAA="/>
  </w:docVars>
  <w:rsids>
    <w:rsidRoot w:val="007C356C"/>
    <w:rsid w:val="000F35BA"/>
    <w:rsid w:val="00273E6F"/>
    <w:rsid w:val="00284BFF"/>
    <w:rsid w:val="002E7046"/>
    <w:rsid w:val="00332364"/>
    <w:rsid w:val="00497448"/>
    <w:rsid w:val="004D38E1"/>
    <w:rsid w:val="00541E47"/>
    <w:rsid w:val="005C59DF"/>
    <w:rsid w:val="005F2AB6"/>
    <w:rsid w:val="005F77D3"/>
    <w:rsid w:val="00606879"/>
    <w:rsid w:val="006724AA"/>
    <w:rsid w:val="006C2678"/>
    <w:rsid w:val="006C6E90"/>
    <w:rsid w:val="006F2E9A"/>
    <w:rsid w:val="00741872"/>
    <w:rsid w:val="00796B5F"/>
    <w:rsid w:val="007C356C"/>
    <w:rsid w:val="00814644"/>
    <w:rsid w:val="0085317E"/>
    <w:rsid w:val="00881EC6"/>
    <w:rsid w:val="008B7C01"/>
    <w:rsid w:val="00901A0E"/>
    <w:rsid w:val="009E4508"/>
    <w:rsid w:val="00A211CA"/>
    <w:rsid w:val="00A444BE"/>
    <w:rsid w:val="00A54C58"/>
    <w:rsid w:val="00A554F2"/>
    <w:rsid w:val="00B03338"/>
    <w:rsid w:val="00B10A0A"/>
    <w:rsid w:val="00B42AC3"/>
    <w:rsid w:val="00B46A93"/>
    <w:rsid w:val="00B46D4C"/>
    <w:rsid w:val="00B52A64"/>
    <w:rsid w:val="00BE2A44"/>
    <w:rsid w:val="00C67DB4"/>
    <w:rsid w:val="00C81775"/>
    <w:rsid w:val="00C81E8F"/>
    <w:rsid w:val="00CB3FE4"/>
    <w:rsid w:val="00D96551"/>
    <w:rsid w:val="00DE727E"/>
    <w:rsid w:val="00EA2F0F"/>
    <w:rsid w:val="00EA7C5A"/>
    <w:rsid w:val="00F04B20"/>
    <w:rsid w:val="00F10023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CDFFD"/>
  <w15:chartTrackingRefBased/>
  <w15:docId w15:val="{445CC048-DF47-1740-81C9-A70D544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4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AA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A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2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4AA"/>
    <w:pPr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4AA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A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7D3"/>
  </w:style>
  <w:style w:type="paragraph" w:styleId="Footer">
    <w:name w:val="footer"/>
    <w:basedOn w:val="Normal"/>
    <w:link w:val="Foot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abo samen</dc:creator>
  <cp:keywords/>
  <dc:description/>
  <cp:lastModifiedBy>chn off31</cp:lastModifiedBy>
  <cp:revision>7</cp:revision>
  <dcterms:created xsi:type="dcterms:W3CDTF">2021-06-03T20:24:00Z</dcterms:created>
  <dcterms:modified xsi:type="dcterms:W3CDTF">2021-06-17T02:13:00Z</dcterms:modified>
</cp:coreProperties>
</file>