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240" w:line="48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Supplementary Information</w:t>
      </w:r>
    </w:p>
    <w:p w:rsidR="00000000" w:rsidDel="00000000" w:rsidP="00000000" w:rsidRDefault="00000000" w:rsidRPr="00000000" w14:paraId="00000002">
      <w:pPr>
        <w:spacing w:line="48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Table S1</w:t>
      </w:r>
      <w:r w:rsidDel="00000000" w:rsidR="00000000" w:rsidRPr="00000000">
        <w:rPr>
          <w:sz w:val="20"/>
          <w:szCs w:val="20"/>
          <w:rtl w:val="0"/>
        </w:rPr>
        <w:t xml:space="preserve">: Cultivar name, reproductive type (D for Dioecious, H for Hermaphrodite (monoecious)), and haplotype group number for the 73 individual </w:t>
      </w:r>
      <w:r w:rsidDel="00000000" w:rsidR="00000000" w:rsidRPr="00000000">
        <w:rPr>
          <w:i w:val="1"/>
          <w:sz w:val="20"/>
          <w:szCs w:val="20"/>
          <w:rtl w:val="0"/>
        </w:rPr>
        <w:t xml:space="preserve">Cannabis sativa </w:t>
      </w:r>
      <w:r w:rsidDel="00000000" w:rsidR="00000000" w:rsidRPr="00000000">
        <w:rPr>
          <w:sz w:val="20"/>
          <w:szCs w:val="20"/>
          <w:rtl w:val="0"/>
        </w:rPr>
        <w:t xml:space="preserve">samples used here. Duplicate cultivar names are provided. Haplotype group number is 1-8 and corresponds to figure 1 in the main text.</w:t>
      </w:r>
    </w:p>
    <w:p w:rsidR="00000000" w:rsidDel="00000000" w:rsidP="00000000" w:rsidRDefault="00000000" w:rsidRPr="00000000" w14:paraId="00000003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Table S2</w:t>
      </w:r>
      <w:r w:rsidDel="00000000" w:rsidR="00000000" w:rsidRPr="00000000">
        <w:rPr>
          <w:sz w:val="20"/>
          <w:szCs w:val="20"/>
          <w:rtl w:val="0"/>
        </w:rPr>
        <w:t xml:space="preserve">: Variant call format table (SNPs &amp; INDELs) for the 73 </w:t>
      </w:r>
      <w:r w:rsidDel="00000000" w:rsidR="00000000" w:rsidRPr="00000000">
        <w:rPr>
          <w:i w:val="1"/>
          <w:sz w:val="20"/>
          <w:szCs w:val="20"/>
          <w:rtl w:val="0"/>
        </w:rPr>
        <w:t xml:space="preserve">Cannabis sativa</w:t>
      </w:r>
      <w:r w:rsidDel="00000000" w:rsidR="00000000" w:rsidRPr="00000000">
        <w:rPr>
          <w:sz w:val="20"/>
          <w:szCs w:val="20"/>
          <w:rtl w:val="0"/>
        </w:rPr>
        <w:t xml:space="preserve"> cultivars aligned to the reference cs10 (VCF was created using GATK).</w:t>
      </w:r>
    </w:p>
    <w:p w:rsidR="00000000" w:rsidDel="00000000" w:rsidP="00000000" w:rsidRDefault="00000000" w:rsidRPr="00000000" w14:paraId="00000005">
      <w:pPr>
        <w:spacing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Table S3</w:t>
      </w:r>
      <w:r w:rsidDel="00000000" w:rsidR="00000000" w:rsidRPr="00000000">
        <w:rPr>
          <w:sz w:val="20"/>
          <w:szCs w:val="20"/>
          <w:rtl w:val="0"/>
        </w:rPr>
        <w:t xml:space="preserve">: FASTA consensus sequence for each of the 73 </w:t>
      </w:r>
      <w:r w:rsidDel="00000000" w:rsidR="00000000" w:rsidRPr="00000000">
        <w:rPr>
          <w:i w:val="1"/>
          <w:sz w:val="20"/>
          <w:szCs w:val="20"/>
          <w:rtl w:val="0"/>
        </w:rPr>
        <w:t xml:space="preserve">Cannabis sativa </w:t>
      </w:r>
      <w:r w:rsidDel="00000000" w:rsidR="00000000" w:rsidRPr="00000000">
        <w:rPr>
          <w:sz w:val="20"/>
          <w:szCs w:val="20"/>
          <w:rtl w:val="0"/>
        </w:rPr>
        <w:t xml:space="preserve">cultivars aligned to the reference cs10 (Grassa et al. 2018). 1,356 SNPs are included for each 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Table S4</w:t>
      </w:r>
      <w:r w:rsidDel="00000000" w:rsidR="00000000" w:rsidRPr="00000000">
        <w:rPr>
          <w:sz w:val="20"/>
          <w:szCs w:val="20"/>
          <w:rtl w:val="0"/>
        </w:rPr>
        <w:t xml:space="preserve">: The normalized CNV values for each gene’s exon for the four hemp haplotypes.</w:t>
      </w:r>
    </w:p>
    <w:p w:rsidR="00000000" w:rsidDel="00000000" w:rsidP="00000000" w:rsidRDefault="00000000" w:rsidRPr="00000000" w14:paraId="00000009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5943600" cy="5803900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0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48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Fig S1. </w:t>
      </w:r>
      <w:r w:rsidDel="00000000" w:rsidR="00000000" w:rsidRPr="00000000">
        <w:rPr>
          <w:sz w:val="20"/>
          <w:szCs w:val="20"/>
          <w:rtl w:val="0"/>
        </w:rPr>
        <w:t xml:space="preserve">Genomic content for the Carmagnola (KR_059940) and Sievers Infinity (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KU363807.1</w:t>
      </w:r>
      <w:r w:rsidDel="00000000" w:rsidR="00000000" w:rsidRPr="00000000">
        <w:rPr>
          <w:sz w:val="20"/>
          <w:szCs w:val="20"/>
          <w:rtl w:val="0"/>
        </w:rPr>
        <w:t xml:space="preserve">) as well as the two newly sequenced, assembled and annotated </w:t>
      </w:r>
      <w:r w:rsidDel="00000000" w:rsidR="00000000" w:rsidRPr="00000000">
        <w:rPr>
          <w:i w:val="1"/>
          <w:sz w:val="20"/>
          <w:szCs w:val="20"/>
          <w:rtl w:val="0"/>
        </w:rPr>
        <w:t xml:space="preserve">Cannabis sativa </w:t>
      </w:r>
      <w:r w:rsidDel="00000000" w:rsidR="00000000" w:rsidRPr="00000000">
        <w:rPr>
          <w:sz w:val="20"/>
          <w:szCs w:val="20"/>
          <w:rtl w:val="0"/>
        </w:rPr>
        <w:t xml:space="preserve">hemp Kompolti (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MT361980.1</w:t>
      </w:r>
      <w:r w:rsidDel="00000000" w:rsidR="00000000" w:rsidRPr="00000000">
        <w:rPr>
          <w:sz w:val="20"/>
          <w:szCs w:val="20"/>
          <w:rtl w:val="0"/>
        </w:rPr>
        <w:t xml:space="preserve">) and Euro Oil (MT557709) mitochondrial genomes. Figures were produced using the OGDraw function from GeSeq (Tillich et al., 2017). Genomic content is given in the figure legends.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5577840" cy="3175635"/>
            <wp:effectExtent b="0" l="0" r="0" t="0"/>
            <wp:docPr descr="Chart, scatter chart&#10;&#10;Description automatically generated" id="11" name="image1.jpg"/>
            <a:graphic>
              <a:graphicData uri="http://schemas.openxmlformats.org/drawingml/2006/picture">
                <pic:pic>
                  <pic:nvPicPr>
                    <pic:cNvPr descr="Chart, scatter chart&#10;&#10;Description automatically generated" id="0" name="image1.jpg"/>
                    <pic:cNvPicPr preferRelativeResize="0"/>
                  </pic:nvPicPr>
                  <pic:blipFill>
                    <a:blip r:embed="rId8"/>
                    <a:srcRect b="0" l="1410" r="4742" t="5015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3175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48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Fig S2. </w:t>
      </w:r>
      <w:r w:rsidDel="00000000" w:rsidR="00000000" w:rsidRPr="00000000">
        <w:rPr>
          <w:sz w:val="20"/>
          <w:szCs w:val="20"/>
          <w:rtl w:val="0"/>
        </w:rPr>
        <w:t xml:space="preserve">Dot plot synteny comparisons performed via NCBI’s blastn. FASTA sequences for Carmagnola (KR_059940) was compared against </w:t>
      </w:r>
      <w:r w:rsidDel="00000000" w:rsidR="00000000" w:rsidRPr="00000000">
        <w:rPr>
          <w:b w:val="1"/>
          <w:sz w:val="20"/>
          <w:szCs w:val="20"/>
          <w:rtl w:val="0"/>
        </w:rPr>
        <w:t xml:space="preserve">(a)</w:t>
      </w:r>
      <w:r w:rsidDel="00000000" w:rsidR="00000000" w:rsidRPr="00000000">
        <w:rPr>
          <w:sz w:val="20"/>
          <w:szCs w:val="20"/>
          <w:rtl w:val="0"/>
        </w:rPr>
        <w:t xml:space="preserve"> Sievers Infinity (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KU363807.1</w:t>
      </w:r>
      <w:r w:rsidDel="00000000" w:rsidR="00000000" w:rsidRPr="00000000">
        <w:rPr>
          <w:sz w:val="20"/>
          <w:szCs w:val="20"/>
          <w:rtl w:val="0"/>
        </w:rPr>
        <w:t xml:space="preserve">), </w:t>
      </w:r>
      <w:r w:rsidDel="00000000" w:rsidR="00000000" w:rsidRPr="00000000">
        <w:rPr>
          <w:b w:val="1"/>
          <w:sz w:val="20"/>
          <w:szCs w:val="20"/>
          <w:rtl w:val="0"/>
        </w:rPr>
        <w:t xml:space="preserve">(b) </w:t>
      </w:r>
      <w:r w:rsidDel="00000000" w:rsidR="00000000" w:rsidRPr="00000000">
        <w:rPr>
          <w:sz w:val="20"/>
          <w:szCs w:val="20"/>
          <w:rtl w:val="0"/>
        </w:rPr>
        <w:t xml:space="preserve">Kompolti (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MT361980.1</w:t>
      </w:r>
      <w:r w:rsidDel="00000000" w:rsidR="00000000" w:rsidRPr="00000000">
        <w:rPr>
          <w:sz w:val="20"/>
          <w:szCs w:val="20"/>
          <w:rtl w:val="0"/>
        </w:rPr>
        <w:t xml:space="preserve">) and </w:t>
      </w:r>
      <w:r w:rsidDel="00000000" w:rsidR="00000000" w:rsidRPr="00000000">
        <w:rPr>
          <w:b w:val="1"/>
          <w:sz w:val="20"/>
          <w:szCs w:val="20"/>
          <w:rtl w:val="0"/>
        </w:rPr>
        <w:t xml:space="preserve">(c) </w:t>
      </w:r>
      <w:r w:rsidDel="00000000" w:rsidR="00000000" w:rsidRPr="00000000">
        <w:rPr>
          <w:sz w:val="20"/>
          <w:szCs w:val="20"/>
          <w:rtl w:val="0"/>
        </w:rPr>
        <w:t xml:space="preserve">Euro Oil (MT557709). Figures were produced via NCBI’s blastn web interface.</w:t>
      </w:r>
    </w:p>
    <w:sectPr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750D2"/>
    <w:pPr>
      <w:spacing w:after="0" w:line="276" w:lineRule="auto"/>
    </w:pPr>
    <w:rPr>
      <w:rFonts w:ascii="Arial" w:cs="Arial" w:eastAsia="Arial" w:hAnsi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E750D2"/>
    <w:pPr>
      <w:keepNext w:val="1"/>
      <w:keepLines w:val="1"/>
      <w:spacing w:after="120" w:before="400"/>
      <w:outlineLvl w:val="0"/>
    </w:pPr>
    <w:rPr>
      <w:sz w:val="40"/>
      <w:szCs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750D2"/>
    <w:pPr>
      <w:spacing w:line="240" w:lineRule="auto"/>
    </w:pPr>
    <w:rPr>
      <w:rFonts w:ascii="Segoe UI" w:cs="Segoe UI" w:hAnsi="Segoe UI" w:eastAsiaTheme="minorHAnsi"/>
      <w:sz w:val="18"/>
      <w:szCs w:val="18"/>
      <w:lang w:val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750D2"/>
    <w:rPr>
      <w:rFonts w:ascii="Segoe UI" w:cs="Segoe UI" w:hAnsi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E750D2"/>
    <w:rPr>
      <w:rFonts w:ascii="Arial" w:cs="Arial" w:eastAsia="Arial" w:hAnsi="Arial"/>
      <w:sz w:val="40"/>
      <w:szCs w:val="40"/>
      <w:lang w:val="en"/>
    </w:rPr>
  </w:style>
  <w:style w:type="paragraph" w:styleId="Footer">
    <w:name w:val="footer"/>
    <w:basedOn w:val="Normal"/>
    <w:link w:val="FooterChar"/>
    <w:uiPriority w:val="99"/>
    <w:unhideWhenUsed w:val="1"/>
    <w:rsid w:val="00E750D2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750D2"/>
    <w:rPr>
      <w:rFonts w:ascii="Arial" w:cs="Arial" w:eastAsia="Arial" w:hAnsi="Arial"/>
      <w:lang w:val="en"/>
    </w:rPr>
  </w:style>
  <w:style w:type="character" w:styleId="LineNumber">
    <w:name w:val="line number"/>
    <w:basedOn w:val="DefaultParagraphFont"/>
    <w:uiPriority w:val="99"/>
    <w:semiHidden w:val="1"/>
    <w:unhideWhenUsed w:val="1"/>
    <w:rsid w:val="00E750D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zv6r6cT2RvpI3d+cGAUVT3c+ig==">AMUW2mUzl5wQgMGdqM3S0z7KUvry0b3cxy5+tgHAPN41YWjQvAsQIQKfX0o3oJTqJo6HR4wnA+j+jwEo28vk9mWmaZ4DpFVKYUPoUO8KsygKex0eq0PjEnGBohh8f9v8y7JN4xcLMULh/M4JYtnVlyfrNApHlStY1LxHkHB15VsttFOrfbJtxQMcpG+hWDmu69TqvrqW4q3gVybg1W2uUxiZDhsKb1GgcQ==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2020-11-25T17:38:00Z</dcterms:created>
  <dc:creator>Cloe Simone Pogoda</dc:creator>
</cp:coreProperties>
</file>