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A8" w:rsidRPr="007B0DA8" w:rsidRDefault="007B0DA8" w:rsidP="007B0DA8">
      <w:pPr>
        <w:spacing w:after="0" w:line="360" w:lineRule="auto"/>
        <w:jc w:val="both"/>
        <w:rPr>
          <w:rFonts w:ascii="Times" w:eastAsia="Calibri" w:hAnsi="Times" w:cs="Times"/>
          <w:sz w:val="24"/>
          <w:szCs w:val="24"/>
        </w:rPr>
      </w:pPr>
      <w:r w:rsidRPr="007B0DA8">
        <w:rPr>
          <w:rFonts w:ascii="Times" w:eastAsia="Calibri" w:hAnsi="Times" w:cs="Times"/>
          <w:b/>
          <w:bCs/>
          <w:sz w:val="24"/>
          <w:szCs w:val="24"/>
        </w:rPr>
        <w:t xml:space="preserve">Supplemental Table </w:t>
      </w:r>
      <w:r w:rsidR="00E21449">
        <w:rPr>
          <w:rFonts w:ascii="Times" w:eastAsia="Calibri" w:hAnsi="Times" w:cs="Times"/>
          <w:b/>
          <w:bCs/>
          <w:sz w:val="24"/>
          <w:szCs w:val="24"/>
        </w:rPr>
        <w:t>3</w:t>
      </w:r>
      <w:bookmarkStart w:id="0" w:name="_GoBack"/>
      <w:bookmarkEnd w:id="0"/>
      <w:r w:rsidRPr="007B0DA8">
        <w:rPr>
          <w:rFonts w:ascii="Times" w:eastAsia="Calibri" w:hAnsi="Times" w:cs="Times"/>
          <w:b/>
          <w:bCs/>
          <w:sz w:val="24"/>
          <w:szCs w:val="24"/>
        </w:rPr>
        <w:t xml:space="preserve">: </w:t>
      </w:r>
    </w:p>
    <w:p w:rsidR="007B0DA8" w:rsidRPr="007B0DA8" w:rsidRDefault="007B0DA8" w:rsidP="007B0DA8">
      <w:pPr>
        <w:spacing w:after="0" w:line="360" w:lineRule="auto"/>
        <w:jc w:val="both"/>
        <w:rPr>
          <w:rFonts w:ascii="Times" w:eastAsia="Calibri" w:hAnsi="Times" w:cs="Times"/>
          <w:sz w:val="24"/>
          <w:szCs w:val="24"/>
        </w:rPr>
      </w:pPr>
      <w:r w:rsidRPr="007B0DA8">
        <w:rPr>
          <w:rFonts w:ascii="Times" w:eastAsia="Calibri" w:hAnsi="Times" w:cs="Times"/>
          <w:sz w:val="24"/>
          <w:szCs w:val="24"/>
        </w:rPr>
        <w:t>The i</w:t>
      </w:r>
      <w:r w:rsidR="00736B37">
        <w:rPr>
          <w:rFonts w:ascii="Times" w:eastAsia="Calibri" w:hAnsi="Times" w:cs="Times"/>
          <w:sz w:val="24"/>
          <w:szCs w:val="24"/>
        </w:rPr>
        <w:t>nhibition effects</w:t>
      </w:r>
      <w:r w:rsidRPr="007B0DA8">
        <w:rPr>
          <w:rFonts w:ascii="Times" w:eastAsia="Calibri" w:hAnsi="Times" w:cs="Times"/>
          <w:sz w:val="24"/>
          <w:szCs w:val="24"/>
          <w:cs/>
        </w:rPr>
        <w:t xml:space="preserve"> </w:t>
      </w:r>
      <w:r w:rsidRPr="007B0DA8">
        <w:rPr>
          <w:rFonts w:ascii="Times" w:eastAsia="Calibri" w:hAnsi="Times" w:cs="Times"/>
          <w:sz w:val="24"/>
          <w:szCs w:val="24"/>
        </w:rPr>
        <w:t>of standard antibiotics</w:t>
      </w:r>
      <w:r w:rsidRPr="007B0DA8">
        <w:rPr>
          <w:rFonts w:ascii="Times" w:eastAsia="Calibri" w:hAnsi="Times" w:cs="Times"/>
          <w:sz w:val="24"/>
          <w:szCs w:val="24"/>
          <w:lang w:bidi="en-US"/>
        </w:rPr>
        <w:t xml:space="preserve"> with control species</w:t>
      </w:r>
      <w:r w:rsidR="00736B37">
        <w:rPr>
          <w:rFonts w:ascii="Times" w:eastAsia="Calibri" w:hAnsi="Times" w:cs="Times"/>
          <w:sz w:val="24"/>
          <w:szCs w:val="24"/>
          <w:lang w:bidi="en-US"/>
        </w:rPr>
        <w:t xml:space="preserve"> </w:t>
      </w:r>
      <w:r w:rsidR="00736B37" w:rsidRPr="00736B37">
        <w:rPr>
          <w:rFonts w:ascii="Times" w:eastAsia="Calibri" w:hAnsi="Times" w:cs="Times"/>
          <w:sz w:val="24"/>
          <w:szCs w:val="24"/>
        </w:rPr>
        <w:t>by the CLSI (2019)</w:t>
      </w:r>
      <w:r w:rsidRPr="007B0DA8">
        <w:rPr>
          <w:rFonts w:ascii="Times" w:eastAsia="Calibri" w:hAnsi="Times" w:cs="Times"/>
          <w:sz w:val="24"/>
          <w:szCs w:val="24"/>
        </w:rPr>
        <w:t>.</w:t>
      </w:r>
      <w:r w:rsidR="00736B37">
        <w:rPr>
          <w:rFonts w:ascii="Times" w:eastAsia="Calibri" w:hAnsi="Times" w:cs="Times"/>
          <w:sz w:val="24"/>
          <w:szCs w:val="24"/>
        </w:rPr>
        <w:t xml:space="preserve"> </w:t>
      </w:r>
    </w:p>
    <w:tbl>
      <w:tblPr>
        <w:tblW w:w="8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834"/>
        <w:gridCol w:w="841"/>
        <w:gridCol w:w="841"/>
        <w:gridCol w:w="813"/>
      </w:tblGrid>
      <w:tr w:rsidR="00E21449" w:rsidRPr="007B0DA8" w:rsidTr="00736B37">
        <w:trPr>
          <w:jc w:val="center"/>
        </w:trPr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0DA8" w:rsidRPr="007B0DA8" w:rsidRDefault="00736B37" w:rsidP="00736B37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Cs w:val="24"/>
              </w:rPr>
            </w:pPr>
            <w:bookmarkStart w:id="1" w:name="_Hlk524017110"/>
            <w:r>
              <w:rPr>
                <w:rFonts w:ascii="Times" w:eastAsia="Calibri" w:hAnsi="Times" w:cs="Times"/>
                <w:b/>
                <w:bCs/>
                <w:szCs w:val="24"/>
              </w:rPr>
              <w:t>Standard antibiotics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 xml:space="preserve">SA </w:t>
            </w:r>
          </w:p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Angsana New"/>
                <w:b/>
                <w:bCs/>
                <w:sz w:val="20"/>
                <w:szCs w:val="25"/>
              </w:rPr>
              <w:t>ATCC</w:t>
            </w: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 xml:space="preserve"> 25923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</w:rPr>
              <w:t>SA</w:t>
            </w:r>
          </w:p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 xml:space="preserve">ATCC </w:t>
            </w: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cs/>
                <w:lang w:val="en-GB"/>
              </w:rPr>
              <w:t>43300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>KP*</w:t>
            </w:r>
          </w:p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>ATCC 700603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>PA</w:t>
            </w: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cs/>
                <w:lang w:val="en-GB"/>
              </w:rPr>
              <w:t>*</w:t>
            </w:r>
          </w:p>
          <w:p w:rsidR="007B0DA8" w:rsidRPr="007B0DA8" w:rsidRDefault="007B0DA8" w:rsidP="007B0DA8">
            <w:pPr>
              <w:spacing w:after="0"/>
              <w:jc w:val="center"/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</w:pP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lang w:val="en-GB"/>
              </w:rPr>
              <w:t xml:space="preserve">ATCC </w:t>
            </w:r>
            <w:r w:rsidRPr="007B0DA8">
              <w:rPr>
                <w:rFonts w:ascii="Times" w:eastAsia="Calibri" w:hAnsi="Times" w:cs="Times"/>
                <w:b/>
                <w:bCs/>
                <w:sz w:val="20"/>
                <w:szCs w:val="20"/>
                <w:cs/>
                <w:lang w:val="en-GB"/>
              </w:rPr>
              <w:t>27853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B0DA8">
              <w:rPr>
                <w:rFonts w:ascii="Times New Roman" w:eastAsia="Calibri" w:hAnsi="Times New Roman" w:cs="Times New Roman"/>
              </w:rPr>
              <w:t>Piperacillin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7B0DA8">
              <w:rPr>
                <w:rFonts w:ascii="Times New Roman" w:eastAsia="Calibri" w:hAnsi="Times New Roman" w:cs="Times New Roman"/>
              </w:rPr>
              <w:t>tazobactam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(100/10 µg)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cs/>
              </w:rPr>
            </w:pPr>
            <w:r w:rsidRPr="007B0DA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Cordia New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28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B0DA8">
              <w:rPr>
                <w:rFonts w:ascii="Times New Roman" w:eastAsia="Calibri" w:hAnsi="Times New Roman" w:cs="Times New Roman"/>
              </w:rPr>
              <w:t>Amikacin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(30 µg)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A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23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7B0DA8">
              <w:rPr>
                <w:rFonts w:ascii="Times New Roman" w:eastAsia="Calibri" w:hAnsi="Times New Roman" w:cs="Times New Roman"/>
              </w:rPr>
              <w:t>Ceftriaxone (30 µg)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A8">
              <w:rPr>
                <w:rFonts w:ascii="Times New Roman" w:eastAsia="Calibri" w:hAnsi="Times New Roman" w:cs="Times New Roma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B0DA8">
              <w:rPr>
                <w:rFonts w:ascii="Times New Roman" w:eastAsia="Calibri" w:hAnsi="Times New Roman" w:cs="Times New Roman"/>
              </w:rPr>
              <w:t>Cefotaxime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(30 µg)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A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B0DA8">
              <w:rPr>
                <w:rFonts w:ascii="Times New Roman" w:eastAsia="Calibri" w:hAnsi="Times New Roman" w:cs="Times New Roman"/>
              </w:rPr>
              <w:t>Ceftazidime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(30 x)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A8">
              <w:rPr>
                <w:rFonts w:ascii="Times New Roman" w:eastAsia="Calibri" w:hAnsi="Times New Roman" w:cs="Times New Roma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26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7B0DA8">
              <w:rPr>
                <w:rFonts w:ascii="Times New Roman" w:eastAsia="Calibri" w:hAnsi="Times New Roman" w:cs="Times New Roman"/>
              </w:rPr>
              <w:t>Ciprofloxacin (5 µg)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cs/>
              </w:rPr>
            </w:pPr>
            <w:r w:rsidRPr="007B0DA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Cordia New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30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B0DA8">
              <w:rPr>
                <w:rFonts w:ascii="Times New Roman" w:eastAsia="Calibri" w:hAnsi="Times New Roman" w:cs="Times New Roman"/>
              </w:rPr>
              <w:t>Imipenem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(10 µg)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Cordia New"/>
                <w:sz w:val="20"/>
                <w:szCs w:val="20"/>
                <w:cs/>
              </w:rPr>
            </w:pPr>
            <w:r w:rsidRPr="007B0DA8">
              <w:rPr>
                <w:rFonts w:ascii="Times New Roman" w:eastAsia="Calibri" w:hAnsi="Times New Roman" w:cs="Times New Roma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22</w:t>
            </w:r>
          </w:p>
        </w:tc>
      </w:tr>
      <w:tr w:rsidR="00E21449" w:rsidRPr="007B0DA8" w:rsidTr="00B704AC">
        <w:trPr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7B0DA8">
              <w:rPr>
                <w:rFonts w:ascii="Times New Roman" w:eastAsia="Calibri" w:hAnsi="Times New Roman" w:cs="Times New Roman"/>
              </w:rPr>
              <w:t>Trimethoprim/</w:t>
            </w:r>
            <w:proofErr w:type="spellStart"/>
            <w:r w:rsidRPr="007B0DA8">
              <w:rPr>
                <w:rFonts w:ascii="Times New Roman" w:eastAsia="Calibri" w:hAnsi="Times New Roman" w:cs="Times New Roman"/>
              </w:rPr>
              <w:t>sulfamethoxazole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(1.25/23.75µg)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cs/>
              </w:rPr>
            </w:pPr>
            <w:r w:rsidRPr="007B0DA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</w:tr>
      <w:tr w:rsidR="00E21449" w:rsidRPr="007B0DA8" w:rsidTr="00B704AC">
        <w:trPr>
          <w:trHeight w:val="64"/>
          <w:jc w:val="center"/>
        </w:trPr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DA8" w:rsidRPr="007B0DA8" w:rsidRDefault="007B0DA8" w:rsidP="007B0D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B0DA8">
              <w:rPr>
                <w:rFonts w:ascii="Times New Roman" w:eastAsia="Calibri" w:hAnsi="Times New Roman" w:cs="Times New Roman"/>
              </w:rPr>
              <w:t>Vancomycin</w:t>
            </w:r>
            <w:proofErr w:type="spellEnd"/>
            <w:r w:rsidRPr="007B0DA8">
              <w:rPr>
                <w:rFonts w:ascii="Times New Roman" w:eastAsia="Calibri" w:hAnsi="Times New Roman" w:cs="Times New Roman"/>
              </w:rPr>
              <w:t xml:space="preserve"> (30 µg)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cs/>
              </w:rPr>
            </w:pPr>
            <w:r w:rsidRPr="007B0DA8">
              <w:rPr>
                <w:rFonts w:ascii="Times New Roman" w:eastAsia="Calibri" w:hAnsi="Times New Roman" w:cs="Times New Roman"/>
                <w:szCs w:val="22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cs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DA8" w:rsidRPr="007B0DA8" w:rsidRDefault="007B0DA8" w:rsidP="007B0DA8">
            <w:pPr>
              <w:spacing w:after="0" w:line="360" w:lineRule="auto"/>
              <w:jc w:val="center"/>
              <w:rPr>
                <w:rFonts w:ascii="Times" w:eastAsia="Calibri" w:hAnsi="Times" w:cs="Times"/>
                <w:sz w:val="20"/>
                <w:szCs w:val="20"/>
                <w:lang w:eastAsia="zh-CN"/>
              </w:rPr>
            </w:pPr>
            <w:r w:rsidRPr="007B0DA8">
              <w:rPr>
                <w:rFonts w:ascii="Times" w:eastAsia="Calibri" w:hAnsi="Times" w:cs="Times"/>
                <w:sz w:val="20"/>
                <w:szCs w:val="20"/>
                <w:lang w:eastAsia="zh-CN"/>
              </w:rPr>
              <w:t>NT</w:t>
            </w:r>
          </w:p>
        </w:tc>
      </w:tr>
    </w:tbl>
    <w:bookmarkEnd w:id="1"/>
    <w:p w:rsidR="007B0DA8" w:rsidRPr="007B0DA8" w:rsidRDefault="00736B37" w:rsidP="007B0DA8">
      <w:pPr>
        <w:spacing w:before="240" w:after="0" w:line="360" w:lineRule="auto"/>
        <w:rPr>
          <w:rFonts w:ascii="Times" w:eastAsia="Calibri" w:hAnsi="Times" w:cs="Times"/>
          <w:sz w:val="20"/>
          <w:szCs w:val="20"/>
        </w:rPr>
      </w:pPr>
      <w:r w:rsidRPr="00736B37"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SA ATCC </w:t>
      </w:r>
      <w:r>
        <w:rPr>
          <w:rFonts w:ascii="Times" w:eastAsia="Calibri" w:hAnsi="Times" w:cs="Times"/>
          <w:b/>
          <w:bCs/>
          <w:sz w:val="20"/>
          <w:szCs w:val="20"/>
          <w:lang w:val="en-GB"/>
        </w:rPr>
        <w:t>25923</w:t>
      </w:r>
      <w:r w:rsidRPr="00736B37">
        <w:rPr>
          <w:rFonts w:ascii="Times" w:eastAsia="Calibri" w:hAnsi="Times" w:cs="Times"/>
          <w:sz w:val="20"/>
          <w:szCs w:val="20"/>
          <w:lang w:val="en-GB"/>
        </w:rPr>
        <w:t xml:space="preserve">: </w:t>
      </w:r>
      <w:r w:rsidRPr="00736B37">
        <w:rPr>
          <w:rFonts w:ascii="Times" w:eastAsia="Calibri" w:hAnsi="Times" w:cs="Times"/>
          <w:i/>
          <w:iCs/>
          <w:sz w:val="20"/>
          <w:szCs w:val="20"/>
          <w:lang w:val="en-GB"/>
        </w:rPr>
        <w:t>Staphylococcus aureus</w:t>
      </w:r>
      <w:r w:rsidRPr="00736B37">
        <w:rPr>
          <w:rFonts w:ascii="Times" w:eastAsia="Calibri" w:hAnsi="Times" w:cs="Times"/>
          <w:sz w:val="20"/>
          <w:szCs w:val="20"/>
          <w:lang w:val="en-GB"/>
        </w:rPr>
        <w:t xml:space="preserve"> ATCC 43300.</w:t>
      </w:r>
      <w:r w:rsidRPr="00736B37"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 </w:t>
      </w:r>
      <w:r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 </w:t>
      </w:r>
      <w:r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>SA</w:t>
      </w:r>
      <w:r w:rsidRPr="007B0DA8">
        <w:rPr>
          <w:rFonts w:ascii="Times" w:eastAsia="Calibri" w:hAnsi="Times" w:cs="Times"/>
          <w:b/>
          <w:bCs/>
          <w:sz w:val="20"/>
          <w:szCs w:val="20"/>
          <w:cs/>
        </w:rPr>
        <w:t xml:space="preserve"> </w:t>
      </w:r>
      <w:r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>ATCC 43300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: </w:t>
      </w:r>
      <w:r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>Staphylococcus aureus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 ATCC </w:t>
      </w:r>
      <w:r w:rsidRPr="007B0DA8">
        <w:rPr>
          <w:rFonts w:ascii="Times" w:eastAsia="Calibri" w:hAnsi="Times" w:cs="Times"/>
          <w:sz w:val="20"/>
          <w:szCs w:val="20"/>
        </w:rPr>
        <w:t>43300</w:t>
      </w:r>
      <w:r>
        <w:rPr>
          <w:rFonts w:ascii="Times" w:eastAsia="Calibri" w:hAnsi="Times" w:cs="Times"/>
          <w:sz w:val="20"/>
          <w:szCs w:val="20"/>
        </w:rPr>
        <w:t xml:space="preserve">. </w:t>
      </w:r>
      <w:r w:rsidR="007B0DA8"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>KP</w:t>
      </w:r>
      <w:r w:rsidR="007B0DA8" w:rsidRPr="007B0DA8">
        <w:rPr>
          <w:rFonts w:ascii="Times" w:eastAsia="Calibri" w:hAnsi="Times" w:cs="Times"/>
          <w:b/>
          <w:bCs/>
          <w:sz w:val="20"/>
          <w:szCs w:val="20"/>
          <w:vertAlign w:val="superscript"/>
          <w:cs/>
        </w:rPr>
        <w:t>*</w:t>
      </w:r>
      <w:r w:rsidR="007B0DA8"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 ATCC 700603</w:t>
      </w:r>
      <w:r w:rsidR="007B0DA8" w:rsidRPr="007B0DA8">
        <w:rPr>
          <w:rFonts w:ascii="Times" w:eastAsia="Calibri" w:hAnsi="Times" w:cs="Times"/>
          <w:sz w:val="20"/>
          <w:szCs w:val="20"/>
          <w:lang w:val="en-GB"/>
        </w:rPr>
        <w:t xml:space="preserve">: </w:t>
      </w:r>
      <w:r w:rsidR="007B0DA8"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 xml:space="preserve">K. </w:t>
      </w:r>
      <w:proofErr w:type="spellStart"/>
      <w:r w:rsidR="007B0DA8"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>pneumoniae</w:t>
      </w:r>
      <w:proofErr w:type="spellEnd"/>
      <w:r w:rsidR="007B0DA8"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 xml:space="preserve"> </w:t>
      </w:r>
      <w:r w:rsidR="007B0DA8" w:rsidRPr="007B0DA8">
        <w:rPr>
          <w:rFonts w:ascii="Times" w:eastAsia="Calibri" w:hAnsi="Times" w:cs="Times"/>
          <w:sz w:val="20"/>
          <w:szCs w:val="20"/>
          <w:lang w:val="en-GB"/>
        </w:rPr>
        <w:t xml:space="preserve">ATCC 700603 </w:t>
      </w:r>
      <w:proofErr w:type="gramStart"/>
      <w:r w:rsidR="007B0DA8" w:rsidRPr="007B0DA8">
        <w:rPr>
          <w:rFonts w:ascii="Times" w:eastAsia="Calibri" w:hAnsi="Times" w:cs="Times"/>
          <w:sz w:val="20"/>
          <w:szCs w:val="20"/>
          <w:lang w:val="en-GB"/>
        </w:rPr>
        <w:t>and</w:t>
      </w:r>
      <w:r w:rsidR="007B0DA8"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 </w:t>
      </w:r>
      <w:r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 </w:t>
      </w:r>
      <w:r w:rsidR="007B0DA8"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>PA</w:t>
      </w:r>
      <w:proofErr w:type="gramEnd"/>
      <w:r w:rsidR="007B0DA8" w:rsidRPr="007B0DA8">
        <w:rPr>
          <w:rFonts w:ascii="Times" w:eastAsia="Calibri" w:hAnsi="Times" w:cs="Times"/>
          <w:b/>
          <w:bCs/>
          <w:sz w:val="20"/>
          <w:szCs w:val="20"/>
          <w:vertAlign w:val="superscript"/>
          <w:cs/>
        </w:rPr>
        <w:t>*</w:t>
      </w:r>
      <w:r w:rsidR="007B0DA8" w:rsidRPr="007B0DA8">
        <w:rPr>
          <w:rFonts w:ascii="Times" w:eastAsia="Calibri" w:hAnsi="Times" w:cs="Times"/>
          <w:b/>
          <w:bCs/>
          <w:sz w:val="20"/>
          <w:szCs w:val="20"/>
          <w:lang w:val="en-GB"/>
        </w:rPr>
        <w:t xml:space="preserve"> ATCC 27853</w:t>
      </w:r>
      <w:r w:rsidR="007B0DA8" w:rsidRPr="007B0DA8">
        <w:rPr>
          <w:rFonts w:ascii="Times" w:eastAsia="Calibri" w:hAnsi="Times" w:cs="Times"/>
          <w:sz w:val="20"/>
          <w:szCs w:val="20"/>
        </w:rPr>
        <w:t xml:space="preserve">: </w:t>
      </w:r>
      <w:r w:rsidR="007B0DA8" w:rsidRPr="007B0DA8">
        <w:rPr>
          <w:rFonts w:ascii="Times" w:eastAsia="Calibri" w:hAnsi="Times" w:cs="Times"/>
          <w:i/>
          <w:iCs/>
          <w:sz w:val="20"/>
          <w:szCs w:val="20"/>
        </w:rPr>
        <w:t>Pseudomonas</w:t>
      </w:r>
      <w:r w:rsidR="007B0DA8"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 xml:space="preserve"> </w:t>
      </w:r>
      <w:proofErr w:type="spellStart"/>
      <w:r w:rsidR="007B0DA8"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>aeruginosa</w:t>
      </w:r>
      <w:proofErr w:type="spellEnd"/>
      <w:r w:rsidR="007B0DA8" w:rsidRPr="007B0DA8">
        <w:rPr>
          <w:rFonts w:ascii="Times" w:eastAsia="Calibri" w:hAnsi="Times" w:cs="Times"/>
          <w:sz w:val="20"/>
          <w:szCs w:val="20"/>
          <w:cs/>
        </w:rPr>
        <w:t xml:space="preserve"> </w:t>
      </w:r>
      <w:r>
        <w:rPr>
          <w:rFonts w:ascii="Times" w:eastAsia="Calibri" w:hAnsi="Times" w:cs="Times"/>
          <w:sz w:val="20"/>
          <w:szCs w:val="20"/>
        </w:rPr>
        <w:t xml:space="preserve">ATCC 27853. These </w:t>
      </w:r>
      <w:r w:rsidR="007B0DA8" w:rsidRPr="007B0DA8">
        <w:rPr>
          <w:rFonts w:ascii="Times" w:eastAsia="Calibri" w:hAnsi="Times" w:cs="Times"/>
          <w:sz w:val="20"/>
          <w:szCs w:val="20"/>
        </w:rPr>
        <w:t xml:space="preserve">strains were used as control species; the </w:t>
      </w:r>
      <w:r>
        <w:rPr>
          <w:rFonts w:ascii="Times" w:eastAsia="Calibri" w:hAnsi="Times" w:cs="Times"/>
          <w:sz w:val="20"/>
          <w:szCs w:val="20"/>
        </w:rPr>
        <w:t xml:space="preserve">inhibition zone in each </w:t>
      </w:r>
      <w:r w:rsidR="007B0DA8" w:rsidRPr="007B0DA8">
        <w:rPr>
          <w:rFonts w:ascii="Times" w:eastAsia="Calibri" w:hAnsi="Times" w:cs="Times"/>
          <w:sz w:val="20"/>
          <w:szCs w:val="20"/>
        </w:rPr>
        <w:t>antibiotic was within the quality control ranges set by the CLSI (201</w:t>
      </w:r>
      <w:r>
        <w:rPr>
          <w:rFonts w:ascii="Times" w:eastAsia="Calibri" w:hAnsi="Times" w:cs="Times"/>
          <w:sz w:val="20"/>
          <w:szCs w:val="20"/>
        </w:rPr>
        <w:t>9</w:t>
      </w:r>
      <w:r w:rsidR="007B0DA8" w:rsidRPr="007B0DA8">
        <w:rPr>
          <w:rFonts w:ascii="Times" w:eastAsia="Calibri" w:hAnsi="Times" w:cs="Times"/>
          <w:sz w:val="20"/>
          <w:szCs w:val="20"/>
        </w:rPr>
        <w:t>)*.</w:t>
      </w:r>
      <w:r w:rsidRPr="00736B37">
        <w:rPr>
          <w:rFonts w:ascii="Times" w:eastAsia="Calibri" w:hAnsi="Times" w:cs="Times"/>
          <w:sz w:val="20"/>
          <w:szCs w:val="20"/>
        </w:rPr>
        <w:t xml:space="preserve"> </w:t>
      </w:r>
      <w:r w:rsidRPr="007B0DA8">
        <w:rPr>
          <w:rFonts w:ascii="Times" w:eastAsia="Calibri" w:hAnsi="Times" w:cs="Times"/>
          <w:sz w:val="20"/>
          <w:szCs w:val="20"/>
        </w:rPr>
        <w:t>NT</w:t>
      </w:r>
      <w:r w:rsidR="00096BEC">
        <w:rPr>
          <w:rFonts w:ascii="Times" w:eastAsia="Calibri" w:hAnsi="Times" w:cs="Times"/>
          <w:sz w:val="20"/>
          <w:szCs w:val="20"/>
        </w:rPr>
        <w:t xml:space="preserve"> abbreviation was </w:t>
      </w:r>
      <w:proofErr w:type="gramStart"/>
      <w:r>
        <w:rPr>
          <w:rFonts w:ascii="Times" w:eastAsia="Calibri" w:hAnsi="Times" w:cs="Times"/>
          <w:sz w:val="20"/>
          <w:szCs w:val="20"/>
        </w:rPr>
        <w:t>refer</w:t>
      </w:r>
      <w:proofErr w:type="gramEnd"/>
      <w:r>
        <w:rPr>
          <w:rFonts w:ascii="Times" w:eastAsia="Calibri" w:hAnsi="Times" w:cs="Times"/>
          <w:sz w:val="20"/>
          <w:szCs w:val="20"/>
        </w:rPr>
        <w:t xml:space="preserve"> to not tested.</w:t>
      </w:r>
    </w:p>
    <w:p w:rsidR="007B0DA8" w:rsidRPr="007B0DA8" w:rsidRDefault="007B0DA8" w:rsidP="007B0DA8">
      <w:pPr>
        <w:spacing w:after="0" w:line="360" w:lineRule="auto"/>
        <w:rPr>
          <w:rFonts w:ascii="Times" w:eastAsia="Calibri" w:hAnsi="Times" w:cs="Times"/>
          <w:sz w:val="20"/>
          <w:szCs w:val="20"/>
        </w:rPr>
      </w:pPr>
    </w:p>
    <w:p w:rsidR="007B0DA8" w:rsidRPr="007B0DA8" w:rsidRDefault="007B0DA8" w:rsidP="007B0DA8">
      <w:pPr>
        <w:spacing w:after="0" w:line="360" w:lineRule="auto"/>
        <w:rPr>
          <w:rFonts w:ascii="Times" w:eastAsia="Calibri" w:hAnsi="Times" w:cs="Times"/>
          <w:i/>
          <w:iCs/>
          <w:sz w:val="20"/>
          <w:szCs w:val="20"/>
          <w:lang w:val="en-GB"/>
        </w:rPr>
      </w:pPr>
      <w:r w:rsidRPr="007B0DA8">
        <w:rPr>
          <w:rFonts w:ascii="Times" w:eastAsia="Calibri" w:hAnsi="Times" w:cs="Times"/>
          <w:sz w:val="20"/>
          <w:szCs w:val="20"/>
        </w:rPr>
        <w:t>*The quality control ranges set by the CLSI (201</w:t>
      </w:r>
      <w:r w:rsidR="00736B37">
        <w:rPr>
          <w:rFonts w:ascii="Times" w:eastAsia="Calibri" w:hAnsi="Times" w:cs="Times"/>
          <w:sz w:val="20"/>
          <w:szCs w:val="20"/>
        </w:rPr>
        <w:t>9</w:t>
      </w:r>
      <w:r w:rsidRPr="007B0DA8">
        <w:rPr>
          <w:rFonts w:ascii="Times" w:eastAsia="Calibri" w:hAnsi="Times" w:cs="Times"/>
          <w:sz w:val="20"/>
          <w:szCs w:val="20"/>
        </w:rPr>
        <w:t xml:space="preserve">): 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For </w:t>
      </w:r>
      <w:r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 xml:space="preserve">K. </w:t>
      </w:r>
      <w:proofErr w:type="spellStart"/>
      <w:r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>pneumoniae</w:t>
      </w:r>
      <w:proofErr w:type="spellEnd"/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 strain ATCC 700603</w:t>
      </w:r>
      <w:r w:rsidRPr="007B0DA8">
        <w:rPr>
          <w:rFonts w:ascii="Times" w:eastAsia="Calibri" w:hAnsi="Times" w:cs="Times"/>
          <w:sz w:val="20"/>
          <w:szCs w:val="20"/>
        </w:rPr>
        <w:t xml:space="preserve">, </w:t>
      </w:r>
      <w:bookmarkStart w:id="2" w:name="_Hlk534216148"/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the </w:t>
      </w:r>
      <w:r w:rsidR="00736B37">
        <w:rPr>
          <w:rFonts w:ascii="Times" w:eastAsia="Calibri" w:hAnsi="Times" w:cs="Times"/>
          <w:sz w:val="20"/>
          <w:szCs w:val="20"/>
          <w:lang w:val="en-GB"/>
        </w:rPr>
        <w:t xml:space="preserve">different 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>clear zone</w:t>
      </w:r>
      <w:r w:rsidRPr="007B0DA8">
        <w:rPr>
          <w:rFonts w:ascii="Times" w:eastAsia="Calibri" w:hAnsi="Times" w:cs="Times"/>
          <w:sz w:val="20"/>
          <w:szCs w:val="20"/>
          <w:cs/>
        </w:rPr>
        <w:t xml:space="preserve"> </w:t>
      </w:r>
      <w:r w:rsidRPr="007B0DA8">
        <w:rPr>
          <w:rFonts w:ascii="Times" w:eastAsia="Calibri" w:hAnsi="Times" w:cs="Times"/>
          <w:sz w:val="20"/>
          <w:szCs w:val="20"/>
        </w:rPr>
        <w:t xml:space="preserve">diameter of </w:t>
      </w:r>
      <w:bookmarkEnd w:id="2"/>
      <w:r w:rsidR="00736B37">
        <w:rPr>
          <w:rFonts w:ascii="Times" w:eastAsia="Calibri" w:hAnsi="Times" w:cs="Times"/>
          <w:sz w:val="20"/>
          <w:szCs w:val="20"/>
        </w:rPr>
        <w:t xml:space="preserve">antibiotics including </w:t>
      </w:r>
      <w:proofErr w:type="spellStart"/>
      <w:r w:rsidRPr="007B0DA8">
        <w:rPr>
          <w:rFonts w:ascii="Times" w:eastAsia="Calibri" w:hAnsi="Times" w:cs="Times"/>
          <w:sz w:val="20"/>
          <w:szCs w:val="20"/>
          <w:lang w:val="en-GB"/>
        </w:rPr>
        <w:t>ceftazidime</w:t>
      </w:r>
      <w:proofErr w:type="spellEnd"/>
      <w:r w:rsidR="00736B37">
        <w:rPr>
          <w:rFonts w:ascii="Times" w:eastAsia="Calibri" w:hAnsi="Times" w:cs="Times"/>
          <w:sz w:val="20"/>
          <w:szCs w:val="20"/>
          <w:lang w:val="en-GB"/>
        </w:rPr>
        <w:t xml:space="preserve"> (10-18 mm)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, </w:t>
      </w:r>
      <w:proofErr w:type="spellStart"/>
      <w:r w:rsidRPr="007B0DA8">
        <w:rPr>
          <w:rFonts w:ascii="Times" w:eastAsia="Calibri" w:hAnsi="Times" w:cs="Times"/>
          <w:sz w:val="20"/>
          <w:szCs w:val="20"/>
          <w:lang w:val="en-GB"/>
        </w:rPr>
        <w:t>cefotaxime</w:t>
      </w:r>
      <w:proofErr w:type="spellEnd"/>
      <w:r w:rsidR="00736B37">
        <w:rPr>
          <w:rFonts w:ascii="Times" w:eastAsia="Calibri" w:hAnsi="Times" w:cs="Times"/>
          <w:sz w:val="20"/>
          <w:szCs w:val="20"/>
          <w:lang w:val="en-GB"/>
        </w:rPr>
        <w:t xml:space="preserve"> (17-25 mm)</w:t>
      </w:r>
      <w:r w:rsidRPr="007B0DA8">
        <w:rPr>
          <w:rFonts w:ascii="Times" w:eastAsia="Calibri" w:hAnsi="Times" w:cs="Times"/>
          <w:sz w:val="20"/>
          <w:szCs w:val="20"/>
        </w:rPr>
        <w:t>, and</w:t>
      </w:r>
      <w:r w:rsidRPr="007B0DA8">
        <w:rPr>
          <w:rFonts w:ascii="Times" w:eastAsia="Calibri" w:hAnsi="Times" w:cs="Times"/>
          <w:sz w:val="20"/>
          <w:szCs w:val="20"/>
          <w:cs/>
        </w:rPr>
        <w:t xml:space="preserve"> 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>ceftriaxone</w:t>
      </w:r>
      <w:r w:rsidR="00736B37">
        <w:rPr>
          <w:rFonts w:ascii="Times" w:eastAsia="Calibri" w:hAnsi="Times" w:cs="Times"/>
          <w:sz w:val="20"/>
          <w:szCs w:val="20"/>
          <w:lang w:val="en-GB"/>
        </w:rPr>
        <w:t xml:space="preserve"> (16-24 mm).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 For </w:t>
      </w:r>
      <w:r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 xml:space="preserve">P. </w:t>
      </w:r>
      <w:proofErr w:type="spellStart"/>
      <w:r w:rsidRPr="007B0DA8">
        <w:rPr>
          <w:rFonts w:ascii="Times" w:eastAsia="Calibri" w:hAnsi="Times" w:cs="Times"/>
          <w:i/>
          <w:iCs/>
          <w:sz w:val="20"/>
          <w:szCs w:val="20"/>
          <w:lang w:val="en-GB"/>
        </w:rPr>
        <w:t>aeruginosa</w:t>
      </w:r>
      <w:proofErr w:type="spellEnd"/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 strain ATCC </w:t>
      </w:r>
      <w:r w:rsidRPr="007B0DA8">
        <w:rPr>
          <w:rFonts w:ascii="Times" w:eastAsia="Calibri" w:hAnsi="Times" w:cs="Times"/>
          <w:sz w:val="20"/>
          <w:szCs w:val="20"/>
          <w:cs/>
        </w:rPr>
        <w:t>27853</w:t>
      </w:r>
      <w:r w:rsidRPr="007B0DA8">
        <w:rPr>
          <w:rFonts w:ascii="Times" w:eastAsia="Calibri" w:hAnsi="Times" w:cs="Times"/>
          <w:sz w:val="20"/>
          <w:szCs w:val="20"/>
        </w:rPr>
        <w:t>,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 the </w:t>
      </w:r>
      <w:r w:rsidR="00CC4FAF">
        <w:rPr>
          <w:rFonts w:ascii="Times" w:eastAsia="Calibri" w:hAnsi="Times" w:cs="Times"/>
          <w:sz w:val="20"/>
          <w:szCs w:val="20"/>
          <w:lang w:val="en-GB"/>
        </w:rPr>
        <w:t xml:space="preserve">different 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>clear zone</w:t>
      </w:r>
      <w:r w:rsidRPr="007B0DA8">
        <w:rPr>
          <w:rFonts w:ascii="Times" w:eastAsia="Calibri" w:hAnsi="Times" w:cs="Times"/>
          <w:sz w:val="20"/>
          <w:szCs w:val="20"/>
          <w:cs/>
        </w:rPr>
        <w:t xml:space="preserve"> </w:t>
      </w:r>
      <w:r w:rsidRPr="007B0DA8">
        <w:rPr>
          <w:rFonts w:ascii="Times" w:eastAsia="Calibri" w:hAnsi="Times" w:cs="Times"/>
          <w:sz w:val="20"/>
          <w:szCs w:val="20"/>
        </w:rPr>
        <w:t xml:space="preserve">diameter </w:t>
      </w:r>
      <w:proofErr w:type="gramStart"/>
      <w:r w:rsidRPr="007B0DA8">
        <w:rPr>
          <w:rFonts w:ascii="Times" w:eastAsia="Calibri" w:hAnsi="Times" w:cs="Times"/>
          <w:sz w:val="20"/>
          <w:szCs w:val="20"/>
        </w:rPr>
        <w:t>of</w:t>
      </w:r>
      <w:r w:rsidRPr="007B0DA8">
        <w:rPr>
          <w:rFonts w:ascii="Times" w:eastAsia="Calibri" w:hAnsi="Times" w:cs="Times"/>
          <w:sz w:val="20"/>
          <w:szCs w:val="20"/>
          <w:cs/>
        </w:rPr>
        <w:t xml:space="preserve"> </w:t>
      </w:r>
      <w:r w:rsidR="00CC4FAF">
        <w:rPr>
          <w:rFonts w:ascii="Times" w:eastAsia="Calibri" w:hAnsi="Times" w:hint="cs"/>
          <w:sz w:val="20"/>
          <w:szCs w:val="20"/>
          <w:cs/>
        </w:rPr>
        <w:t xml:space="preserve"> </w:t>
      </w:r>
      <w:r w:rsidR="00CC4FAF">
        <w:rPr>
          <w:rFonts w:ascii="Times" w:eastAsia="Calibri" w:hAnsi="Times"/>
          <w:sz w:val="20"/>
          <w:szCs w:val="20"/>
        </w:rPr>
        <w:t>antibiotics</w:t>
      </w:r>
      <w:proofErr w:type="gramEnd"/>
      <w:r w:rsidR="00CC4FAF">
        <w:rPr>
          <w:rFonts w:ascii="Times" w:eastAsia="Calibri" w:hAnsi="Times"/>
          <w:sz w:val="20"/>
          <w:szCs w:val="20"/>
        </w:rPr>
        <w:t xml:space="preserve"> including </w:t>
      </w:r>
      <w:proofErr w:type="spellStart"/>
      <w:r w:rsidRPr="007B0DA8">
        <w:rPr>
          <w:rFonts w:ascii="Times" w:eastAsia="Calibri" w:hAnsi="Times" w:cs="Times"/>
          <w:sz w:val="20"/>
          <w:szCs w:val="20"/>
          <w:lang w:val="en-GB"/>
        </w:rPr>
        <w:t>piperacillin</w:t>
      </w:r>
      <w:proofErr w:type="spellEnd"/>
      <w:r w:rsidRPr="007B0DA8">
        <w:rPr>
          <w:rFonts w:ascii="Times" w:eastAsia="Calibri" w:hAnsi="Times" w:cs="Times"/>
          <w:sz w:val="20"/>
          <w:szCs w:val="20"/>
          <w:lang w:val="en-GB"/>
        </w:rPr>
        <w:t>/</w:t>
      </w:r>
      <w:proofErr w:type="spellStart"/>
      <w:r w:rsidRPr="007B0DA8">
        <w:rPr>
          <w:rFonts w:ascii="Times" w:eastAsia="Calibri" w:hAnsi="Times" w:cs="Times"/>
          <w:sz w:val="20"/>
          <w:szCs w:val="20"/>
          <w:lang w:val="en-GB"/>
        </w:rPr>
        <w:t>tazobactam</w:t>
      </w:r>
      <w:proofErr w:type="spellEnd"/>
      <w:r w:rsidR="00CC4FAF">
        <w:rPr>
          <w:rFonts w:ascii="Times" w:eastAsia="Calibri" w:hAnsi="Times" w:cs="Times"/>
          <w:sz w:val="20"/>
          <w:szCs w:val="20"/>
          <w:lang w:val="en-GB"/>
        </w:rPr>
        <w:t xml:space="preserve"> (25-33 mm)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 xml:space="preserve">, </w:t>
      </w:r>
      <w:proofErr w:type="spellStart"/>
      <w:r w:rsidRPr="007B0DA8">
        <w:rPr>
          <w:rFonts w:ascii="Times" w:eastAsia="Calibri" w:hAnsi="Times" w:cs="Times"/>
          <w:sz w:val="20"/>
          <w:szCs w:val="20"/>
          <w:lang w:val="en-GB"/>
        </w:rPr>
        <w:t>amikacin</w:t>
      </w:r>
      <w:proofErr w:type="spellEnd"/>
      <w:r w:rsidR="00CC4FAF">
        <w:rPr>
          <w:rFonts w:ascii="Times" w:eastAsia="Calibri" w:hAnsi="Times" w:cs="Times"/>
          <w:sz w:val="20"/>
          <w:szCs w:val="20"/>
          <w:lang w:val="en-GB"/>
        </w:rPr>
        <w:t xml:space="preserve"> (18-26 mm)</w:t>
      </w:r>
      <w:r w:rsidRPr="007B0DA8">
        <w:rPr>
          <w:rFonts w:ascii="Times" w:eastAsia="Calibri" w:hAnsi="Times" w:cs="Times"/>
          <w:sz w:val="20"/>
          <w:szCs w:val="20"/>
          <w:lang w:val="en-GB"/>
        </w:rPr>
        <w:t>, and ciprofloxacin</w:t>
      </w:r>
      <w:r w:rsidR="00CC4FAF">
        <w:rPr>
          <w:rFonts w:ascii="Times" w:eastAsia="Calibri" w:hAnsi="Times" w:cs="Times"/>
          <w:sz w:val="20"/>
          <w:szCs w:val="20"/>
          <w:lang w:val="en-GB"/>
        </w:rPr>
        <w:t xml:space="preserve"> (25-33 mm).</w:t>
      </w:r>
    </w:p>
    <w:p w:rsidR="007B0DA8" w:rsidRPr="007B0DA8" w:rsidRDefault="007B0DA8" w:rsidP="007B0DA8">
      <w:pPr>
        <w:spacing w:after="0" w:line="360" w:lineRule="auto"/>
        <w:rPr>
          <w:rFonts w:ascii="Times New Roman" w:eastAsia="Calibri" w:hAnsi="Times New Roman" w:cs="Cordia New"/>
          <w:color w:val="4472C4"/>
          <w:sz w:val="24"/>
          <w:szCs w:val="24"/>
        </w:rPr>
      </w:pPr>
    </w:p>
    <w:p w:rsidR="003D6162" w:rsidRDefault="003D6162"/>
    <w:sectPr w:rsidR="003D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A8"/>
    <w:rsid w:val="00096BEC"/>
    <w:rsid w:val="000D703A"/>
    <w:rsid w:val="001F6D3C"/>
    <w:rsid w:val="003D6162"/>
    <w:rsid w:val="00736B37"/>
    <w:rsid w:val="007B0DA8"/>
    <w:rsid w:val="00A94EFB"/>
    <w:rsid w:val="00CC4FAF"/>
    <w:rsid w:val="00E21449"/>
    <w:rsid w:val="00F1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2021-01-09T12:11:00Z</dcterms:created>
  <dcterms:modified xsi:type="dcterms:W3CDTF">2021-01-09T12:11:00Z</dcterms:modified>
</cp:coreProperties>
</file>