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07F5D" w14:textId="77777777" w:rsidR="000276B0" w:rsidRDefault="00753374">
      <w:pPr>
        <w:pStyle w:val="Cmsor1"/>
        <w:spacing w:before="156" w:afterLines="50" w:after="156" w:line="480" w:lineRule="auto"/>
        <w:jc w:val="left"/>
        <w:rPr>
          <w:rFonts w:cs="Times New Roman"/>
        </w:rPr>
      </w:pPr>
      <w:bookmarkStart w:id="0" w:name="OLE_LINK2"/>
      <w:bookmarkStart w:id="1" w:name="OLE_LINK24"/>
      <w:bookmarkStart w:id="2" w:name="OLE_LINK26"/>
      <w:r>
        <w:rPr>
          <w:rFonts w:cs="Times New Roman" w:hint="eastAsia"/>
        </w:rPr>
        <w:t>SUPPORTING INFORMATION</w:t>
      </w:r>
    </w:p>
    <w:bookmarkEnd w:id="0"/>
    <w:p w14:paraId="78607F5E" w14:textId="77777777" w:rsidR="000276B0" w:rsidRDefault="00753374">
      <w:pPr>
        <w:pStyle w:val="Cmsor1"/>
        <w:spacing w:before="156" w:afterLines="50" w:after="156" w:line="480" w:lineRule="auto"/>
        <w:jc w:val="left"/>
        <w:rPr>
          <w:rFonts w:cs="Times New Roman"/>
        </w:rPr>
      </w:pPr>
      <w:r>
        <w:rPr>
          <w:rFonts w:cs="Times New Roman" w:hint="eastAsia"/>
        </w:rPr>
        <w:t>S1 TEXT</w:t>
      </w:r>
    </w:p>
    <w:bookmarkEnd w:id="1"/>
    <w:bookmarkEnd w:id="2"/>
    <w:p w14:paraId="0B7C4B0D" w14:textId="77777777" w:rsidR="00753374" w:rsidRDefault="00753374">
      <w:pPr>
        <w:pStyle w:val="Cmsor1"/>
        <w:spacing w:before="156" w:afterLines="50" w:after="156" w:line="480" w:lineRule="auto"/>
        <w:jc w:val="left"/>
        <w:rPr>
          <w:rFonts w:cs="Times New Roman"/>
        </w:rPr>
      </w:pPr>
      <w:r>
        <w:rPr>
          <w:rFonts w:cs="Times New Roman"/>
        </w:rPr>
        <w:t>Section A</w:t>
      </w:r>
    </w:p>
    <w:p w14:paraId="78607F5F" w14:textId="38F44319" w:rsidR="000276B0" w:rsidRDefault="00753374">
      <w:pPr>
        <w:pStyle w:val="Cmsor1"/>
        <w:spacing w:before="156" w:afterLines="50" w:after="156" w:line="480" w:lineRule="auto"/>
        <w:jc w:val="left"/>
        <w:rPr>
          <w:rFonts w:cs="Times New Roman"/>
        </w:rPr>
      </w:pPr>
      <w:r>
        <w:rPr>
          <w:rFonts w:cs="Times New Roman" w:hint="eastAsia"/>
        </w:rPr>
        <w:t>Comparison with other methods for discovering single driver mutation</w:t>
      </w:r>
    </w:p>
    <w:p w14:paraId="78607F60" w14:textId="77777777" w:rsidR="000276B0" w:rsidRDefault="00753374">
      <w:pPr>
        <w:pStyle w:val="NormlWeb"/>
        <w:spacing w:before="156" w:after="156" w:line="480" w:lineRule="auto"/>
        <w:ind w:firstLine="480"/>
        <w:jc w:val="center"/>
      </w:pPr>
      <w:r>
        <w:rPr>
          <w:noProof/>
        </w:rPr>
        <w:drawing>
          <wp:inline distT="0" distB="0" distL="114300" distR="114300" wp14:anchorId="78607FAE" wp14:editId="78607FAF">
            <wp:extent cx="4754880" cy="2001520"/>
            <wp:effectExtent l="0" t="0" r="7620" b="17780"/>
            <wp:docPr id="26" name="图片 1" descr="D:\awa_project\causalInference\paper\PLOS Computational Biology\220811返回意见版本\figures\PLOS_20220811_111453AM\PACE Corrected\figureS1.tiffig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D:\awa_project\causalInference\paper\PLOS Computational Biology\220811返回意见版本\figures\PLOS_20220811_111453AM\PACE Corrected\figureS1.tiffigureS1"/>
                    <pic:cNvPicPr>
                      <a:picLocks noChangeAspect="1"/>
                    </pic:cNvPicPr>
                  </pic:nvPicPr>
                  <pic:blipFill>
                    <a:blip r:embed="rId6"/>
                    <a:srcRect/>
                    <a:stretch>
                      <a:fillRect/>
                    </a:stretch>
                  </pic:blipFill>
                  <pic:spPr>
                    <a:xfrm>
                      <a:off x="0" y="0"/>
                      <a:ext cx="4754880" cy="2001520"/>
                    </a:xfrm>
                    <a:prstGeom prst="rect">
                      <a:avLst/>
                    </a:prstGeom>
                    <a:noFill/>
                    <a:ln>
                      <a:noFill/>
                    </a:ln>
                  </pic:spPr>
                </pic:pic>
              </a:graphicData>
            </a:graphic>
          </wp:inline>
        </w:drawing>
      </w:r>
    </w:p>
    <w:p w14:paraId="78607F61" w14:textId="732411E6" w:rsidR="000276B0" w:rsidRDefault="00753374">
      <w:pPr>
        <w:pStyle w:val="NormlWeb"/>
        <w:spacing w:beforeLines="0" w:before="156" w:afterLines="0" w:after="100" w:afterAutospacing="1"/>
        <w:ind w:firstLineChars="0" w:firstLine="0"/>
        <w:jc w:val="both"/>
        <w:textAlignment w:val="center"/>
      </w:pPr>
      <w:r>
        <w:rPr>
          <w:rFonts w:cs="Times New Roman"/>
          <w:kern w:val="2"/>
          <w:szCs w:val="22"/>
        </w:rPr>
        <w:t>Fig</w:t>
      </w:r>
      <w:r>
        <w:rPr>
          <w:rFonts w:cs="Times New Roman" w:hint="eastAsia"/>
          <w:kern w:val="2"/>
          <w:szCs w:val="22"/>
        </w:rPr>
        <w:t xml:space="preserve"> A</w:t>
      </w:r>
      <w:r>
        <w:rPr>
          <w:rFonts w:cs="Times New Roman"/>
          <w:kern w:val="2"/>
          <w:szCs w:val="22"/>
        </w:rPr>
        <w:t>. Fraction of predicted driver genes present</w:t>
      </w:r>
      <w:r>
        <w:rPr>
          <w:rFonts w:cs="Times New Roman" w:hint="eastAsia"/>
          <w:kern w:val="2"/>
          <w:szCs w:val="22"/>
        </w:rPr>
        <w:t>s</w:t>
      </w:r>
      <w:r>
        <w:rPr>
          <w:rFonts w:cs="Times New Roman"/>
          <w:kern w:val="2"/>
          <w:szCs w:val="22"/>
        </w:rPr>
        <w:t xml:space="preserve"> in CGC</w:t>
      </w:r>
      <w:r>
        <w:rPr>
          <w:rFonts w:cs="Times New Roman" w:hint="eastAsia"/>
          <w:kern w:val="2"/>
          <w:szCs w:val="22"/>
        </w:rPr>
        <w:t xml:space="preserve"> which consists 616 cancer-related mutations</w:t>
      </w:r>
      <w:r>
        <w:rPr>
          <w:rFonts w:cs="Times New Roman"/>
          <w:kern w:val="2"/>
          <w:szCs w:val="22"/>
        </w:rPr>
        <w:t>.</w:t>
      </w:r>
    </w:p>
    <w:p w14:paraId="78607F62" w14:textId="49CF879C" w:rsidR="000276B0" w:rsidRDefault="00753374">
      <w:pPr>
        <w:pStyle w:val="NormlWeb"/>
        <w:spacing w:before="156" w:after="156" w:line="480" w:lineRule="auto"/>
        <w:ind w:firstLine="480"/>
        <w:jc w:val="both"/>
        <w:rPr>
          <w:rFonts w:cs="Times New Roman"/>
        </w:rPr>
      </w:pPr>
      <w:r>
        <w:rPr>
          <w:rFonts w:cs="Times New Roman"/>
        </w:rPr>
        <w:t>We collect the driver mutation list</w:t>
      </w:r>
      <w:r>
        <w:rPr>
          <w:rFonts w:cs="Times New Roman" w:hint="eastAsia"/>
        </w:rPr>
        <w:t xml:space="preserve"> in</w:t>
      </w:r>
      <w:r>
        <w:rPr>
          <w:rFonts w:cs="Times New Roman"/>
        </w:rPr>
        <w:t xml:space="preserve"> Cancer Gene Census (CGC, https://cancer.sanger.ac.uk/census) as </w:t>
      </w:r>
      <w:r>
        <w:rPr>
          <w:rFonts w:cs="Times New Roman" w:hint="eastAsia"/>
        </w:rPr>
        <w:t xml:space="preserve">the </w:t>
      </w:r>
      <w:r>
        <w:rPr>
          <w:rFonts w:cs="Times New Roman"/>
        </w:rPr>
        <w:t xml:space="preserve">ground truth to validate the key mutation predicted by CEBP for DNA replication. Although </w:t>
      </w:r>
      <w:r>
        <w:rPr>
          <w:rFonts w:cs="Times New Roman" w:hint="eastAsia"/>
        </w:rPr>
        <w:t>driver</w:t>
      </w:r>
      <w:r>
        <w:rPr>
          <w:rFonts w:cs="Times New Roman"/>
        </w:rPr>
        <w:t xml:space="preserve"> mutation</w:t>
      </w:r>
      <w:r>
        <w:rPr>
          <w:rFonts w:cs="Times New Roman" w:hint="eastAsia"/>
        </w:rPr>
        <w:t>s</w:t>
      </w:r>
      <w:r>
        <w:rPr>
          <w:rFonts w:cs="Times New Roman"/>
        </w:rPr>
        <w:t xml:space="preserve"> and key mutation</w:t>
      </w:r>
      <w:r>
        <w:rPr>
          <w:rFonts w:cs="Times New Roman" w:hint="eastAsia"/>
        </w:rPr>
        <w:t>s</w:t>
      </w:r>
      <w:r>
        <w:rPr>
          <w:rFonts w:cs="Times New Roman"/>
        </w:rPr>
        <w:t xml:space="preserve"> are different concepts and aims, that is the former is for fin</w:t>
      </w:r>
      <w:r>
        <w:rPr>
          <w:rFonts w:cs="Times New Roman"/>
        </w:rPr>
        <w:t>al tumor formation and the latter is for cancer-related important biological processes, we find some identified key mutations are highly consistent with known driver mutations</w:t>
      </w:r>
      <w:r>
        <w:rPr>
          <w:rFonts w:cs="Times New Roman" w:hint="eastAsia"/>
        </w:rPr>
        <w:t>. We only compare predicted results in the DNA replication process, because CGC c</w:t>
      </w:r>
      <w:r>
        <w:rPr>
          <w:rFonts w:cs="Times New Roman" w:hint="eastAsia"/>
        </w:rPr>
        <w:t>ontains driver mutations that are manually curated or predicted by multiple methods, most of which focus on the cancer cell proliferation process rather than metastasis. Specifically, CEBP evaluates mutations with the top 10 highest ATE values in each canc</w:t>
      </w:r>
      <w:r>
        <w:rPr>
          <w:rFonts w:cs="Times New Roman" w:hint="eastAsia"/>
        </w:rPr>
        <w:t xml:space="preserve">er whether included in CGC database. The bioinformatics method used for the comparison includes </w:t>
      </w:r>
      <w:proofErr w:type="spellStart"/>
      <w:r>
        <w:rPr>
          <w:rFonts w:cs="Times New Roman" w:hint="eastAsia"/>
        </w:rPr>
        <w:t>DriverML</w:t>
      </w:r>
      <w:proofErr w:type="spellEnd"/>
      <w:r>
        <w:rPr>
          <w:rFonts w:cs="Times New Roman" w:hint="eastAsia"/>
        </w:rPr>
        <w:t xml:space="preserve">, </w:t>
      </w:r>
      <w:bookmarkStart w:id="3" w:name="OLE_LINK1"/>
      <w:proofErr w:type="spellStart"/>
      <w:r>
        <w:rPr>
          <w:rFonts w:cs="Times New Roman" w:hint="eastAsia"/>
        </w:rPr>
        <w:t>DriverNet</w:t>
      </w:r>
      <w:proofErr w:type="spellEnd"/>
      <w:r>
        <w:rPr>
          <w:rFonts w:cs="Times New Roman" w:hint="eastAsia"/>
        </w:rPr>
        <w:t xml:space="preserve"> , </w:t>
      </w:r>
      <w:proofErr w:type="spellStart"/>
      <w:r>
        <w:rPr>
          <w:rFonts w:cs="Times New Roman" w:hint="eastAsia"/>
        </w:rPr>
        <w:t>OncoDriveFM</w:t>
      </w:r>
      <w:proofErr w:type="spellEnd"/>
      <w:r>
        <w:rPr>
          <w:rFonts w:cs="Times New Roman" w:hint="eastAsia"/>
        </w:rPr>
        <w:t xml:space="preserve">, Simon, </w:t>
      </w:r>
      <w:proofErr w:type="spellStart"/>
      <w:r>
        <w:rPr>
          <w:rFonts w:cs="Times New Roman" w:hint="eastAsia"/>
        </w:rPr>
        <w:t>ActiveDriver</w:t>
      </w:r>
      <w:proofErr w:type="spellEnd"/>
      <w:r>
        <w:rPr>
          <w:rFonts w:cs="Times New Roman" w:hint="eastAsia"/>
        </w:rPr>
        <w:t>,</w:t>
      </w:r>
      <w:bookmarkEnd w:id="3"/>
      <w:r>
        <w:rPr>
          <w:rFonts w:cs="Times New Roman" w:hint="eastAsia"/>
        </w:rPr>
        <w:t xml:space="preserve"> and SCS. Predictions of </w:t>
      </w:r>
      <w:proofErr w:type="spellStart"/>
      <w:r>
        <w:rPr>
          <w:rFonts w:cs="Times New Roman" w:hint="eastAsia"/>
        </w:rPr>
        <w:t>DriverML</w:t>
      </w:r>
      <w:proofErr w:type="spellEnd"/>
      <w:r>
        <w:rPr>
          <w:rFonts w:cs="Times New Roman" w:hint="eastAsia"/>
        </w:rPr>
        <w:t xml:space="preserve"> and SCS are obtained from the Supplementary data of </w:t>
      </w:r>
      <w:proofErr w:type="spellStart"/>
      <w:r>
        <w:rPr>
          <w:rFonts w:cs="Times New Roman" w:hint="eastAsia"/>
        </w:rPr>
        <w:t>DriverML</w:t>
      </w:r>
      <w:proofErr w:type="spellEnd"/>
      <w:r>
        <w:rPr>
          <w:rFonts w:cs="Times New Roman" w:hint="eastAsia"/>
        </w:rPr>
        <w:t xml:space="preserve"> and predic</w:t>
      </w:r>
      <w:r>
        <w:rPr>
          <w:rFonts w:cs="Times New Roman" w:hint="eastAsia"/>
        </w:rPr>
        <w:t>tions of other methods are from DriverDBv2 database (https://pubmed.ncbi.nlm.nih.gov/26635391/). Fig</w:t>
      </w:r>
      <w:r>
        <w:rPr>
          <w:rFonts w:cs="Times New Roman" w:hint="eastAsia"/>
        </w:rPr>
        <w:t xml:space="preserve"> A</w:t>
      </w:r>
      <w:r>
        <w:rPr>
          <w:rFonts w:cs="Times New Roman" w:hint="eastAsia"/>
        </w:rPr>
        <w:t xml:space="preserve"> displays the proportion of predicted </w:t>
      </w:r>
      <w:r>
        <w:rPr>
          <w:rFonts w:cs="Times New Roman" w:hint="eastAsia"/>
        </w:rPr>
        <w:lastRenderedPageBreak/>
        <w:t>mutations that are presented in CGC across 10 cancers. Our approach is comparable to state-of-the-art methods fo</w:t>
      </w:r>
      <w:r>
        <w:rPr>
          <w:rFonts w:cs="Times New Roman" w:hint="eastAsia"/>
        </w:rPr>
        <w:t>r the discovery of driver mutations and can stable predict driver mutation for each cancer.</w:t>
      </w:r>
    </w:p>
    <w:p w14:paraId="0C57DD38" w14:textId="77777777" w:rsidR="00753374" w:rsidRDefault="00753374">
      <w:pPr>
        <w:pStyle w:val="Cmsor1"/>
        <w:spacing w:before="156" w:afterLines="50" w:after="156" w:line="480" w:lineRule="auto"/>
        <w:jc w:val="left"/>
        <w:rPr>
          <w:rFonts w:cs="Times New Roman"/>
        </w:rPr>
      </w:pPr>
      <w:r>
        <w:rPr>
          <w:rFonts w:cs="Times New Roman"/>
        </w:rPr>
        <w:t>Section B</w:t>
      </w:r>
    </w:p>
    <w:p w14:paraId="78607F63" w14:textId="2729DEDF" w:rsidR="000276B0" w:rsidRPr="00753374" w:rsidRDefault="00753374">
      <w:pPr>
        <w:pStyle w:val="Cmsor1"/>
        <w:spacing w:before="156" w:afterLines="50" w:after="156" w:line="480" w:lineRule="auto"/>
        <w:jc w:val="left"/>
        <w:rPr>
          <w:rFonts w:cs="Times New Roman"/>
        </w:rPr>
      </w:pPr>
      <w:r>
        <w:rPr>
          <w:rFonts w:cs="Times New Roman" w:hint="eastAsia"/>
        </w:rPr>
        <w:t>Parameters analysis of CEBP</w:t>
      </w:r>
    </w:p>
    <w:p w14:paraId="78607F64" w14:textId="77777777" w:rsidR="000276B0" w:rsidRDefault="00753374">
      <w:pPr>
        <w:pStyle w:val="NormlWeb"/>
        <w:spacing w:before="156" w:after="156" w:line="480" w:lineRule="auto"/>
        <w:ind w:firstLine="480"/>
        <w:jc w:val="both"/>
        <w:rPr>
          <w:rFonts w:cs="Times New Roman"/>
        </w:rPr>
      </w:pPr>
      <w:r>
        <w:rPr>
          <w:rFonts w:cs="Times New Roman" w:hint="eastAsia"/>
        </w:rPr>
        <w:t xml:space="preserve">For setting 200 observed confounders in the model, we have two main reasons. First, it is to prevent violations of the </w:t>
      </w:r>
      <w:r>
        <w:rPr>
          <w:rFonts w:cs="Times New Roman" w:hint="eastAsia"/>
        </w:rPr>
        <w:t>positivity assumption in causal inference. Positivity requires that each subgroup of the data with different covariates has a certain probability of getting all the treatment values (for the binary treatment model, the treatment value is 0 and 1). There ex</w:t>
      </w:r>
      <w:r>
        <w:rPr>
          <w:rFonts w:cs="Times New Roman" w:hint="eastAsia"/>
        </w:rPr>
        <w:t xml:space="preserve">ists a trade-off between the positivity assumption and the </w:t>
      </w:r>
      <w:proofErr w:type="spellStart"/>
      <w:r>
        <w:rPr>
          <w:rFonts w:cs="Times New Roman" w:hint="eastAsia"/>
        </w:rPr>
        <w:t>unconfoundedness</w:t>
      </w:r>
      <w:proofErr w:type="spellEnd"/>
      <w:r>
        <w:rPr>
          <w:rFonts w:cs="Times New Roman" w:hint="eastAsia"/>
        </w:rPr>
        <w:t xml:space="preserve"> assumption: although considering more confounders may lead to a higher probability of satisfying the </w:t>
      </w:r>
      <w:proofErr w:type="spellStart"/>
      <w:r>
        <w:rPr>
          <w:rFonts w:cs="Times New Roman" w:hint="eastAsia"/>
        </w:rPr>
        <w:t>unconfoundedness</w:t>
      </w:r>
      <w:proofErr w:type="spellEnd"/>
      <w:r>
        <w:rPr>
          <w:rFonts w:cs="Times New Roman" w:hint="eastAsia"/>
        </w:rPr>
        <w:t>, it also may lead to a higher probability of violating the pos</w:t>
      </w:r>
      <w:r>
        <w:rPr>
          <w:rFonts w:cs="Times New Roman" w:hint="eastAsia"/>
        </w:rPr>
        <w:t>itivity. Therefore, we don</w:t>
      </w:r>
      <w:r>
        <w:rPr>
          <w:rFonts w:cs="Times New Roman"/>
        </w:rPr>
        <w:t>’</w:t>
      </w:r>
      <w:r>
        <w:rPr>
          <w:rFonts w:cs="Times New Roman" w:hint="eastAsia"/>
        </w:rPr>
        <w:t>t consider all mutations as confounders, but a portion of mutations with high mutation rates as confounders. Secondly, as shown in Table 3, the number of samples and gene mutation frequencies are very different across cancer type</w:t>
      </w:r>
      <w:r>
        <w:rPr>
          <w:rFonts w:cs="Times New Roman" w:hint="eastAsia"/>
        </w:rPr>
        <w:t xml:space="preserve">s, and we attempt to consider these two numbers and make a generic assumption of the number of observed confounders. </w:t>
      </w:r>
    </w:p>
    <w:p w14:paraId="78607F65" w14:textId="3C44FB78" w:rsidR="000276B0" w:rsidRDefault="00753374">
      <w:pPr>
        <w:pStyle w:val="NormlWeb"/>
        <w:spacing w:before="156" w:after="156" w:line="480" w:lineRule="auto"/>
        <w:ind w:firstLine="480"/>
        <w:jc w:val="both"/>
        <w:rPr>
          <w:rFonts w:cs="Times New Roman"/>
        </w:rPr>
      </w:pPr>
      <w:r>
        <w:rPr>
          <w:rFonts w:cs="Times New Roman" w:hint="eastAsia"/>
        </w:rPr>
        <w:t>Regarding the parameter 20 for hidden confounders in the model, on one hand, it doesn</w:t>
      </w:r>
      <w:r>
        <w:rPr>
          <w:rFonts w:cs="Times New Roman" w:hint="eastAsia"/>
        </w:rPr>
        <w:t>'</w:t>
      </w:r>
      <w:r>
        <w:rPr>
          <w:rFonts w:cs="Times New Roman" w:hint="eastAsia"/>
        </w:rPr>
        <w:t>t indicate the absolute number of hidden confounders</w:t>
      </w:r>
      <w:r>
        <w:rPr>
          <w:rFonts w:cs="Times New Roman" w:hint="eastAsia"/>
        </w:rPr>
        <w:t xml:space="preserve"> in the biological system is 20. Actually, we don</w:t>
      </w:r>
      <w:r>
        <w:rPr>
          <w:rFonts w:cs="Times New Roman" w:hint="eastAsia"/>
        </w:rPr>
        <w:t>'</w:t>
      </w:r>
      <w:r>
        <w:rPr>
          <w:rFonts w:cs="Times New Roman" w:hint="eastAsia"/>
        </w:rPr>
        <w:t xml:space="preserve">t exactly know how many and what they are. The hidden confounder is represented by a hidden layer of the VAE model and 20 hidden confounders mean that the hidden layer is 20-dimensional. On the other hand, </w:t>
      </w:r>
      <w:r>
        <w:rPr>
          <w:rFonts w:cs="Times New Roman" w:hint="eastAsia"/>
        </w:rPr>
        <w:t>through conducting a parameter analysis, we find that results are stable and are less affected by parameter values. When setting dimensions of the hidden layer of the model as 10, 20, 30, 40, and 50, respectively, and repeating the experiments 10 times, we</w:t>
      </w:r>
      <w:r>
        <w:rPr>
          <w:rFonts w:cs="Times New Roman" w:hint="eastAsia"/>
        </w:rPr>
        <w:t xml:space="preserve"> calculate the causal effect of TP53 mutation on the DNA replication and EMT in BRCA and LUAD, and the mean and variance of ATE values are shown in Table </w:t>
      </w:r>
      <w:r>
        <w:rPr>
          <w:rFonts w:cs="Times New Roman" w:hint="eastAsia"/>
        </w:rPr>
        <w:t>A</w:t>
      </w:r>
      <w:r>
        <w:rPr>
          <w:rFonts w:cs="Times New Roman" w:hint="eastAsia"/>
        </w:rPr>
        <w:t xml:space="preserve"> and Table </w:t>
      </w:r>
      <w:r>
        <w:rPr>
          <w:rFonts w:cs="Times New Roman" w:hint="eastAsia"/>
        </w:rPr>
        <w:t>B</w:t>
      </w:r>
      <w:r>
        <w:rPr>
          <w:rFonts w:cs="Times New Roman" w:hint="eastAsia"/>
        </w:rPr>
        <w:t>.</w:t>
      </w:r>
    </w:p>
    <w:p w14:paraId="78607F66" w14:textId="3D6FF84B" w:rsidR="000276B0" w:rsidRDefault="00753374">
      <w:pPr>
        <w:spacing w:before="156" w:after="156"/>
        <w:ind w:firstLine="480"/>
        <w:jc w:val="center"/>
        <w:textAlignment w:val="center"/>
        <w:rPr>
          <w:rFonts w:cs="Times New Roman"/>
          <w:kern w:val="2"/>
        </w:rPr>
      </w:pPr>
      <w:r>
        <w:rPr>
          <w:rFonts w:cs="Times New Roman" w:hint="eastAsia"/>
          <w:kern w:val="2"/>
        </w:rPr>
        <w:lastRenderedPageBreak/>
        <w:t xml:space="preserve">Table </w:t>
      </w:r>
      <w:r>
        <w:rPr>
          <w:rFonts w:cs="Times New Roman" w:hint="eastAsia"/>
          <w:kern w:val="2"/>
        </w:rPr>
        <w:t>A</w:t>
      </w:r>
      <w:r>
        <w:rPr>
          <w:rFonts w:cs="Times New Roman" w:hint="eastAsia"/>
          <w:kern w:val="2"/>
        </w:rPr>
        <w:t>. The causal effect of TP53 mutation on DNA replication and EMT of BRCA un</w:t>
      </w:r>
      <w:r>
        <w:rPr>
          <w:rFonts w:cs="Times New Roman" w:hint="eastAsia"/>
          <w:kern w:val="2"/>
        </w:rPr>
        <w:t xml:space="preserve">der different numbers of hidden confounders settings. </w:t>
      </w:r>
    </w:p>
    <w:tbl>
      <w:tblPr>
        <w:tblW w:w="7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86"/>
        <w:gridCol w:w="1569"/>
        <w:gridCol w:w="2166"/>
        <w:gridCol w:w="1689"/>
      </w:tblGrid>
      <w:tr w:rsidR="000276B0" w14:paraId="78607F69" w14:textId="77777777">
        <w:trPr>
          <w:trHeight w:val="340"/>
          <w:jc w:val="center"/>
        </w:trPr>
        <w:tc>
          <w:tcPr>
            <w:tcW w:w="3855" w:type="dxa"/>
            <w:gridSpan w:val="2"/>
            <w:tcBorders>
              <w:top w:val="double" w:sz="4" w:space="0" w:color="auto"/>
              <w:bottom w:val="double" w:sz="4" w:space="0" w:color="auto"/>
            </w:tcBorders>
            <w:shd w:val="clear" w:color="auto" w:fill="auto"/>
            <w:noWrap/>
            <w:tcMar>
              <w:top w:w="15" w:type="dxa"/>
              <w:left w:w="15" w:type="dxa"/>
              <w:right w:w="15" w:type="dxa"/>
            </w:tcMar>
            <w:vAlign w:val="center"/>
          </w:tcPr>
          <w:p w14:paraId="78607F67"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 xml:space="preserve">ATE of </w:t>
            </w:r>
            <w:r>
              <w:rPr>
                <w:rFonts w:cs="Times New Roman" w:hint="eastAsia"/>
                <w:i/>
                <w:kern w:val="2"/>
                <w:sz w:val="20"/>
                <w:szCs w:val="20"/>
                <w:lang w:bidi="ar"/>
              </w:rPr>
              <w:t>TP53</w:t>
            </w:r>
            <w:r>
              <w:rPr>
                <w:rFonts w:cs="Times New Roman"/>
                <w:kern w:val="2"/>
                <w:sz w:val="20"/>
                <w:szCs w:val="20"/>
                <w:lang w:bidi="ar"/>
              </w:rPr>
              <w:t xml:space="preserve"> of BRCA on DNA replication</w:t>
            </w:r>
          </w:p>
        </w:tc>
        <w:tc>
          <w:tcPr>
            <w:tcW w:w="3855" w:type="dxa"/>
            <w:gridSpan w:val="2"/>
            <w:tcBorders>
              <w:top w:val="double" w:sz="4" w:space="0" w:color="auto"/>
              <w:bottom w:val="double" w:sz="4" w:space="0" w:color="auto"/>
            </w:tcBorders>
            <w:shd w:val="clear" w:color="auto" w:fill="auto"/>
            <w:noWrap/>
            <w:tcMar>
              <w:top w:w="15" w:type="dxa"/>
              <w:left w:w="15" w:type="dxa"/>
              <w:right w:w="15" w:type="dxa"/>
            </w:tcMar>
            <w:vAlign w:val="center"/>
          </w:tcPr>
          <w:p w14:paraId="78607F68"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 xml:space="preserve">ATE of </w:t>
            </w:r>
            <w:r>
              <w:rPr>
                <w:rFonts w:cs="Times New Roman" w:hint="eastAsia"/>
                <w:i/>
                <w:kern w:val="2"/>
                <w:sz w:val="20"/>
                <w:szCs w:val="20"/>
                <w:lang w:bidi="ar"/>
              </w:rPr>
              <w:t>TP53</w:t>
            </w:r>
            <w:r>
              <w:rPr>
                <w:rFonts w:cs="Times New Roman"/>
                <w:kern w:val="2"/>
                <w:sz w:val="20"/>
                <w:szCs w:val="20"/>
                <w:lang w:bidi="ar"/>
              </w:rPr>
              <w:t xml:space="preserve"> of BRCA on EMT</w:t>
            </w:r>
          </w:p>
        </w:tc>
      </w:tr>
      <w:tr w:rsidR="000276B0" w14:paraId="78607F6E" w14:textId="77777777">
        <w:trPr>
          <w:trHeight w:val="340"/>
          <w:jc w:val="center"/>
        </w:trPr>
        <w:tc>
          <w:tcPr>
            <w:tcW w:w="2286" w:type="dxa"/>
            <w:tcBorders>
              <w:top w:val="double" w:sz="4" w:space="0" w:color="auto"/>
              <w:bottom w:val="double" w:sz="4" w:space="0" w:color="auto"/>
            </w:tcBorders>
            <w:shd w:val="clear" w:color="auto" w:fill="auto"/>
            <w:noWrap/>
            <w:tcMar>
              <w:top w:w="15" w:type="dxa"/>
              <w:left w:w="15" w:type="dxa"/>
              <w:right w:w="15" w:type="dxa"/>
            </w:tcMar>
            <w:vAlign w:val="center"/>
          </w:tcPr>
          <w:p w14:paraId="78607F6A"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#Hidden confounder</w:t>
            </w:r>
          </w:p>
        </w:tc>
        <w:tc>
          <w:tcPr>
            <w:tcW w:w="1569" w:type="dxa"/>
            <w:tcBorders>
              <w:top w:val="double" w:sz="4" w:space="0" w:color="auto"/>
              <w:bottom w:val="double" w:sz="4" w:space="0" w:color="auto"/>
            </w:tcBorders>
            <w:shd w:val="clear" w:color="auto" w:fill="auto"/>
            <w:noWrap/>
            <w:tcMar>
              <w:top w:w="15" w:type="dxa"/>
              <w:left w:w="15" w:type="dxa"/>
              <w:right w:w="15" w:type="dxa"/>
            </w:tcMar>
            <w:vAlign w:val="center"/>
          </w:tcPr>
          <w:p w14:paraId="78607F6B"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ATE</w:t>
            </w:r>
          </w:p>
        </w:tc>
        <w:tc>
          <w:tcPr>
            <w:tcW w:w="2166" w:type="dxa"/>
            <w:tcBorders>
              <w:top w:val="double" w:sz="4" w:space="0" w:color="auto"/>
              <w:bottom w:val="double" w:sz="4" w:space="0" w:color="auto"/>
            </w:tcBorders>
            <w:shd w:val="clear" w:color="auto" w:fill="auto"/>
            <w:noWrap/>
            <w:tcMar>
              <w:top w:w="15" w:type="dxa"/>
              <w:left w:w="15" w:type="dxa"/>
              <w:right w:w="15" w:type="dxa"/>
            </w:tcMar>
            <w:vAlign w:val="center"/>
          </w:tcPr>
          <w:p w14:paraId="78607F6C"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#Hidden confounder</w:t>
            </w:r>
          </w:p>
        </w:tc>
        <w:tc>
          <w:tcPr>
            <w:tcW w:w="1689" w:type="dxa"/>
            <w:tcBorders>
              <w:top w:val="double" w:sz="4" w:space="0" w:color="auto"/>
              <w:bottom w:val="double" w:sz="4" w:space="0" w:color="auto"/>
            </w:tcBorders>
            <w:shd w:val="clear" w:color="auto" w:fill="auto"/>
            <w:noWrap/>
            <w:tcMar>
              <w:top w:w="15" w:type="dxa"/>
              <w:left w:w="15" w:type="dxa"/>
              <w:right w:w="15" w:type="dxa"/>
            </w:tcMar>
            <w:vAlign w:val="center"/>
          </w:tcPr>
          <w:p w14:paraId="78607F6D"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ATE</w:t>
            </w:r>
          </w:p>
        </w:tc>
      </w:tr>
      <w:tr w:rsidR="000276B0" w14:paraId="78607F73" w14:textId="77777777">
        <w:trPr>
          <w:trHeight w:val="340"/>
          <w:jc w:val="center"/>
        </w:trPr>
        <w:tc>
          <w:tcPr>
            <w:tcW w:w="2286" w:type="dxa"/>
            <w:tcBorders>
              <w:top w:val="double" w:sz="4" w:space="0" w:color="auto"/>
            </w:tcBorders>
            <w:shd w:val="clear" w:color="auto" w:fill="auto"/>
            <w:noWrap/>
            <w:tcMar>
              <w:top w:w="15" w:type="dxa"/>
              <w:left w:w="15" w:type="dxa"/>
              <w:right w:w="15" w:type="dxa"/>
            </w:tcMar>
            <w:vAlign w:val="center"/>
          </w:tcPr>
          <w:p w14:paraId="78607F6F"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10</w:t>
            </w:r>
          </w:p>
        </w:tc>
        <w:tc>
          <w:tcPr>
            <w:tcW w:w="1569" w:type="dxa"/>
            <w:tcBorders>
              <w:top w:val="double" w:sz="4" w:space="0" w:color="auto"/>
            </w:tcBorders>
            <w:shd w:val="clear" w:color="auto" w:fill="auto"/>
            <w:noWrap/>
            <w:tcMar>
              <w:top w:w="15" w:type="dxa"/>
              <w:left w:w="15" w:type="dxa"/>
              <w:right w:w="15" w:type="dxa"/>
            </w:tcMar>
            <w:vAlign w:val="center"/>
          </w:tcPr>
          <w:p w14:paraId="78607F70"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0.132±0.005</w:t>
            </w:r>
          </w:p>
        </w:tc>
        <w:tc>
          <w:tcPr>
            <w:tcW w:w="2166" w:type="dxa"/>
            <w:tcBorders>
              <w:top w:val="double" w:sz="4" w:space="0" w:color="auto"/>
            </w:tcBorders>
            <w:shd w:val="clear" w:color="auto" w:fill="auto"/>
            <w:noWrap/>
            <w:tcMar>
              <w:top w:w="15" w:type="dxa"/>
              <w:left w:w="15" w:type="dxa"/>
              <w:right w:w="15" w:type="dxa"/>
            </w:tcMar>
            <w:vAlign w:val="center"/>
          </w:tcPr>
          <w:p w14:paraId="78607F71"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10</w:t>
            </w:r>
          </w:p>
        </w:tc>
        <w:tc>
          <w:tcPr>
            <w:tcW w:w="1689" w:type="dxa"/>
            <w:tcBorders>
              <w:top w:val="double" w:sz="4" w:space="0" w:color="auto"/>
            </w:tcBorders>
            <w:shd w:val="clear" w:color="auto" w:fill="auto"/>
            <w:noWrap/>
            <w:tcMar>
              <w:top w:w="15" w:type="dxa"/>
              <w:left w:w="15" w:type="dxa"/>
              <w:right w:w="15" w:type="dxa"/>
            </w:tcMar>
            <w:vAlign w:val="center"/>
          </w:tcPr>
          <w:p w14:paraId="78607F72"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0.044±0.004</w:t>
            </w:r>
          </w:p>
        </w:tc>
      </w:tr>
      <w:tr w:rsidR="000276B0" w14:paraId="78607F78" w14:textId="77777777">
        <w:trPr>
          <w:trHeight w:val="340"/>
          <w:jc w:val="center"/>
        </w:trPr>
        <w:tc>
          <w:tcPr>
            <w:tcW w:w="2286" w:type="dxa"/>
            <w:shd w:val="clear" w:color="auto" w:fill="auto"/>
            <w:noWrap/>
            <w:tcMar>
              <w:top w:w="15" w:type="dxa"/>
              <w:left w:w="15" w:type="dxa"/>
              <w:right w:w="15" w:type="dxa"/>
            </w:tcMar>
            <w:vAlign w:val="center"/>
          </w:tcPr>
          <w:p w14:paraId="78607F74"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20</w:t>
            </w:r>
          </w:p>
        </w:tc>
        <w:tc>
          <w:tcPr>
            <w:tcW w:w="1569" w:type="dxa"/>
            <w:shd w:val="clear" w:color="auto" w:fill="auto"/>
            <w:noWrap/>
            <w:tcMar>
              <w:top w:w="15" w:type="dxa"/>
              <w:left w:w="15" w:type="dxa"/>
              <w:right w:w="15" w:type="dxa"/>
            </w:tcMar>
            <w:vAlign w:val="center"/>
          </w:tcPr>
          <w:p w14:paraId="78607F75"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0.138±0.006</w:t>
            </w:r>
          </w:p>
        </w:tc>
        <w:tc>
          <w:tcPr>
            <w:tcW w:w="2166" w:type="dxa"/>
            <w:shd w:val="clear" w:color="auto" w:fill="auto"/>
            <w:noWrap/>
            <w:tcMar>
              <w:top w:w="15" w:type="dxa"/>
              <w:left w:w="15" w:type="dxa"/>
              <w:right w:w="15" w:type="dxa"/>
            </w:tcMar>
            <w:vAlign w:val="center"/>
          </w:tcPr>
          <w:p w14:paraId="78607F76"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20</w:t>
            </w:r>
          </w:p>
        </w:tc>
        <w:tc>
          <w:tcPr>
            <w:tcW w:w="1689" w:type="dxa"/>
            <w:shd w:val="clear" w:color="auto" w:fill="auto"/>
            <w:noWrap/>
            <w:tcMar>
              <w:top w:w="15" w:type="dxa"/>
              <w:left w:w="15" w:type="dxa"/>
              <w:right w:w="15" w:type="dxa"/>
            </w:tcMar>
            <w:vAlign w:val="center"/>
          </w:tcPr>
          <w:p w14:paraId="78607F77"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0.048±0.005</w:t>
            </w:r>
          </w:p>
        </w:tc>
      </w:tr>
      <w:tr w:rsidR="000276B0" w14:paraId="78607F7D" w14:textId="77777777">
        <w:trPr>
          <w:trHeight w:val="340"/>
          <w:jc w:val="center"/>
        </w:trPr>
        <w:tc>
          <w:tcPr>
            <w:tcW w:w="2286" w:type="dxa"/>
            <w:shd w:val="clear" w:color="auto" w:fill="auto"/>
            <w:noWrap/>
            <w:tcMar>
              <w:top w:w="15" w:type="dxa"/>
              <w:left w:w="15" w:type="dxa"/>
              <w:right w:w="15" w:type="dxa"/>
            </w:tcMar>
            <w:vAlign w:val="center"/>
          </w:tcPr>
          <w:p w14:paraId="78607F79"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30</w:t>
            </w:r>
          </w:p>
        </w:tc>
        <w:tc>
          <w:tcPr>
            <w:tcW w:w="1569" w:type="dxa"/>
            <w:shd w:val="clear" w:color="auto" w:fill="auto"/>
            <w:noWrap/>
            <w:tcMar>
              <w:top w:w="15" w:type="dxa"/>
              <w:left w:w="15" w:type="dxa"/>
              <w:right w:w="15" w:type="dxa"/>
            </w:tcMar>
            <w:vAlign w:val="center"/>
          </w:tcPr>
          <w:p w14:paraId="78607F7A"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0.138±0.004</w:t>
            </w:r>
          </w:p>
        </w:tc>
        <w:tc>
          <w:tcPr>
            <w:tcW w:w="2166" w:type="dxa"/>
            <w:shd w:val="clear" w:color="auto" w:fill="auto"/>
            <w:noWrap/>
            <w:tcMar>
              <w:top w:w="15" w:type="dxa"/>
              <w:left w:w="15" w:type="dxa"/>
              <w:right w:w="15" w:type="dxa"/>
            </w:tcMar>
            <w:vAlign w:val="center"/>
          </w:tcPr>
          <w:p w14:paraId="78607F7B"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30</w:t>
            </w:r>
          </w:p>
        </w:tc>
        <w:tc>
          <w:tcPr>
            <w:tcW w:w="1689" w:type="dxa"/>
            <w:shd w:val="clear" w:color="auto" w:fill="auto"/>
            <w:noWrap/>
            <w:tcMar>
              <w:top w:w="15" w:type="dxa"/>
              <w:left w:w="15" w:type="dxa"/>
              <w:right w:w="15" w:type="dxa"/>
            </w:tcMar>
            <w:vAlign w:val="center"/>
          </w:tcPr>
          <w:p w14:paraId="78607F7C"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0.042±0.005</w:t>
            </w:r>
          </w:p>
        </w:tc>
      </w:tr>
      <w:tr w:rsidR="000276B0" w14:paraId="78607F82" w14:textId="77777777">
        <w:trPr>
          <w:trHeight w:val="340"/>
          <w:jc w:val="center"/>
        </w:trPr>
        <w:tc>
          <w:tcPr>
            <w:tcW w:w="2286" w:type="dxa"/>
            <w:shd w:val="clear" w:color="auto" w:fill="auto"/>
            <w:noWrap/>
            <w:tcMar>
              <w:top w:w="15" w:type="dxa"/>
              <w:left w:w="15" w:type="dxa"/>
              <w:right w:w="15" w:type="dxa"/>
            </w:tcMar>
            <w:vAlign w:val="center"/>
          </w:tcPr>
          <w:p w14:paraId="78607F7E"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40</w:t>
            </w:r>
          </w:p>
        </w:tc>
        <w:tc>
          <w:tcPr>
            <w:tcW w:w="1569" w:type="dxa"/>
            <w:shd w:val="clear" w:color="auto" w:fill="auto"/>
            <w:noWrap/>
            <w:tcMar>
              <w:top w:w="15" w:type="dxa"/>
              <w:left w:w="15" w:type="dxa"/>
              <w:right w:w="15" w:type="dxa"/>
            </w:tcMar>
            <w:vAlign w:val="center"/>
          </w:tcPr>
          <w:p w14:paraId="78607F7F"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0.137±0.005</w:t>
            </w:r>
          </w:p>
        </w:tc>
        <w:tc>
          <w:tcPr>
            <w:tcW w:w="2166" w:type="dxa"/>
            <w:shd w:val="clear" w:color="auto" w:fill="auto"/>
            <w:noWrap/>
            <w:tcMar>
              <w:top w:w="15" w:type="dxa"/>
              <w:left w:w="15" w:type="dxa"/>
              <w:right w:w="15" w:type="dxa"/>
            </w:tcMar>
            <w:vAlign w:val="center"/>
          </w:tcPr>
          <w:p w14:paraId="78607F80"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40</w:t>
            </w:r>
          </w:p>
        </w:tc>
        <w:tc>
          <w:tcPr>
            <w:tcW w:w="1689" w:type="dxa"/>
            <w:shd w:val="clear" w:color="auto" w:fill="auto"/>
            <w:noWrap/>
            <w:tcMar>
              <w:top w:w="15" w:type="dxa"/>
              <w:left w:w="15" w:type="dxa"/>
              <w:right w:w="15" w:type="dxa"/>
            </w:tcMar>
            <w:vAlign w:val="center"/>
          </w:tcPr>
          <w:p w14:paraId="78607F81"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0.047±0.001</w:t>
            </w:r>
          </w:p>
        </w:tc>
      </w:tr>
      <w:tr w:rsidR="000276B0" w14:paraId="78607F87" w14:textId="77777777">
        <w:trPr>
          <w:trHeight w:val="340"/>
          <w:jc w:val="center"/>
        </w:trPr>
        <w:tc>
          <w:tcPr>
            <w:tcW w:w="2286" w:type="dxa"/>
            <w:shd w:val="clear" w:color="auto" w:fill="auto"/>
            <w:noWrap/>
            <w:tcMar>
              <w:top w:w="15" w:type="dxa"/>
              <w:left w:w="15" w:type="dxa"/>
              <w:right w:w="15" w:type="dxa"/>
            </w:tcMar>
            <w:vAlign w:val="center"/>
          </w:tcPr>
          <w:p w14:paraId="78607F83"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50</w:t>
            </w:r>
          </w:p>
        </w:tc>
        <w:tc>
          <w:tcPr>
            <w:tcW w:w="1569" w:type="dxa"/>
            <w:shd w:val="clear" w:color="auto" w:fill="auto"/>
            <w:noWrap/>
            <w:tcMar>
              <w:top w:w="15" w:type="dxa"/>
              <w:left w:w="15" w:type="dxa"/>
              <w:right w:w="15" w:type="dxa"/>
            </w:tcMar>
            <w:vAlign w:val="center"/>
          </w:tcPr>
          <w:p w14:paraId="78607F84"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0.139±0.004</w:t>
            </w:r>
          </w:p>
        </w:tc>
        <w:tc>
          <w:tcPr>
            <w:tcW w:w="2166" w:type="dxa"/>
            <w:shd w:val="clear" w:color="auto" w:fill="auto"/>
            <w:noWrap/>
            <w:tcMar>
              <w:top w:w="15" w:type="dxa"/>
              <w:left w:w="15" w:type="dxa"/>
              <w:right w:w="15" w:type="dxa"/>
            </w:tcMar>
            <w:vAlign w:val="center"/>
          </w:tcPr>
          <w:p w14:paraId="78607F85"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50</w:t>
            </w:r>
          </w:p>
        </w:tc>
        <w:tc>
          <w:tcPr>
            <w:tcW w:w="1689" w:type="dxa"/>
            <w:shd w:val="clear" w:color="auto" w:fill="auto"/>
            <w:noWrap/>
            <w:tcMar>
              <w:top w:w="15" w:type="dxa"/>
              <w:left w:w="15" w:type="dxa"/>
              <w:right w:w="15" w:type="dxa"/>
            </w:tcMar>
            <w:vAlign w:val="center"/>
          </w:tcPr>
          <w:p w14:paraId="78607F86" w14:textId="77777777" w:rsidR="000276B0" w:rsidRDefault="00753374">
            <w:pPr>
              <w:spacing w:beforeLines="0" w:before="0" w:afterLines="0" w:after="0"/>
              <w:ind w:firstLineChars="0" w:firstLine="0"/>
              <w:jc w:val="center"/>
              <w:textAlignment w:val="center"/>
              <w:rPr>
                <w:rFonts w:cs="Times New Roman"/>
                <w:kern w:val="2"/>
                <w:sz w:val="20"/>
                <w:szCs w:val="20"/>
                <w:lang w:bidi="ar"/>
              </w:rPr>
            </w:pPr>
            <w:r>
              <w:rPr>
                <w:rFonts w:cs="Times New Roman"/>
                <w:kern w:val="2"/>
                <w:sz w:val="20"/>
                <w:szCs w:val="20"/>
                <w:lang w:bidi="ar"/>
              </w:rPr>
              <w:t>0.043±0.004</w:t>
            </w:r>
          </w:p>
        </w:tc>
      </w:tr>
    </w:tbl>
    <w:p w14:paraId="78607F88" w14:textId="0B953CF3" w:rsidR="000276B0" w:rsidRDefault="00753374">
      <w:pPr>
        <w:spacing w:before="156" w:after="156"/>
        <w:ind w:firstLine="480"/>
        <w:jc w:val="center"/>
        <w:textAlignment w:val="center"/>
        <w:rPr>
          <w:rFonts w:cs="Times New Roman"/>
          <w:kern w:val="2"/>
        </w:rPr>
      </w:pPr>
      <w:r>
        <w:rPr>
          <w:rFonts w:cs="Times New Roman" w:hint="eastAsia"/>
          <w:kern w:val="2"/>
        </w:rPr>
        <w:t xml:space="preserve">Table </w:t>
      </w:r>
      <w:r>
        <w:rPr>
          <w:rFonts w:cs="Times New Roman" w:hint="eastAsia"/>
          <w:kern w:val="2"/>
        </w:rPr>
        <w:t>B</w:t>
      </w:r>
      <w:r>
        <w:rPr>
          <w:rFonts w:cs="Times New Roman" w:hint="eastAsia"/>
          <w:kern w:val="2"/>
        </w:rPr>
        <w:t xml:space="preserve">. The causal effect of TP53 mutation on DNA replication and EMT of LUAD under different numbers of hidden confounders settings. </w:t>
      </w:r>
    </w:p>
    <w:tbl>
      <w:tblPr>
        <w:tblW w:w="7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86"/>
        <w:gridCol w:w="1569"/>
        <w:gridCol w:w="2156"/>
        <w:gridCol w:w="1699"/>
      </w:tblGrid>
      <w:tr w:rsidR="000276B0" w14:paraId="78607F8B" w14:textId="77777777">
        <w:trPr>
          <w:trHeight w:val="340"/>
          <w:jc w:val="center"/>
        </w:trPr>
        <w:tc>
          <w:tcPr>
            <w:tcW w:w="3855" w:type="dxa"/>
            <w:gridSpan w:val="2"/>
            <w:tcBorders>
              <w:top w:val="double" w:sz="4" w:space="0" w:color="auto"/>
              <w:bottom w:val="double" w:sz="4" w:space="0" w:color="auto"/>
            </w:tcBorders>
            <w:shd w:val="clear" w:color="auto" w:fill="auto"/>
            <w:noWrap/>
            <w:tcMar>
              <w:top w:w="15" w:type="dxa"/>
              <w:left w:w="15" w:type="dxa"/>
              <w:right w:w="15" w:type="dxa"/>
            </w:tcMar>
            <w:vAlign w:val="center"/>
          </w:tcPr>
          <w:p w14:paraId="78607F89" w14:textId="77777777" w:rsidR="000276B0" w:rsidRDefault="00753374">
            <w:pPr>
              <w:spacing w:beforeLines="0" w:before="0" w:afterLines="0" w:after="0"/>
              <w:ind w:firstLineChars="0" w:firstLine="0"/>
              <w:jc w:val="center"/>
              <w:textAlignment w:val="center"/>
              <w:rPr>
                <w:rFonts w:cs="Times New Roman"/>
                <w:kern w:val="2"/>
                <w:sz w:val="20"/>
                <w:szCs w:val="20"/>
              </w:rPr>
            </w:pPr>
            <w:bookmarkStart w:id="4" w:name="OLE_LINK3"/>
            <w:r>
              <w:rPr>
                <w:rFonts w:cs="Times New Roman"/>
                <w:kern w:val="2"/>
                <w:sz w:val="20"/>
                <w:szCs w:val="20"/>
                <w:lang w:bidi="ar"/>
              </w:rPr>
              <w:t xml:space="preserve">ATE of </w:t>
            </w:r>
            <w:r>
              <w:rPr>
                <w:rFonts w:cs="Times New Roman" w:hint="eastAsia"/>
                <w:i/>
                <w:kern w:val="2"/>
                <w:sz w:val="20"/>
                <w:szCs w:val="20"/>
                <w:lang w:bidi="ar"/>
              </w:rPr>
              <w:t>TP53</w:t>
            </w:r>
            <w:r>
              <w:rPr>
                <w:rFonts w:cs="Times New Roman"/>
                <w:kern w:val="2"/>
                <w:sz w:val="20"/>
                <w:szCs w:val="20"/>
                <w:lang w:bidi="ar"/>
              </w:rPr>
              <w:t xml:space="preserve"> of LUAD on DNA replication</w:t>
            </w:r>
          </w:p>
        </w:tc>
        <w:tc>
          <w:tcPr>
            <w:tcW w:w="3855" w:type="dxa"/>
            <w:gridSpan w:val="2"/>
            <w:tcBorders>
              <w:top w:val="double" w:sz="4" w:space="0" w:color="auto"/>
              <w:bottom w:val="double" w:sz="4" w:space="0" w:color="auto"/>
            </w:tcBorders>
            <w:shd w:val="clear" w:color="auto" w:fill="auto"/>
            <w:noWrap/>
            <w:tcMar>
              <w:top w:w="15" w:type="dxa"/>
              <w:left w:w="15" w:type="dxa"/>
              <w:right w:w="15" w:type="dxa"/>
            </w:tcMar>
            <w:vAlign w:val="center"/>
          </w:tcPr>
          <w:p w14:paraId="78607F8A" w14:textId="77777777" w:rsidR="000276B0" w:rsidRDefault="00753374">
            <w:pPr>
              <w:spacing w:beforeLines="0" w:before="0" w:afterLines="0" w:after="0"/>
              <w:ind w:firstLineChars="0" w:firstLine="0"/>
              <w:jc w:val="center"/>
              <w:textAlignment w:val="center"/>
              <w:rPr>
                <w:rFonts w:cs="Times New Roman"/>
                <w:kern w:val="2"/>
                <w:sz w:val="20"/>
                <w:szCs w:val="20"/>
              </w:rPr>
            </w:pPr>
            <w:r>
              <w:rPr>
                <w:rFonts w:cs="Times New Roman"/>
                <w:kern w:val="2"/>
                <w:sz w:val="20"/>
                <w:szCs w:val="20"/>
                <w:lang w:bidi="ar"/>
              </w:rPr>
              <w:t xml:space="preserve">ATE of </w:t>
            </w:r>
            <w:r>
              <w:rPr>
                <w:rFonts w:cs="Times New Roman" w:hint="eastAsia"/>
                <w:i/>
                <w:kern w:val="2"/>
                <w:sz w:val="20"/>
                <w:szCs w:val="20"/>
                <w:lang w:bidi="ar"/>
              </w:rPr>
              <w:t>TP53</w:t>
            </w:r>
            <w:r>
              <w:rPr>
                <w:rFonts w:cs="Times New Roman"/>
                <w:kern w:val="2"/>
                <w:sz w:val="20"/>
                <w:szCs w:val="20"/>
                <w:lang w:bidi="ar"/>
              </w:rPr>
              <w:t xml:space="preserve"> of LUAD on EMT</w:t>
            </w:r>
          </w:p>
        </w:tc>
      </w:tr>
      <w:tr w:rsidR="000276B0" w14:paraId="78607F90" w14:textId="77777777">
        <w:trPr>
          <w:trHeight w:val="340"/>
          <w:jc w:val="center"/>
        </w:trPr>
        <w:tc>
          <w:tcPr>
            <w:tcW w:w="2286" w:type="dxa"/>
            <w:tcBorders>
              <w:top w:val="double" w:sz="4" w:space="0" w:color="auto"/>
              <w:bottom w:val="double" w:sz="4" w:space="0" w:color="auto"/>
            </w:tcBorders>
            <w:shd w:val="clear" w:color="auto" w:fill="auto"/>
            <w:noWrap/>
            <w:tcMar>
              <w:top w:w="15" w:type="dxa"/>
              <w:left w:w="15" w:type="dxa"/>
              <w:right w:w="15" w:type="dxa"/>
            </w:tcMar>
            <w:vAlign w:val="center"/>
          </w:tcPr>
          <w:p w14:paraId="78607F8C"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#Hidden confounder</w:t>
            </w:r>
          </w:p>
        </w:tc>
        <w:tc>
          <w:tcPr>
            <w:tcW w:w="1569" w:type="dxa"/>
            <w:tcBorders>
              <w:top w:val="double" w:sz="4" w:space="0" w:color="auto"/>
              <w:bottom w:val="double" w:sz="4" w:space="0" w:color="auto"/>
            </w:tcBorders>
            <w:shd w:val="clear" w:color="auto" w:fill="auto"/>
            <w:noWrap/>
            <w:tcMar>
              <w:top w:w="15" w:type="dxa"/>
              <w:left w:w="15" w:type="dxa"/>
              <w:right w:w="15" w:type="dxa"/>
            </w:tcMar>
            <w:vAlign w:val="center"/>
          </w:tcPr>
          <w:p w14:paraId="78607F8D"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ATE</w:t>
            </w:r>
          </w:p>
        </w:tc>
        <w:tc>
          <w:tcPr>
            <w:tcW w:w="2156" w:type="dxa"/>
            <w:tcBorders>
              <w:top w:val="double" w:sz="4" w:space="0" w:color="auto"/>
              <w:bottom w:val="double" w:sz="4" w:space="0" w:color="auto"/>
            </w:tcBorders>
            <w:shd w:val="clear" w:color="auto" w:fill="auto"/>
            <w:noWrap/>
            <w:tcMar>
              <w:top w:w="15" w:type="dxa"/>
              <w:left w:w="15" w:type="dxa"/>
              <w:right w:w="15" w:type="dxa"/>
            </w:tcMar>
            <w:vAlign w:val="center"/>
          </w:tcPr>
          <w:p w14:paraId="78607F8E"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#Hidden confounder</w:t>
            </w:r>
          </w:p>
        </w:tc>
        <w:tc>
          <w:tcPr>
            <w:tcW w:w="1699" w:type="dxa"/>
            <w:tcBorders>
              <w:top w:val="double" w:sz="4" w:space="0" w:color="auto"/>
              <w:bottom w:val="double" w:sz="4" w:space="0" w:color="auto"/>
            </w:tcBorders>
            <w:shd w:val="clear" w:color="auto" w:fill="auto"/>
            <w:noWrap/>
            <w:tcMar>
              <w:top w:w="15" w:type="dxa"/>
              <w:left w:w="15" w:type="dxa"/>
              <w:right w:w="15" w:type="dxa"/>
            </w:tcMar>
            <w:vAlign w:val="center"/>
          </w:tcPr>
          <w:p w14:paraId="78607F8F"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ATE</w:t>
            </w:r>
          </w:p>
        </w:tc>
      </w:tr>
      <w:tr w:rsidR="000276B0" w14:paraId="78607F95" w14:textId="77777777">
        <w:trPr>
          <w:trHeight w:val="340"/>
          <w:jc w:val="center"/>
        </w:trPr>
        <w:tc>
          <w:tcPr>
            <w:tcW w:w="2286" w:type="dxa"/>
            <w:tcBorders>
              <w:top w:val="double" w:sz="4" w:space="0" w:color="auto"/>
            </w:tcBorders>
            <w:shd w:val="clear" w:color="auto" w:fill="auto"/>
            <w:noWrap/>
            <w:tcMar>
              <w:top w:w="15" w:type="dxa"/>
              <w:left w:w="15" w:type="dxa"/>
              <w:right w:w="15" w:type="dxa"/>
            </w:tcMar>
            <w:vAlign w:val="center"/>
          </w:tcPr>
          <w:p w14:paraId="78607F91"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10</w:t>
            </w:r>
          </w:p>
        </w:tc>
        <w:tc>
          <w:tcPr>
            <w:tcW w:w="1569" w:type="dxa"/>
            <w:tcBorders>
              <w:top w:val="double" w:sz="4" w:space="0" w:color="auto"/>
            </w:tcBorders>
            <w:shd w:val="clear" w:color="auto" w:fill="auto"/>
            <w:noWrap/>
            <w:tcMar>
              <w:top w:w="15" w:type="dxa"/>
              <w:left w:w="15" w:type="dxa"/>
              <w:right w:w="15" w:type="dxa"/>
            </w:tcMar>
            <w:vAlign w:val="center"/>
          </w:tcPr>
          <w:p w14:paraId="78607F92"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0.123±0.011</w:t>
            </w:r>
          </w:p>
        </w:tc>
        <w:tc>
          <w:tcPr>
            <w:tcW w:w="2156" w:type="dxa"/>
            <w:tcBorders>
              <w:top w:val="double" w:sz="4" w:space="0" w:color="auto"/>
            </w:tcBorders>
            <w:shd w:val="clear" w:color="auto" w:fill="auto"/>
            <w:noWrap/>
            <w:tcMar>
              <w:top w:w="15" w:type="dxa"/>
              <w:left w:w="15" w:type="dxa"/>
              <w:right w:w="15" w:type="dxa"/>
            </w:tcMar>
            <w:vAlign w:val="center"/>
          </w:tcPr>
          <w:p w14:paraId="78607F93"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10</w:t>
            </w:r>
          </w:p>
        </w:tc>
        <w:tc>
          <w:tcPr>
            <w:tcW w:w="1699" w:type="dxa"/>
            <w:tcBorders>
              <w:top w:val="double" w:sz="4" w:space="0" w:color="auto"/>
            </w:tcBorders>
            <w:shd w:val="clear" w:color="auto" w:fill="auto"/>
            <w:noWrap/>
            <w:tcMar>
              <w:top w:w="15" w:type="dxa"/>
              <w:left w:w="15" w:type="dxa"/>
              <w:right w:w="15" w:type="dxa"/>
            </w:tcMar>
            <w:vAlign w:val="center"/>
          </w:tcPr>
          <w:p w14:paraId="78607F94"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0.028±0.005</w:t>
            </w:r>
          </w:p>
        </w:tc>
      </w:tr>
      <w:tr w:rsidR="000276B0" w14:paraId="78607F9A" w14:textId="77777777">
        <w:trPr>
          <w:trHeight w:val="340"/>
          <w:jc w:val="center"/>
        </w:trPr>
        <w:tc>
          <w:tcPr>
            <w:tcW w:w="2286" w:type="dxa"/>
            <w:shd w:val="clear" w:color="auto" w:fill="auto"/>
            <w:noWrap/>
            <w:tcMar>
              <w:top w:w="15" w:type="dxa"/>
              <w:left w:w="15" w:type="dxa"/>
              <w:right w:w="15" w:type="dxa"/>
            </w:tcMar>
            <w:vAlign w:val="center"/>
          </w:tcPr>
          <w:p w14:paraId="78607F96"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20</w:t>
            </w:r>
          </w:p>
        </w:tc>
        <w:tc>
          <w:tcPr>
            <w:tcW w:w="1569" w:type="dxa"/>
            <w:shd w:val="clear" w:color="auto" w:fill="auto"/>
            <w:noWrap/>
            <w:tcMar>
              <w:top w:w="15" w:type="dxa"/>
              <w:left w:w="15" w:type="dxa"/>
              <w:right w:w="15" w:type="dxa"/>
            </w:tcMar>
            <w:vAlign w:val="center"/>
          </w:tcPr>
          <w:p w14:paraId="78607F97"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0.135±0.013</w:t>
            </w:r>
          </w:p>
        </w:tc>
        <w:tc>
          <w:tcPr>
            <w:tcW w:w="2156" w:type="dxa"/>
            <w:shd w:val="clear" w:color="auto" w:fill="auto"/>
            <w:noWrap/>
            <w:tcMar>
              <w:top w:w="15" w:type="dxa"/>
              <w:left w:w="15" w:type="dxa"/>
              <w:right w:w="15" w:type="dxa"/>
            </w:tcMar>
            <w:vAlign w:val="center"/>
          </w:tcPr>
          <w:p w14:paraId="78607F98"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20</w:t>
            </w:r>
          </w:p>
        </w:tc>
        <w:tc>
          <w:tcPr>
            <w:tcW w:w="1699" w:type="dxa"/>
            <w:shd w:val="clear" w:color="auto" w:fill="auto"/>
            <w:noWrap/>
            <w:tcMar>
              <w:top w:w="15" w:type="dxa"/>
              <w:left w:w="15" w:type="dxa"/>
              <w:right w:w="15" w:type="dxa"/>
            </w:tcMar>
            <w:vAlign w:val="center"/>
          </w:tcPr>
          <w:p w14:paraId="78607F99"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0.037±0.006</w:t>
            </w:r>
          </w:p>
        </w:tc>
      </w:tr>
      <w:tr w:rsidR="000276B0" w14:paraId="78607F9F" w14:textId="77777777">
        <w:trPr>
          <w:trHeight w:val="340"/>
          <w:jc w:val="center"/>
        </w:trPr>
        <w:tc>
          <w:tcPr>
            <w:tcW w:w="2286" w:type="dxa"/>
            <w:shd w:val="clear" w:color="auto" w:fill="auto"/>
            <w:noWrap/>
            <w:tcMar>
              <w:top w:w="15" w:type="dxa"/>
              <w:left w:w="15" w:type="dxa"/>
              <w:right w:w="15" w:type="dxa"/>
            </w:tcMar>
            <w:vAlign w:val="center"/>
          </w:tcPr>
          <w:p w14:paraId="78607F9B"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30</w:t>
            </w:r>
          </w:p>
        </w:tc>
        <w:tc>
          <w:tcPr>
            <w:tcW w:w="1569" w:type="dxa"/>
            <w:shd w:val="clear" w:color="auto" w:fill="auto"/>
            <w:noWrap/>
            <w:tcMar>
              <w:top w:w="15" w:type="dxa"/>
              <w:left w:w="15" w:type="dxa"/>
              <w:right w:w="15" w:type="dxa"/>
            </w:tcMar>
            <w:vAlign w:val="center"/>
          </w:tcPr>
          <w:p w14:paraId="78607F9C"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0.125±0.012</w:t>
            </w:r>
          </w:p>
        </w:tc>
        <w:tc>
          <w:tcPr>
            <w:tcW w:w="2156" w:type="dxa"/>
            <w:shd w:val="clear" w:color="auto" w:fill="auto"/>
            <w:noWrap/>
            <w:tcMar>
              <w:top w:w="15" w:type="dxa"/>
              <w:left w:w="15" w:type="dxa"/>
              <w:right w:w="15" w:type="dxa"/>
            </w:tcMar>
            <w:vAlign w:val="center"/>
          </w:tcPr>
          <w:p w14:paraId="78607F9D"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30</w:t>
            </w:r>
          </w:p>
        </w:tc>
        <w:tc>
          <w:tcPr>
            <w:tcW w:w="1699" w:type="dxa"/>
            <w:shd w:val="clear" w:color="auto" w:fill="auto"/>
            <w:noWrap/>
            <w:tcMar>
              <w:top w:w="15" w:type="dxa"/>
              <w:left w:w="15" w:type="dxa"/>
              <w:right w:w="15" w:type="dxa"/>
            </w:tcMar>
            <w:vAlign w:val="center"/>
          </w:tcPr>
          <w:p w14:paraId="78607F9E"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0.03±0.006</w:t>
            </w:r>
          </w:p>
        </w:tc>
      </w:tr>
      <w:tr w:rsidR="000276B0" w14:paraId="78607FA4" w14:textId="77777777">
        <w:trPr>
          <w:trHeight w:val="340"/>
          <w:jc w:val="center"/>
        </w:trPr>
        <w:tc>
          <w:tcPr>
            <w:tcW w:w="2286" w:type="dxa"/>
            <w:shd w:val="clear" w:color="auto" w:fill="auto"/>
            <w:noWrap/>
            <w:tcMar>
              <w:top w:w="15" w:type="dxa"/>
              <w:left w:w="15" w:type="dxa"/>
              <w:right w:w="15" w:type="dxa"/>
            </w:tcMar>
            <w:vAlign w:val="center"/>
          </w:tcPr>
          <w:p w14:paraId="78607FA0"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40</w:t>
            </w:r>
          </w:p>
        </w:tc>
        <w:tc>
          <w:tcPr>
            <w:tcW w:w="1569" w:type="dxa"/>
            <w:shd w:val="clear" w:color="auto" w:fill="auto"/>
            <w:noWrap/>
            <w:tcMar>
              <w:top w:w="15" w:type="dxa"/>
              <w:left w:w="15" w:type="dxa"/>
              <w:right w:w="15" w:type="dxa"/>
            </w:tcMar>
            <w:vAlign w:val="center"/>
          </w:tcPr>
          <w:p w14:paraId="78607FA1"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0.143±0.005</w:t>
            </w:r>
          </w:p>
        </w:tc>
        <w:tc>
          <w:tcPr>
            <w:tcW w:w="2156" w:type="dxa"/>
            <w:shd w:val="clear" w:color="auto" w:fill="auto"/>
            <w:noWrap/>
            <w:tcMar>
              <w:top w:w="15" w:type="dxa"/>
              <w:left w:w="15" w:type="dxa"/>
              <w:right w:w="15" w:type="dxa"/>
            </w:tcMar>
            <w:vAlign w:val="center"/>
          </w:tcPr>
          <w:p w14:paraId="78607FA2"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40</w:t>
            </w:r>
          </w:p>
        </w:tc>
        <w:tc>
          <w:tcPr>
            <w:tcW w:w="1699" w:type="dxa"/>
            <w:shd w:val="clear" w:color="auto" w:fill="auto"/>
            <w:noWrap/>
            <w:tcMar>
              <w:top w:w="15" w:type="dxa"/>
              <w:left w:w="15" w:type="dxa"/>
              <w:right w:w="15" w:type="dxa"/>
            </w:tcMar>
            <w:vAlign w:val="center"/>
          </w:tcPr>
          <w:p w14:paraId="78607FA3"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0.019±0.008</w:t>
            </w:r>
          </w:p>
        </w:tc>
      </w:tr>
      <w:tr w:rsidR="000276B0" w14:paraId="78607FA9" w14:textId="77777777">
        <w:trPr>
          <w:trHeight w:val="340"/>
          <w:jc w:val="center"/>
        </w:trPr>
        <w:tc>
          <w:tcPr>
            <w:tcW w:w="2286" w:type="dxa"/>
            <w:shd w:val="clear" w:color="auto" w:fill="auto"/>
            <w:noWrap/>
            <w:tcMar>
              <w:top w:w="15" w:type="dxa"/>
              <w:left w:w="15" w:type="dxa"/>
              <w:right w:w="15" w:type="dxa"/>
            </w:tcMar>
            <w:vAlign w:val="center"/>
          </w:tcPr>
          <w:p w14:paraId="78607FA5"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50</w:t>
            </w:r>
          </w:p>
        </w:tc>
        <w:tc>
          <w:tcPr>
            <w:tcW w:w="1569" w:type="dxa"/>
            <w:shd w:val="clear" w:color="auto" w:fill="auto"/>
            <w:noWrap/>
            <w:tcMar>
              <w:top w:w="15" w:type="dxa"/>
              <w:left w:w="15" w:type="dxa"/>
              <w:right w:w="15" w:type="dxa"/>
            </w:tcMar>
            <w:vAlign w:val="center"/>
          </w:tcPr>
          <w:p w14:paraId="78607FA6"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0.129±0.012</w:t>
            </w:r>
          </w:p>
        </w:tc>
        <w:tc>
          <w:tcPr>
            <w:tcW w:w="2156" w:type="dxa"/>
            <w:shd w:val="clear" w:color="auto" w:fill="auto"/>
            <w:noWrap/>
            <w:tcMar>
              <w:top w:w="15" w:type="dxa"/>
              <w:left w:w="15" w:type="dxa"/>
              <w:right w:w="15" w:type="dxa"/>
            </w:tcMar>
            <w:vAlign w:val="center"/>
          </w:tcPr>
          <w:p w14:paraId="78607FA7"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50</w:t>
            </w:r>
          </w:p>
        </w:tc>
        <w:tc>
          <w:tcPr>
            <w:tcW w:w="1699" w:type="dxa"/>
            <w:shd w:val="clear" w:color="auto" w:fill="auto"/>
            <w:noWrap/>
            <w:tcMar>
              <w:top w:w="15" w:type="dxa"/>
              <w:left w:w="15" w:type="dxa"/>
              <w:right w:w="15" w:type="dxa"/>
            </w:tcMar>
            <w:vAlign w:val="center"/>
          </w:tcPr>
          <w:p w14:paraId="78607FA8" w14:textId="77777777" w:rsidR="000276B0" w:rsidRDefault="00753374">
            <w:pPr>
              <w:spacing w:beforeLines="0" w:before="0" w:afterLines="0" w:after="0"/>
              <w:ind w:firstLineChars="0" w:firstLine="0"/>
              <w:jc w:val="center"/>
              <w:textAlignment w:val="center"/>
              <w:rPr>
                <w:rFonts w:cs="Times New Roman"/>
                <w:bCs/>
                <w:kern w:val="2"/>
                <w:sz w:val="20"/>
                <w:szCs w:val="20"/>
                <w:lang w:bidi="ar"/>
              </w:rPr>
            </w:pPr>
            <w:r>
              <w:rPr>
                <w:rFonts w:cs="Times New Roman"/>
                <w:bCs/>
                <w:kern w:val="2"/>
                <w:sz w:val="20"/>
                <w:szCs w:val="20"/>
                <w:lang w:bidi="ar"/>
              </w:rPr>
              <w:t>0.025±0.008</w:t>
            </w:r>
          </w:p>
        </w:tc>
      </w:tr>
    </w:tbl>
    <w:bookmarkEnd w:id="4"/>
    <w:p w14:paraId="04A343DC" w14:textId="77777777" w:rsidR="00753374" w:rsidRDefault="00753374">
      <w:pPr>
        <w:pStyle w:val="Cmsor1"/>
        <w:spacing w:before="156" w:afterLines="50" w:after="156" w:line="480" w:lineRule="auto"/>
        <w:jc w:val="left"/>
        <w:rPr>
          <w:rFonts w:cs="Times New Roman"/>
        </w:rPr>
      </w:pPr>
      <w:r>
        <w:rPr>
          <w:rFonts w:cs="Times New Roman"/>
        </w:rPr>
        <w:lastRenderedPageBreak/>
        <w:t>Section C</w:t>
      </w:r>
    </w:p>
    <w:p w14:paraId="78607FAA" w14:textId="39A8326D" w:rsidR="000276B0" w:rsidRDefault="00753374">
      <w:pPr>
        <w:pStyle w:val="Cmsor1"/>
        <w:spacing w:before="156" w:afterLines="50" w:after="156" w:line="480" w:lineRule="auto"/>
        <w:jc w:val="left"/>
      </w:pPr>
      <w:r>
        <w:rPr>
          <w:rFonts w:cs="Times New Roman" w:hint="eastAsia"/>
        </w:rPr>
        <w:t>Selection of core genes in CEBP</w:t>
      </w:r>
    </w:p>
    <w:p w14:paraId="78607FAB" w14:textId="77777777" w:rsidR="000276B0" w:rsidRDefault="00753374">
      <w:pPr>
        <w:spacing w:before="156" w:after="156"/>
        <w:ind w:firstLineChars="0" w:firstLine="0"/>
        <w:jc w:val="center"/>
        <w:rPr>
          <w:rFonts w:cs="Times New Roman"/>
        </w:rPr>
      </w:pPr>
      <w:r>
        <w:rPr>
          <w:rFonts w:cs="Times New Roman" w:hint="eastAsia"/>
          <w:noProof/>
        </w:rPr>
        <w:drawing>
          <wp:inline distT="0" distB="0" distL="114300" distR="114300" wp14:anchorId="78607FB0" wp14:editId="78607FB1">
            <wp:extent cx="5660390" cy="7116445"/>
            <wp:effectExtent l="0" t="0" r="16510" b="8255"/>
            <wp:docPr id="1" name="图片 1" descr="D:\awa_project\causalInference\paper\PLOS Computational Biology\220811返回意见版本\figures\PLOS_20220811_111453AM\PACE Corrected\figureS2.tiffig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awa_project\causalInference\paper\PLOS Computational Biology\220811返回意见版本\figures\PLOS_20220811_111453AM\PACE Corrected\figureS2.tiffigureS2"/>
                    <pic:cNvPicPr>
                      <a:picLocks noChangeAspect="1"/>
                    </pic:cNvPicPr>
                  </pic:nvPicPr>
                  <pic:blipFill>
                    <a:blip r:embed="rId7"/>
                    <a:srcRect/>
                    <a:stretch>
                      <a:fillRect/>
                    </a:stretch>
                  </pic:blipFill>
                  <pic:spPr>
                    <a:xfrm>
                      <a:off x="0" y="0"/>
                      <a:ext cx="5660390" cy="7116445"/>
                    </a:xfrm>
                    <a:prstGeom prst="rect">
                      <a:avLst/>
                    </a:prstGeom>
                  </pic:spPr>
                </pic:pic>
              </a:graphicData>
            </a:graphic>
          </wp:inline>
        </w:drawing>
      </w:r>
    </w:p>
    <w:p w14:paraId="78607FAC" w14:textId="774FF8BC" w:rsidR="000276B0" w:rsidRDefault="00753374">
      <w:pPr>
        <w:pStyle w:val="NormlWeb"/>
        <w:spacing w:beforeLines="0" w:before="156" w:afterLines="0" w:after="100" w:afterAutospacing="1"/>
        <w:ind w:firstLineChars="0" w:firstLine="0"/>
        <w:jc w:val="both"/>
        <w:textAlignment w:val="center"/>
        <w:rPr>
          <w:rFonts w:cs="Times New Roman"/>
          <w:kern w:val="2"/>
          <w:szCs w:val="22"/>
        </w:rPr>
      </w:pPr>
      <w:r>
        <w:rPr>
          <w:rFonts w:cs="Times New Roman"/>
          <w:kern w:val="2"/>
          <w:szCs w:val="22"/>
        </w:rPr>
        <w:t>Fig</w:t>
      </w:r>
      <w:r>
        <w:rPr>
          <w:rFonts w:cs="Times New Roman" w:hint="eastAsia"/>
          <w:kern w:val="2"/>
          <w:szCs w:val="22"/>
        </w:rPr>
        <w:t xml:space="preserve"> B</w:t>
      </w:r>
      <w:r>
        <w:rPr>
          <w:rFonts w:cs="Times New Roman"/>
          <w:kern w:val="2"/>
          <w:szCs w:val="22"/>
        </w:rPr>
        <w:t xml:space="preserve">. Heat maps of correlations between genes of DNA replication and EMT </w:t>
      </w:r>
      <w:r>
        <w:rPr>
          <w:rFonts w:cs="Times New Roman" w:hint="eastAsia"/>
          <w:kern w:val="2"/>
          <w:szCs w:val="22"/>
        </w:rPr>
        <w:t>in</w:t>
      </w:r>
      <w:r>
        <w:rPr>
          <w:rFonts w:cs="Times New Roman"/>
          <w:kern w:val="2"/>
          <w:szCs w:val="22"/>
        </w:rPr>
        <w:t xml:space="preserve"> BRCA, LUAD</w:t>
      </w:r>
      <w:r>
        <w:rPr>
          <w:rFonts w:cs="Times New Roman" w:hint="eastAsia"/>
          <w:kern w:val="2"/>
          <w:szCs w:val="22"/>
        </w:rPr>
        <w:t>,</w:t>
      </w:r>
      <w:r>
        <w:rPr>
          <w:rFonts w:cs="Times New Roman"/>
          <w:kern w:val="2"/>
          <w:szCs w:val="22"/>
        </w:rPr>
        <w:t xml:space="preserve"> and LIHC tumor samples, where the color indicates the correlation value and the number on the horizontal and vertical axes is the gene’s index</w:t>
      </w:r>
      <w:r>
        <w:rPr>
          <w:rFonts w:cs="Times New Roman" w:hint="eastAsia"/>
          <w:kern w:val="2"/>
          <w:szCs w:val="22"/>
        </w:rPr>
        <w:t>.</w:t>
      </w:r>
    </w:p>
    <w:p w14:paraId="78607FAD" w14:textId="56284CB1" w:rsidR="000276B0" w:rsidRDefault="00753374">
      <w:pPr>
        <w:pStyle w:val="NormlWeb"/>
        <w:spacing w:before="156" w:after="156" w:line="480" w:lineRule="auto"/>
        <w:ind w:firstLine="480"/>
        <w:jc w:val="both"/>
        <w:rPr>
          <w:rFonts w:cs="Times New Roman"/>
        </w:rPr>
      </w:pPr>
      <w:bookmarkStart w:id="5" w:name="OLE_LINK10"/>
      <w:bookmarkStart w:id="6" w:name="OLE_LINK9"/>
      <w:r>
        <w:rPr>
          <w:rFonts w:cs="Times New Roman"/>
        </w:rPr>
        <w:lastRenderedPageBreak/>
        <w:t>For the active cancer-relate</w:t>
      </w:r>
      <w:r>
        <w:rPr>
          <w:rFonts w:cs="Times New Roman"/>
        </w:rPr>
        <w:t xml:space="preserve">d biological process, most genes work together and are significantly co-expressed. According to </w:t>
      </w:r>
      <w:bookmarkStart w:id="7" w:name="OLE_LINK15"/>
      <w:r>
        <w:rPr>
          <w:rFonts w:cs="Times New Roman"/>
        </w:rPr>
        <w:t xml:space="preserve">Pearson correlation analysis </w:t>
      </w:r>
      <w:r>
        <w:rPr>
          <w:rFonts w:cs="Times New Roman" w:hint="eastAsia"/>
        </w:rPr>
        <w:t>of</w:t>
      </w:r>
      <w:r>
        <w:rPr>
          <w:rFonts w:cs="Times New Roman"/>
        </w:rPr>
        <w:t xml:space="preserve"> the genes in DNA replication and EMT processes</w:t>
      </w:r>
      <w:r>
        <w:rPr>
          <w:rFonts w:cs="Times New Roman" w:hint="eastAsia"/>
        </w:rPr>
        <w:t xml:space="preserve"> of </w:t>
      </w:r>
      <w:r>
        <w:rPr>
          <w:rFonts w:cs="Times New Roman"/>
        </w:rPr>
        <w:t xml:space="preserve">BRCA, LUAD and LIHC tumor samples, as shown in </w:t>
      </w:r>
      <w:r>
        <w:rPr>
          <w:rFonts w:cs="Times New Roman" w:hint="eastAsia"/>
        </w:rPr>
        <w:t>Fig</w:t>
      </w:r>
      <w:bookmarkEnd w:id="7"/>
      <w:r>
        <w:rPr>
          <w:rFonts w:cs="Times New Roman" w:hint="eastAsia"/>
        </w:rPr>
        <w:t xml:space="preserve"> B</w:t>
      </w:r>
      <w:r>
        <w:rPr>
          <w:rFonts w:cs="Times New Roman"/>
        </w:rPr>
        <w:t xml:space="preserve">, </w:t>
      </w:r>
      <w:bookmarkStart w:id="8" w:name="OLE_LINK12"/>
      <w:r>
        <w:rPr>
          <w:rFonts w:cs="Times New Roman"/>
        </w:rPr>
        <w:t>more than half of</w:t>
      </w:r>
      <w:r>
        <w:rPr>
          <w:rFonts w:cs="Times New Roman" w:hint="eastAsia"/>
        </w:rPr>
        <w:t xml:space="preserve"> the</w:t>
      </w:r>
      <w:r>
        <w:rPr>
          <w:rFonts w:cs="Times New Roman"/>
        </w:rPr>
        <w:t xml:space="preserve"> genes in each biological process are significantly co-expressed</w:t>
      </w:r>
      <w:bookmarkEnd w:id="8"/>
      <w:r>
        <w:rPr>
          <w:rFonts w:cs="Times New Roman"/>
        </w:rPr>
        <w:t>.</w:t>
      </w:r>
      <w:r>
        <w:rPr>
          <w:rFonts w:cs="Times New Roman" w:hint="eastAsia"/>
        </w:rPr>
        <w:t xml:space="preserve"> In Fig</w:t>
      </w:r>
      <w:r>
        <w:rPr>
          <w:rFonts w:cs="Times New Roman" w:hint="eastAsia"/>
        </w:rPr>
        <w:t xml:space="preserve"> B</w:t>
      </w:r>
      <w:r>
        <w:rPr>
          <w:rFonts w:cs="Times New Roman" w:hint="eastAsia"/>
        </w:rPr>
        <w:t>, the</w:t>
      </w:r>
      <w:r>
        <w:rPr>
          <w:rFonts w:cs="Times New Roman"/>
        </w:rPr>
        <w:t xml:space="preserve"> correlation matrix of each biological process </w:t>
      </w:r>
      <w:r>
        <w:rPr>
          <w:rFonts w:cs="Times New Roman" w:hint="eastAsia"/>
        </w:rPr>
        <w:t>sets</w:t>
      </w:r>
      <w:r>
        <w:rPr>
          <w:rFonts w:cs="Times New Roman"/>
        </w:rPr>
        <w:t xml:space="preserve"> p-value =</w:t>
      </w:r>
      <w:r>
        <w:rPr>
          <w:rFonts w:cs="Times New Roman" w:hint="eastAsia"/>
        </w:rPr>
        <w:t>10</w:t>
      </w:r>
      <w:r>
        <w:rPr>
          <w:rFonts w:cs="Times New Roman" w:hint="eastAsia"/>
          <w:vertAlign w:val="superscript"/>
        </w:rPr>
        <w:t>-3</w:t>
      </w:r>
      <w:r>
        <w:rPr>
          <w:rFonts w:cs="Times New Roman"/>
        </w:rPr>
        <w:t xml:space="preserve"> as </w:t>
      </w:r>
      <w:r>
        <w:rPr>
          <w:rFonts w:cs="Times New Roman" w:hint="eastAsia"/>
        </w:rPr>
        <w:t>the</w:t>
      </w:r>
      <w:r>
        <w:rPr>
          <w:rFonts w:cs="Times New Roman"/>
        </w:rPr>
        <w:t xml:space="preserve"> cutoff</w:t>
      </w:r>
      <w:r>
        <w:rPr>
          <w:rFonts w:cs="Times New Roman" w:hint="eastAsia"/>
        </w:rPr>
        <w:t xml:space="preserve"> and </w:t>
      </w:r>
      <w:r>
        <w:rPr>
          <w:rFonts w:cs="Times New Roman"/>
        </w:rPr>
        <w:t>X-axis and Y-axis represent gene’s index which is ranked by the overall co-expression</w:t>
      </w:r>
      <w:r>
        <w:rPr>
          <w:rFonts w:cs="Times New Roman"/>
        </w:rPr>
        <w:t xml:space="preserve"> intensity with other genes. We assume the largest co-expressed module carries the most principal information </w:t>
      </w:r>
      <w:r>
        <w:rPr>
          <w:rFonts w:cs="Times New Roman" w:hint="eastAsia"/>
        </w:rPr>
        <w:t>about</w:t>
      </w:r>
      <w:r>
        <w:rPr>
          <w:rFonts w:cs="Times New Roman"/>
        </w:rPr>
        <w:t xml:space="preserve"> the biological process and use it to quantify the relevant </w:t>
      </w:r>
      <w:r>
        <w:rPr>
          <w:rFonts w:cs="Times New Roman" w:hint="eastAsia"/>
        </w:rPr>
        <w:t>activities</w:t>
      </w:r>
      <w:r>
        <w:rPr>
          <w:rFonts w:cs="Times New Roman"/>
        </w:rPr>
        <w:t xml:space="preserve"> of</w:t>
      </w:r>
      <w:r>
        <w:rPr>
          <w:rFonts w:cs="Times New Roman" w:hint="eastAsia"/>
        </w:rPr>
        <w:t xml:space="preserve"> the</w:t>
      </w:r>
      <w:r>
        <w:rPr>
          <w:rFonts w:cs="Times New Roman"/>
        </w:rPr>
        <w:t xml:space="preserve"> biological process</w:t>
      </w:r>
      <w:r>
        <w:rPr>
          <w:rFonts w:cs="Times New Roman" w:hint="eastAsia"/>
        </w:rPr>
        <w:t xml:space="preserve"> </w:t>
      </w:r>
      <w:r>
        <w:rPr>
          <w:rFonts w:cs="Times New Roman"/>
        </w:rPr>
        <w:t>of each sample</w:t>
      </w:r>
      <w:r>
        <w:rPr>
          <w:rFonts w:cs="Times New Roman" w:hint="eastAsia"/>
        </w:rPr>
        <w:t>.</w:t>
      </w:r>
      <w:bookmarkEnd w:id="5"/>
      <w:bookmarkEnd w:id="6"/>
    </w:p>
    <w:sectPr w:rsidR="000276B0">
      <w:pgSz w:w="11906" w:h="16838"/>
      <w:pgMar w:top="850" w:right="567" w:bottom="850" w:left="102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07FB4" w14:textId="77777777" w:rsidR="000276B0" w:rsidRDefault="00753374">
      <w:pPr>
        <w:spacing w:before="120" w:after="120"/>
        <w:ind w:firstLine="480"/>
      </w:pPr>
      <w:r>
        <w:separator/>
      </w:r>
    </w:p>
  </w:endnote>
  <w:endnote w:type="continuationSeparator" w:id="0">
    <w:p w14:paraId="78607FB5" w14:textId="77777777" w:rsidR="000276B0" w:rsidRDefault="00753374">
      <w:pPr>
        <w:spacing w:before="120" w:after="12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07FB2" w14:textId="77777777" w:rsidR="000276B0" w:rsidRDefault="00753374">
      <w:pPr>
        <w:spacing w:before="120" w:after="120"/>
        <w:ind w:firstLine="480"/>
      </w:pPr>
      <w:r>
        <w:separator/>
      </w:r>
    </w:p>
  </w:footnote>
  <w:footnote w:type="continuationSeparator" w:id="0">
    <w:p w14:paraId="78607FB3" w14:textId="77777777" w:rsidR="000276B0" w:rsidRDefault="00753374">
      <w:pPr>
        <w:spacing w:before="120" w:after="120"/>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U2OGEwM2I3NDgzOTc0MTVjN2M2OTI1ZmI4Yzk2OTEifQ=="/>
  </w:docVars>
  <w:rsids>
    <w:rsidRoot w:val="31E13867"/>
    <w:rsid w:val="000276B0"/>
    <w:rsid w:val="001D223A"/>
    <w:rsid w:val="00262AA9"/>
    <w:rsid w:val="00442963"/>
    <w:rsid w:val="00753374"/>
    <w:rsid w:val="04340B84"/>
    <w:rsid w:val="054B1785"/>
    <w:rsid w:val="08EF53AB"/>
    <w:rsid w:val="0D6458A4"/>
    <w:rsid w:val="1D5E2330"/>
    <w:rsid w:val="1EBA3E92"/>
    <w:rsid w:val="29275B3E"/>
    <w:rsid w:val="299D5B67"/>
    <w:rsid w:val="2D5363F2"/>
    <w:rsid w:val="2F0B3A50"/>
    <w:rsid w:val="31E13867"/>
    <w:rsid w:val="32574984"/>
    <w:rsid w:val="3BAF0E09"/>
    <w:rsid w:val="3CF05932"/>
    <w:rsid w:val="4400101D"/>
    <w:rsid w:val="446F0A0A"/>
    <w:rsid w:val="44863C57"/>
    <w:rsid w:val="477B00A8"/>
    <w:rsid w:val="49116EFA"/>
    <w:rsid w:val="4FE14CED"/>
    <w:rsid w:val="5F4A3351"/>
    <w:rsid w:val="5F9F05D3"/>
    <w:rsid w:val="66E03D5E"/>
    <w:rsid w:val="67931555"/>
    <w:rsid w:val="6AD82844"/>
    <w:rsid w:val="6E5673E4"/>
    <w:rsid w:val="6E7C5D8F"/>
    <w:rsid w:val="709006E7"/>
    <w:rsid w:val="76292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607F5D"/>
  <w15:docId w15:val="{046F99BE-BEBC-42CA-8FCB-706BFA864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ne number"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pPr>
      <w:spacing w:beforeLines="50" w:before="50" w:afterLines="50" w:after="50"/>
      <w:ind w:firstLineChars="200" w:firstLine="562"/>
    </w:pPr>
    <w:rPr>
      <w:rFonts w:cs="SimSun"/>
      <w:sz w:val="24"/>
      <w:szCs w:val="24"/>
      <w:lang w:val="en-US" w:eastAsia="zh-CN"/>
    </w:rPr>
  </w:style>
  <w:style w:type="paragraph" w:styleId="Cmsor1">
    <w:name w:val="heading 1"/>
    <w:basedOn w:val="Norml"/>
    <w:next w:val="Norml"/>
    <w:qFormat/>
    <w:pPr>
      <w:keepNext/>
      <w:keepLines/>
      <w:spacing w:afterLines="0" w:after="10"/>
      <w:ind w:firstLineChars="0" w:firstLine="0"/>
      <w:jc w:val="center"/>
      <w:outlineLvl w:val="0"/>
    </w:pPr>
    <w:rPr>
      <w:b/>
      <w:kern w:val="44"/>
      <w:sz w:val="30"/>
    </w:rPr>
  </w:style>
  <w:style w:type="paragraph" w:styleId="Cmsor2">
    <w:name w:val="heading 2"/>
    <w:basedOn w:val="Norml"/>
    <w:next w:val="Norml"/>
    <w:semiHidden/>
    <w:unhideWhenUsed/>
    <w:qFormat/>
    <w:pPr>
      <w:keepNext/>
      <w:keepLines/>
      <w:widowControl w:val="0"/>
      <w:spacing w:before="40" w:after="40"/>
      <w:ind w:firstLineChars="0" w:firstLine="0"/>
      <w:jc w:val="center"/>
      <w:outlineLvl w:val="1"/>
    </w:pPr>
    <w:rPr>
      <w:rFonts w:cstheme="minorBidi"/>
      <w:b/>
      <w:kern w:val="2"/>
      <w:sz w:val="28"/>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qFormat/>
  </w:style>
  <w:style w:type="character" w:styleId="Sorszma">
    <w:name w:val="line number"/>
    <w:basedOn w:val="Bekezdsalapbettpusa"/>
    <w:qFormat/>
  </w:style>
  <w:style w:type="character" w:styleId="Hiperhivatkozs">
    <w:name w:val="Hyperlink"/>
    <w:basedOn w:val="Bekezdsalapbettpusa"/>
    <w:uiPriority w:val="99"/>
    <w:unhideWhenUsed/>
    <w:qFormat/>
    <w:rPr>
      <w:color w:val="0000FF"/>
      <w:u w:val="single"/>
    </w:rPr>
  </w:style>
  <w:style w:type="paragraph" w:customStyle="1" w:styleId="paper">
    <w:name w:val="paper正文"/>
    <w:basedOn w:val="NormlWeb"/>
    <w:qFormat/>
    <w:pPr>
      <w:spacing w:before="100" w:beforeAutospacing="1" w:after="100"/>
      <w:ind w:firstLine="480"/>
    </w:pPr>
    <w:rPr>
      <w:rFonts w:eastAsia="SimHe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674</Words>
  <Characters>4652</Characters>
  <Application>Microsoft Office Word</Application>
  <DocSecurity>0</DocSecurity>
  <Lines>38</Lines>
  <Paragraphs>10</Paragraphs>
  <ScaleCrop>false</ScaleCrop>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Yijun Liu</dc:creator>
  <cp:lastModifiedBy>Zsófi Zombor</cp:lastModifiedBy>
  <cp:revision>2</cp:revision>
  <dcterms:created xsi:type="dcterms:W3CDTF">2022-09-08T10:03:00Z</dcterms:created>
  <dcterms:modified xsi:type="dcterms:W3CDTF">2022-09-08T10:03:00Z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13E4AC6A02744870BC16BD656AC1C013</vt:lpwstr>
  </property>
</Properties>
</file>