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EC007" w14:textId="77777777" w:rsidR="00BA6F0C" w:rsidRPr="00AD6786" w:rsidRDefault="00BA6F0C" w:rsidP="00BA6F0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345BA0EF">
        <w:rPr>
          <w:rFonts w:ascii="Times New Roman" w:hAnsi="Times New Roman" w:cs="Times New Roman"/>
          <w:b/>
          <w:bCs/>
          <w:sz w:val="28"/>
          <w:szCs w:val="28"/>
          <w:lang w:val="en-US"/>
        </w:rPr>
        <w:t>tructur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al</w:t>
      </w:r>
      <w:r w:rsidRPr="345BA0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and functional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variation</w:t>
      </w:r>
      <w:r w:rsidRPr="345BA0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of chitin-binding domains of a lytic polysaccharide monooxygenase from </w:t>
      </w:r>
      <w:proofErr w:type="spellStart"/>
      <w:r w:rsidRPr="345BA0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Cellvibrio</w:t>
      </w:r>
      <w:proofErr w:type="spellEnd"/>
      <w:r w:rsidRPr="345BA0EF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japonicus</w:t>
      </w:r>
    </w:p>
    <w:p w14:paraId="647F628D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5F4B97B" w14:textId="77777777" w:rsidR="006737FB" w:rsidRPr="000F2D21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F2D21">
        <w:rPr>
          <w:rFonts w:ascii="Times New Roman" w:hAnsi="Times New Roman" w:cs="Times New Roman"/>
          <w:sz w:val="24"/>
          <w:szCs w:val="24"/>
          <w:lang w:val="en-US"/>
        </w:rPr>
        <w:t>Eva Madland*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Zarah Forsberg*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Yong Wang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Kresten Lindorff-Larsen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Axel Niebisch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Jan Modregger</w:t>
      </w:r>
      <w:bookmarkStart w:id="0" w:name="_Hlk65406001"/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bookmarkEnd w:id="0"/>
      <w:r w:rsidRPr="000F2D21">
        <w:rPr>
          <w:rFonts w:ascii="Times New Roman" w:hAnsi="Times New Roman" w:cs="Times New Roman"/>
          <w:sz w:val="24"/>
          <w:szCs w:val="24"/>
          <w:lang w:val="en-US"/>
        </w:rPr>
        <w:t>, Vincent G. H. Eijsink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Finn L. Aachmann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, Gaston Courtade</w:t>
      </w:r>
      <w:r w:rsidRPr="000F2D2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0F2D21">
        <w:rPr>
          <w:rFonts w:ascii="Times New Roman" w:hAnsi="Times New Roman" w:cs="Times New Roman"/>
          <w:sz w:val="24"/>
          <w:szCs w:val="24"/>
          <w:lang w:val="en-US"/>
        </w:rPr>
        <w:t>**</w:t>
      </w:r>
    </w:p>
    <w:p w14:paraId="187C59A2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345BA0E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345BA0EF">
        <w:rPr>
          <w:rFonts w:ascii="Times New Roman" w:hAnsi="Times New Roman" w:cs="Times New Roman"/>
          <w:sz w:val="24"/>
          <w:szCs w:val="24"/>
          <w:lang w:val="en-US"/>
        </w:rPr>
        <w:t xml:space="preserve"> Norwegian Biopolymer Laboratory (NOBIPOL), Department of Biotechnology and Food Science, NTNU Norwegian University of Science and Technology, 7491Trondheim, Norway</w:t>
      </w:r>
    </w:p>
    <w:p w14:paraId="75876D4C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6C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D6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Faculty</w:t>
      </w:r>
      <w:r w:rsidRPr="009D6C63">
        <w:rPr>
          <w:rFonts w:ascii="Times New Roman" w:hAnsi="Times New Roman" w:cs="Times New Roman"/>
          <w:sz w:val="24"/>
          <w:szCs w:val="24"/>
          <w:lang w:val="en-US"/>
        </w:rPr>
        <w:t xml:space="preserve"> of Chemistry, Biotechnology and Food Science, Norwegian University of Life Sciences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(NMBU)</w:t>
      </w:r>
      <w:r w:rsidRPr="009D6C63">
        <w:rPr>
          <w:rFonts w:ascii="Times New Roman" w:hAnsi="Times New Roman" w:cs="Times New Roman"/>
          <w:sz w:val="24"/>
          <w:szCs w:val="24"/>
          <w:lang w:val="en-US"/>
        </w:rPr>
        <w:t>, 1432 Ås, Norway</w:t>
      </w:r>
    </w:p>
    <w:p w14:paraId="6778E774" w14:textId="77777777" w:rsidR="006737FB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6C6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D6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10021">
        <w:rPr>
          <w:rFonts w:ascii="Times New Roman" w:hAnsi="Times New Roman" w:cs="Times New Roman"/>
          <w:sz w:val="24"/>
          <w:szCs w:val="24"/>
          <w:lang w:val="en-US"/>
        </w:rPr>
        <w:t>Structural Biology and NMR Laboratory, Linderstrøm-Lang Centre for Protein Science, Department of Biology, University of Copenhagen, Denmark</w:t>
      </w:r>
    </w:p>
    <w:p w14:paraId="24544E3E" w14:textId="77777777" w:rsidR="006737FB" w:rsidRPr="00F17889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A088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CA088E">
        <w:rPr>
          <w:lang w:val="en-US"/>
        </w:rPr>
        <w:t xml:space="preserve"> </w:t>
      </w:r>
      <w:r w:rsidRPr="00CA088E">
        <w:rPr>
          <w:rFonts w:ascii="Times New Roman" w:hAnsi="Times New Roman" w:cs="Times New Roman"/>
          <w:sz w:val="24"/>
          <w:szCs w:val="24"/>
          <w:lang w:val="en-US"/>
        </w:rPr>
        <w:t>Eucodis Bioscience GmbH, Campus Vienna Biocenter 2, 1030 Wien, Austria</w:t>
      </w:r>
    </w:p>
    <w:p w14:paraId="514A7917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11435A8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6C63">
        <w:rPr>
          <w:rFonts w:ascii="Times New Roman" w:hAnsi="Times New Roman" w:cs="Times New Roman"/>
          <w:sz w:val="24"/>
          <w:szCs w:val="24"/>
          <w:lang w:val="en-US"/>
        </w:rPr>
        <w:t>*These authors contributed equally to this work</w:t>
      </w:r>
    </w:p>
    <w:p w14:paraId="6F5B40C0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6C63">
        <w:rPr>
          <w:rFonts w:ascii="Times New Roman" w:hAnsi="Times New Roman" w:cs="Times New Roman"/>
          <w:sz w:val="24"/>
          <w:szCs w:val="24"/>
          <w:lang w:val="en-US"/>
        </w:rPr>
        <w:t>**Corresponding author</w:t>
      </w:r>
    </w:p>
    <w:p w14:paraId="1ACFF3F9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6C63">
        <w:rPr>
          <w:rFonts w:ascii="Times New Roman" w:hAnsi="Times New Roman" w:cs="Times New Roman"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gaston.courtade@ntnu.no</w:t>
      </w:r>
    </w:p>
    <w:p w14:paraId="36CF526D" w14:textId="77777777" w:rsidR="006737FB" w:rsidRPr="009D6C63" w:rsidRDefault="006737FB" w:rsidP="006737F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6C63">
        <w:rPr>
          <w:rFonts w:ascii="Times New Roman" w:hAnsi="Times New Roman" w:cs="Times New Roman"/>
          <w:sz w:val="24"/>
          <w:szCs w:val="24"/>
          <w:lang w:val="en-US"/>
        </w:rPr>
        <w:t xml:space="preserve">Keywords: carbohydrate-binding </w:t>
      </w:r>
      <w:r>
        <w:rPr>
          <w:rFonts w:ascii="Times New Roman" w:hAnsi="Times New Roman" w:cs="Times New Roman"/>
          <w:sz w:val="24"/>
          <w:szCs w:val="24"/>
          <w:lang w:val="en-US"/>
        </w:rPr>
        <w:t>domain</w:t>
      </w:r>
      <w:r w:rsidRPr="009D6C63">
        <w:rPr>
          <w:rFonts w:ascii="Times New Roman" w:hAnsi="Times New Roman" w:cs="Times New Roman"/>
          <w:sz w:val="24"/>
          <w:szCs w:val="24"/>
          <w:lang w:val="en-US"/>
        </w:rPr>
        <w:t xml:space="preserve">, chitin, </w:t>
      </w:r>
      <w:r>
        <w:rPr>
          <w:rFonts w:ascii="Times New Roman" w:hAnsi="Times New Roman" w:cs="Times New Roman"/>
          <w:sz w:val="24"/>
          <w:szCs w:val="24"/>
          <w:lang w:val="en-US"/>
        </w:rPr>
        <w:t>lytic polysaccharide monooxygenase, molecular dynamics simulations, multi-modular,</w:t>
      </w:r>
      <w:r w:rsidRPr="009D6C63">
        <w:rPr>
          <w:rFonts w:ascii="Times New Roman" w:hAnsi="Times New Roman" w:cs="Times New Roman"/>
          <w:sz w:val="24"/>
          <w:szCs w:val="24"/>
          <w:lang w:val="en-US"/>
        </w:rPr>
        <w:t xml:space="preserve"> nuclear magnetic resonance (NMR)</w:t>
      </w:r>
      <w:r>
        <w:rPr>
          <w:rFonts w:ascii="Times New Roman" w:hAnsi="Times New Roman" w:cs="Times New Roman"/>
          <w:sz w:val="24"/>
          <w:szCs w:val="24"/>
          <w:lang w:val="en-US"/>
        </w:rPr>
        <w:t>, substrate binding</w:t>
      </w:r>
    </w:p>
    <w:p w14:paraId="2B91AFD3" w14:textId="31816864" w:rsidR="006737FB" w:rsidRDefault="006737FB" w:rsidP="004878C3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/>
      </w:r>
    </w:p>
    <w:p w14:paraId="4C8E8571" w14:textId="7A35533A" w:rsidR="00327F18" w:rsidRDefault="00327F18" w:rsidP="00327F18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8E4B19">
        <w:rPr>
          <w:rFonts w:ascii="Times New Roman" w:hAnsi="Times New Roman" w:cs="Times New Roman"/>
          <w:b/>
          <w:bCs/>
          <w:lang w:val="en-US"/>
        </w:rPr>
        <w:t>SUPPORTING INFORMATION</w:t>
      </w:r>
    </w:p>
    <w:p w14:paraId="643AD2AA" w14:textId="77777777" w:rsidR="00327F18" w:rsidRDefault="00327F1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23B26D75" w14:textId="28A5AEDB" w:rsidR="0073722C" w:rsidRDefault="0073722C" w:rsidP="0073722C">
      <w:pPr>
        <w:spacing w:line="240" w:lineRule="auto"/>
        <w:rPr>
          <w:rFonts w:ascii="Times New Roman" w:hAnsi="Times New Roman" w:cs="Times New Roman"/>
          <w:lang w:val="en-US"/>
        </w:rPr>
      </w:pPr>
      <w:r w:rsidRPr="00327F18">
        <w:rPr>
          <w:rFonts w:ascii="Times New Roman" w:hAnsi="Times New Roman" w:cs="Times New Roman"/>
          <w:b/>
          <w:bCs/>
          <w:lang w:val="en-US"/>
        </w:rPr>
        <w:lastRenderedPageBreak/>
        <w:t>Table S1</w:t>
      </w:r>
      <w:r>
        <w:rPr>
          <w:rFonts w:ascii="Times New Roman" w:hAnsi="Times New Roman" w:cs="Times New Roman"/>
          <w:lang w:val="en-US"/>
        </w:rPr>
        <w:t xml:space="preserve"> Restraints and structural statistics for the 20 best conformers of the NMR solution structure of </w:t>
      </w:r>
      <w:r w:rsidRPr="00BB3A8C">
        <w:rPr>
          <w:rFonts w:ascii="Times New Roman" w:hAnsi="Times New Roman" w:cs="Times New Roman"/>
          <w:i/>
          <w:iCs/>
          <w:lang w:val="en-US"/>
        </w:rPr>
        <w:t>Cj</w:t>
      </w:r>
      <w:r>
        <w:rPr>
          <w:rFonts w:ascii="Times New Roman" w:hAnsi="Times New Roman" w:cs="Times New Roman"/>
          <w:lang w:val="en-US"/>
        </w:rPr>
        <w:t>CBM5 (PDB ID:</w:t>
      </w:r>
      <w:r w:rsidRPr="00BB3A8C">
        <w:rPr>
          <w:lang w:val="en-US"/>
        </w:rPr>
        <w:t xml:space="preserve"> </w:t>
      </w:r>
      <w:r w:rsidRPr="00BB3A8C">
        <w:rPr>
          <w:rFonts w:ascii="Times New Roman" w:hAnsi="Times New Roman" w:cs="Times New Roman"/>
          <w:lang w:val="en-US"/>
        </w:rPr>
        <w:t>6Z40</w:t>
      </w:r>
      <w:r>
        <w:rPr>
          <w:rFonts w:ascii="Times New Roman" w:hAnsi="Times New Roman" w:cs="Times New Roman"/>
          <w:lang w:val="en-US"/>
        </w:rPr>
        <w:t xml:space="preserve">) and </w:t>
      </w:r>
      <w:r w:rsidRPr="00BB3A8C">
        <w:rPr>
          <w:rFonts w:ascii="Times New Roman" w:hAnsi="Times New Roman" w:cs="Times New Roman"/>
          <w:i/>
          <w:iCs/>
          <w:lang w:val="en-US"/>
        </w:rPr>
        <w:t>Cj</w:t>
      </w:r>
      <w:r>
        <w:rPr>
          <w:rFonts w:ascii="Times New Roman" w:hAnsi="Times New Roman" w:cs="Times New Roman"/>
          <w:lang w:val="en-US"/>
        </w:rPr>
        <w:t>CBM73 (PDB ID:</w:t>
      </w:r>
      <w:r w:rsidRPr="00BB3A8C">
        <w:rPr>
          <w:lang w:val="en-US"/>
        </w:rPr>
        <w:t xml:space="preserve"> </w:t>
      </w:r>
      <w:r w:rsidRPr="00BB3A8C">
        <w:rPr>
          <w:rFonts w:ascii="Times New Roman" w:hAnsi="Times New Roman" w:cs="Times New Roman"/>
          <w:lang w:val="en-US"/>
        </w:rPr>
        <w:t>6Z41</w:t>
      </w:r>
      <w:r>
        <w:rPr>
          <w:rFonts w:ascii="Times New Roman" w:hAnsi="Times New Roman" w:cs="Times New Roman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5240"/>
        <w:gridCol w:w="1700"/>
        <w:gridCol w:w="1701"/>
      </w:tblGrid>
      <w:tr w:rsidR="0073722C" w14:paraId="5AAA6DF0" w14:textId="77777777" w:rsidTr="004834A5">
        <w:tc>
          <w:tcPr>
            <w:tcW w:w="5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1DDB6D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77A7BD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i/>
                <w:iCs/>
                <w:lang w:val="en-US"/>
              </w:rPr>
              <w:t>Cj</w:t>
            </w:r>
            <w:r w:rsidRPr="00556CBF">
              <w:rPr>
                <w:rFonts w:ascii="Times New Roman" w:hAnsi="Times New Roman" w:cs="Times New Roman"/>
                <w:lang w:val="en-US"/>
              </w:rPr>
              <w:t>CBM5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AA78C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i/>
                <w:iCs/>
                <w:lang w:val="en-US"/>
              </w:rPr>
              <w:t>Cj</w:t>
            </w:r>
            <w:r w:rsidRPr="00556CBF">
              <w:rPr>
                <w:rFonts w:ascii="Times New Roman" w:hAnsi="Times New Roman" w:cs="Times New Roman"/>
                <w:lang w:val="en-US"/>
              </w:rPr>
              <w:t>CBM73</w:t>
            </w:r>
          </w:p>
        </w:tc>
      </w:tr>
      <w:tr w:rsidR="0073722C" w:rsidRPr="000D0742" w14:paraId="33E03262" w14:textId="77777777" w:rsidTr="004834A5">
        <w:tc>
          <w:tcPr>
            <w:tcW w:w="59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88659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6CBF">
              <w:rPr>
                <w:rFonts w:ascii="Times New Roman" w:hAnsi="Times New Roman" w:cs="Times New Roman"/>
                <w:b/>
                <w:bCs/>
                <w:lang w:val="en-US"/>
              </w:rPr>
              <w:t>Total number of NOE distance constraints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56EF55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6CBF">
              <w:rPr>
                <w:rFonts w:ascii="Times New Roman" w:hAnsi="Times New Roman" w:cs="Times New Roman"/>
                <w:b/>
                <w:bCs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28520A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6CBF">
              <w:rPr>
                <w:rFonts w:ascii="Times New Roman" w:hAnsi="Times New Roman" w:cs="Times New Roman"/>
                <w:b/>
                <w:bCs/>
                <w:lang w:val="en-US"/>
              </w:rPr>
              <w:t>656</w:t>
            </w:r>
          </w:p>
        </w:tc>
      </w:tr>
      <w:tr w:rsidR="0073722C" w14:paraId="1AA5AA8F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F9B0E5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8040C1F" w14:textId="5E2831FD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56CBF">
              <w:rPr>
                <w:rFonts w:ascii="Times New Roman" w:hAnsi="Times New Roman" w:cs="Times New Roman"/>
                <w:lang w:val="en-US"/>
              </w:rPr>
              <w:t>Intraresidue</w:t>
            </w:r>
            <w:proofErr w:type="spellEnd"/>
            <w:r w:rsidRPr="00556CBF">
              <w:rPr>
                <w:rFonts w:ascii="Times New Roman" w:hAnsi="Times New Roman" w:cs="Times New Roman"/>
                <w:lang w:val="en-US"/>
              </w:rPr>
              <w:t xml:space="preserve"> (|</w:t>
            </w:r>
            <w:proofErr w:type="spellStart"/>
            <w:r w:rsidRPr="00556CB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9A7330">
              <w:t xml:space="preserve"> </w:t>
            </w:r>
            <w:r w:rsidR="009A7330" w:rsidRPr="009A7330">
              <w:rPr>
                <w:rFonts w:ascii="Times New Roman" w:hAnsi="Times New Roman" w:cs="Times New Roman"/>
                <w:lang w:val="en-US"/>
              </w:rPr>
              <w:t>–</w:t>
            </w:r>
            <w:r w:rsidRPr="00556CBF">
              <w:rPr>
                <w:rFonts w:ascii="Times New Roman" w:hAnsi="Times New Roman" w:cs="Times New Roman"/>
                <w:lang w:val="en-US"/>
              </w:rPr>
              <w:t>j|=0)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E51CD50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33E5DEA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365</w:t>
            </w:r>
          </w:p>
        </w:tc>
      </w:tr>
      <w:tr w:rsidR="0073722C" w14:paraId="7DCC687F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8CED8A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981ACD0" w14:textId="4712AC9F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Sequential (|</w:t>
            </w:r>
            <w:proofErr w:type="spellStart"/>
            <w:r w:rsidRPr="00556CB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FB5FAB" w:rsidRPr="009A7330">
              <w:rPr>
                <w:rFonts w:ascii="Times New Roman" w:hAnsi="Times New Roman" w:cs="Times New Roman"/>
                <w:lang w:val="en-US"/>
              </w:rPr>
              <w:t>–</w:t>
            </w:r>
            <w:r w:rsidRPr="00556CBF">
              <w:rPr>
                <w:rFonts w:ascii="Times New Roman" w:hAnsi="Times New Roman" w:cs="Times New Roman"/>
                <w:lang w:val="en-US"/>
              </w:rPr>
              <w:t>j|=1)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ECF6DB3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B0201B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114</w:t>
            </w:r>
          </w:p>
        </w:tc>
      </w:tr>
      <w:tr w:rsidR="0073722C" w14:paraId="02963D49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5D1D549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7DF022D0" w14:textId="32753750" w:rsidR="0073722C" w:rsidRPr="00BC4215" w:rsidRDefault="0073722C" w:rsidP="004834A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C4215">
              <w:rPr>
                <w:rFonts w:ascii="Times New Roman" w:hAnsi="Times New Roman" w:cs="Times New Roman"/>
              </w:rPr>
              <w:t>Medium-range (1&lt;|i</w:t>
            </w:r>
            <w:r w:rsidR="00FB5FAB" w:rsidRPr="009C2135">
              <w:rPr>
                <w:rFonts w:ascii="Times New Roman" w:hAnsi="Times New Roman" w:cs="Times New Roman"/>
              </w:rPr>
              <w:t>–</w:t>
            </w:r>
            <w:r w:rsidRPr="00BC4215">
              <w:rPr>
                <w:rFonts w:ascii="Times New Roman" w:hAnsi="Times New Roman" w:cs="Times New Roman"/>
              </w:rPr>
              <w:t>j|&lt;5</w:t>
            </w:r>
            <w:r w:rsidR="00BC4215">
              <w:rPr>
                <w:rFonts w:ascii="Times New Roman" w:hAnsi="Times New Roman" w:cs="Times New Roman"/>
              </w:rPr>
              <w:t>Å</w:t>
            </w:r>
            <w:r w:rsidRPr="00BC421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07488D7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1B25C93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61</w:t>
            </w:r>
          </w:p>
        </w:tc>
      </w:tr>
      <w:tr w:rsidR="0073722C" w14:paraId="250B1ED5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B9DC3E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D4319FE" w14:textId="55D7D2F3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Long-range (|</w:t>
            </w:r>
            <w:proofErr w:type="spellStart"/>
            <w:r w:rsidRPr="00556CBF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="00FB5FAB" w:rsidRPr="009A7330">
              <w:rPr>
                <w:rFonts w:ascii="Times New Roman" w:hAnsi="Times New Roman" w:cs="Times New Roman"/>
                <w:lang w:val="en-US"/>
              </w:rPr>
              <w:t>–</w:t>
            </w:r>
            <w:r w:rsidRPr="00556CBF">
              <w:rPr>
                <w:rFonts w:ascii="Times New Roman" w:hAnsi="Times New Roman" w:cs="Times New Roman"/>
                <w:lang w:val="en-US"/>
              </w:rPr>
              <w:t>j|≥5</w:t>
            </w:r>
            <w:r w:rsidR="00BC4215">
              <w:rPr>
                <w:rFonts w:ascii="Times New Roman" w:hAnsi="Times New Roman" w:cs="Times New Roman"/>
                <w:lang w:val="en-US"/>
              </w:rPr>
              <w:t>Å</w:t>
            </w:r>
            <w:r w:rsidRPr="00556CB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24907CE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BD3E49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116</w:t>
            </w:r>
          </w:p>
        </w:tc>
      </w:tr>
      <w:tr w:rsidR="0073722C" w14:paraId="2819D6E7" w14:textId="77777777" w:rsidTr="004834A5"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AAA094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6CBF">
              <w:rPr>
                <w:rFonts w:ascii="Times New Roman" w:hAnsi="Times New Roman" w:cs="Times New Roman"/>
                <w:b/>
                <w:bCs/>
                <w:lang w:val="en-US"/>
              </w:rPr>
              <w:t>Torsion angle restraints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ADF2761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6CBF">
              <w:rPr>
                <w:rFonts w:ascii="Times New Roman" w:hAnsi="Times New Roman" w:cs="Times New Roman"/>
                <w:b/>
                <w:bCs/>
                <w:lang w:val="en-US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F6975E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556CBF">
              <w:rPr>
                <w:rFonts w:ascii="Times New Roman" w:hAnsi="Times New Roman" w:cs="Times New Roman"/>
                <w:b/>
                <w:bCs/>
                <w:lang w:val="en-US"/>
              </w:rPr>
              <w:t>66</w:t>
            </w:r>
          </w:p>
        </w:tc>
      </w:tr>
      <w:tr w:rsidR="0073722C" w14:paraId="78AD4D53" w14:textId="77777777" w:rsidTr="004834A5"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6292C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Structure statistics (20 conformers)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3E763AE0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8BD7E90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22C" w:rsidRPr="000D0742" w14:paraId="2E545215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B7C6263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5DD745E8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CYANA target function value (Å</w:t>
            </w:r>
            <w:r w:rsidRPr="00556CBF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  <w:r w:rsidRPr="00556CB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6A1BC3C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3.40</w:t>
            </w:r>
            <w:r w:rsidRPr="00556CBF">
              <w:rPr>
                <w:rFonts w:ascii="Times New Roman" w:hAnsi="Times New Roman" w:cs="Times New Roman"/>
                <w:lang w:val="en-US"/>
              </w:rPr>
              <w:t xml:space="preserve"> ± 0.</w:t>
            </w:r>
            <w:r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5BF134E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2.83 ± 0.18</w:t>
            </w:r>
          </w:p>
        </w:tc>
      </w:tr>
      <w:tr w:rsidR="0073722C" w:rsidRPr="000D0742" w14:paraId="1D022547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DDB2B0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B1CF995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Maximum residual distance constraint violation (Å)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19F957B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2366D0C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0.28</w:t>
            </w:r>
          </w:p>
        </w:tc>
      </w:tr>
      <w:tr w:rsidR="0073722C" w:rsidRPr="000D0742" w14:paraId="5A93E77B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65CC5F1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6022B4BF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556CBF">
              <w:rPr>
                <w:rFonts w:ascii="Times New Roman" w:hAnsi="Times New Roman" w:cs="Times New Roman"/>
                <w:lang w:val="en-US"/>
              </w:rPr>
              <w:t>Maximum torsion angle constraint violation (</w:t>
            </w:r>
            <w:r w:rsidRPr="00556CBF">
              <w:rPr>
                <w:rFonts w:ascii="Times New Roman" w:hAnsi="Times New Roman" w:cs="Times New Roman"/>
                <w:vertAlign w:val="superscript"/>
                <w:lang w:val="en-US"/>
              </w:rPr>
              <w:t>o</w:t>
            </w:r>
            <w:r w:rsidRPr="00556CBF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2E7CE984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5.75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9173689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4.21</w:t>
            </w:r>
          </w:p>
        </w:tc>
      </w:tr>
      <w:tr w:rsidR="0073722C" w:rsidRPr="00BA6F0C" w14:paraId="2A33BC1D" w14:textId="77777777" w:rsidTr="004834A5"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243EFC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PROCHECK-NMR Ramachandran plot analysis 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4913991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25A386F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22C" w14:paraId="157852EC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DC46A72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13345CF3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D640B">
              <w:rPr>
                <w:rFonts w:ascii="Times New Roman" w:hAnsi="Times New Roman" w:cs="Times New Roman"/>
                <w:lang w:val="en-US"/>
              </w:rPr>
              <w:t>Residues in favored regions (%)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ADE9F55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6D640B">
              <w:rPr>
                <w:rFonts w:ascii="Times New Roman" w:hAnsi="Times New Roman" w:cs="Times New Roman"/>
                <w:lang w:val="en-US"/>
              </w:rPr>
              <w:t>0.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935D8A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76.6</w:t>
            </w:r>
          </w:p>
        </w:tc>
      </w:tr>
      <w:tr w:rsidR="0073722C" w:rsidRPr="000D0742" w14:paraId="35DC52E9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11EEC4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7F01B688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D640B">
              <w:rPr>
                <w:rFonts w:ascii="Times New Roman" w:hAnsi="Times New Roman" w:cs="Times New Roman"/>
                <w:lang w:val="en-US"/>
              </w:rPr>
              <w:t>Residues in additionally allowed regions (%)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FC47DBB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Pr="006D640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01878BA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22.3</w:t>
            </w:r>
          </w:p>
        </w:tc>
      </w:tr>
      <w:tr w:rsidR="0073722C" w:rsidRPr="000D0742" w14:paraId="2C77A958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5783A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2FC24321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D640B">
              <w:rPr>
                <w:rFonts w:ascii="Times New Roman" w:hAnsi="Times New Roman" w:cs="Times New Roman"/>
                <w:lang w:val="en-US"/>
              </w:rPr>
              <w:t>Residues in generously allowed regions (%)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A961EB5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D640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C24D7CC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</w:tr>
      <w:tr w:rsidR="0073722C" w14:paraId="17E3FCC4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A84EBE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24E18439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6D640B">
              <w:rPr>
                <w:rFonts w:ascii="Times New Roman" w:hAnsi="Times New Roman" w:cs="Times New Roman"/>
                <w:lang w:val="en-US"/>
              </w:rPr>
              <w:t>Residues in forbidden regions (%)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7A9A5732" w14:textId="77777777" w:rsidR="0073722C" w:rsidRPr="006D640B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Pr="006D640B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E1006DD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</w:t>
            </w:r>
          </w:p>
        </w:tc>
      </w:tr>
      <w:tr w:rsidR="0073722C" w:rsidRPr="00BA6F0C" w14:paraId="761DEB22" w14:textId="77777777" w:rsidTr="004834A5"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4B2B0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RMSD to the average coordinates (Å)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5227C85A" w14:textId="77777777" w:rsidR="0073722C" w:rsidRPr="00556CBF" w:rsidRDefault="0073722C" w:rsidP="004834A5">
            <w:pPr>
              <w:spacing w:line="276" w:lineRule="auto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B3E0A4C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3722C" w14:paraId="4D76162C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4D27C45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49F66C43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878FF">
              <w:rPr>
                <w:rFonts w:ascii="Times New Roman" w:hAnsi="Times New Roman" w:cs="Times New Roman"/>
                <w:lang w:val="en-US"/>
              </w:rPr>
              <w:t>N, C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>α</w:t>
            </w:r>
            <w:r w:rsidRPr="008878FF">
              <w:rPr>
                <w:rFonts w:ascii="Times New Roman" w:hAnsi="Times New Roman" w:cs="Times New Roman"/>
                <w:lang w:val="en-US"/>
              </w:rPr>
              <w:t>, C’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 xml:space="preserve"> 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0DA4104C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1.47</w:t>
            </w:r>
            <w:r w:rsidRPr="008878FF">
              <w:rPr>
                <w:rFonts w:ascii="Times New Roman" w:hAnsi="Times New Roman" w:cs="Times New Roman"/>
                <w:lang w:val="en-US"/>
              </w:rPr>
              <w:t xml:space="preserve"> ± 0.</w:t>
            </w:r>
            <w:r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A11F1CC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1.12 ± 0.28</w:t>
            </w:r>
          </w:p>
        </w:tc>
      </w:tr>
      <w:tr w:rsidR="0073722C" w14:paraId="6A59CF7B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3D6183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3BD2BC07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878FF">
              <w:rPr>
                <w:rFonts w:ascii="Times New Roman" w:hAnsi="Times New Roman" w:cs="Times New Roman"/>
                <w:lang w:val="en-US"/>
              </w:rPr>
              <w:t xml:space="preserve">Heavy atoms 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1E841F6D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Pr="008878FF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  <w:r w:rsidRPr="008878FF">
              <w:rPr>
                <w:rFonts w:ascii="Times New Roman" w:hAnsi="Times New Roman" w:cs="Times New Roman"/>
                <w:lang w:val="en-US"/>
              </w:rPr>
              <w:t xml:space="preserve"> ± 0.</w:t>
            </w: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B66BFE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1.52 ± 0.39</w:t>
            </w:r>
          </w:p>
        </w:tc>
      </w:tr>
      <w:tr w:rsidR="0073722C" w:rsidRPr="000D0742" w14:paraId="5AD6A7E6" w14:textId="77777777" w:rsidTr="004834A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798438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14:paraId="5AD20659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878FF">
              <w:rPr>
                <w:rFonts w:ascii="Times New Roman" w:hAnsi="Times New Roman" w:cs="Times New Roman"/>
                <w:lang w:val="en-US"/>
              </w:rPr>
              <w:t>N, C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>α</w:t>
            </w:r>
            <w:r w:rsidRPr="008878FF">
              <w:rPr>
                <w:rFonts w:ascii="Times New Roman" w:hAnsi="Times New Roman" w:cs="Times New Roman"/>
                <w:lang w:val="en-US"/>
              </w:rPr>
              <w:t>, C’ (secondary structure)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464A7267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878FF">
              <w:rPr>
                <w:rFonts w:ascii="Times New Roman" w:hAnsi="Times New Roman" w:cs="Times New Roman"/>
                <w:lang w:val="en-US"/>
              </w:rPr>
              <w:t>0.4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8878FF">
              <w:rPr>
                <w:rFonts w:ascii="Times New Roman" w:hAnsi="Times New Roman" w:cs="Times New Roman"/>
                <w:lang w:val="en-US"/>
              </w:rPr>
              <w:t xml:space="preserve"> ± 0.1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113ACBD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0.36 ± 0.11</w:t>
            </w:r>
          </w:p>
        </w:tc>
      </w:tr>
      <w:tr w:rsidR="0073722C" w:rsidRPr="000D0742" w14:paraId="4BE84625" w14:textId="77777777" w:rsidTr="004834A5"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40934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20A3F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878FF">
              <w:rPr>
                <w:rFonts w:ascii="Times New Roman" w:hAnsi="Times New Roman" w:cs="Times New Roman"/>
                <w:lang w:val="en-US"/>
              </w:rPr>
              <w:t>Heavy atoms (secondary structure)</w:t>
            </w:r>
            <w:r w:rsidRPr="008878FF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0048E" w14:textId="77777777" w:rsidR="0073722C" w:rsidRPr="008878FF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878FF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35</w:t>
            </w:r>
            <w:r w:rsidRPr="008878FF">
              <w:rPr>
                <w:rFonts w:ascii="Times New Roman" w:hAnsi="Times New Roman" w:cs="Times New Roman"/>
                <w:lang w:val="en-US"/>
              </w:rPr>
              <w:t xml:space="preserve"> ± 0.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5B841E" w14:textId="77777777" w:rsidR="0073722C" w:rsidRDefault="0073722C" w:rsidP="004834A5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0.74 ± 0.13</w:t>
            </w:r>
          </w:p>
        </w:tc>
      </w:tr>
    </w:tbl>
    <w:p w14:paraId="28D7CBB7" w14:textId="14532921" w:rsidR="0073722C" w:rsidRDefault="0073722C" w:rsidP="0073722C">
      <w:pPr>
        <w:spacing w:line="240" w:lineRule="auto"/>
        <w:rPr>
          <w:rFonts w:ascii="Times New Roman" w:hAnsi="Times New Roman" w:cs="Times New Roman"/>
          <w:lang w:val="en-US"/>
        </w:rPr>
      </w:pPr>
      <w:r w:rsidRPr="008878FF">
        <w:rPr>
          <w:rFonts w:ascii="Times New Roman" w:hAnsi="Times New Roman" w:cs="Times New Roman"/>
          <w:vertAlign w:val="superscript"/>
          <w:lang w:val="en-US"/>
        </w:rPr>
        <w:t xml:space="preserve">a </w:t>
      </w:r>
      <w:r w:rsidRPr="008878FF">
        <w:rPr>
          <w:rFonts w:ascii="Times New Roman" w:hAnsi="Times New Roman" w:cs="Times New Roman"/>
          <w:lang w:val="en-US"/>
        </w:rPr>
        <w:t>Residues</w:t>
      </w:r>
      <w:r w:rsidR="006E5313">
        <w:rPr>
          <w:rFonts w:ascii="Times New Roman" w:hAnsi="Times New Roman" w:cs="Times New Roman"/>
          <w:lang w:val="en-US"/>
        </w:rPr>
        <w:t xml:space="preserve"> used for RMSD calculation.</w:t>
      </w:r>
      <w:r w:rsidRPr="008878FF">
        <w:rPr>
          <w:rFonts w:ascii="Times New Roman" w:hAnsi="Times New Roman" w:cs="Times New Roman"/>
          <w:lang w:val="en-US"/>
        </w:rPr>
        <w:t xml:space="preserve"> </w:t>
      </w:r>
      <w:r w:rsidRPr="008878FF">
        <w:rPr>
          <w:rFonts w:ascii="Times New Roman" w:hAnsi="Times New Roman" w:cs="Times New Roman"/>
          <w:i/>
          <w:iCs/>
          <w:lang w:val="en-US"/>
        </w:rPr>
        <w:t>Cj</w:t>
      </w:r>
      <w:r w:rsidRPr="008878FF">
        <w:rPr>
          <w:rFonts w:ascii="Times New Roman" w:hAnsi="Times New Roman" w:cs="Times New Roman"/>
          <w:lang w:val="en-US"/>
        </w:rPr>
        <w:t>CBM5: 2</w:t>
      </w:r>
      <w:r w:rsidR="00530B8A">
        <w:rPr>
          <w:rFonts w:ascii="Times New Roman" w:hAnsi="Times New Roman" w:cs="Times New Roman"/>
          <w:lang w:val="en-US"/>
        </w:rPr>
        <w:t>51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307</w:t>
      </w:r>
      <w:r>
        <w:rPr>
          <w:rFonts w:ascii="Times New Roman" w:hAnsi="Times New Roman" w:cs="Times New Roman"/>
          <w:lang w:val="en-US"/>
        </w:rPr>
        <w:t xml:space="preserve">; </w:t>
      </w:r>
      <w:r w:rsidRPr="00CF27D8">
        <w:rPr>
          <w:rFonts w:ascii="Times New Roman" w:hAnsi="Times New Roman" w:cs="Times New Roman"/>
          <w:i/>
          <w:iCs/>
          <w:lang w:val="en-US"/>
        </w:rPr>
        <w:t>Cj</w:t>
      </w:r>
      <w:r>
        <w:rPr>
          <w:rFonts w:ascii="Times New Roman" w:hAnsi="Times New Roman" w:cs="Times New Roman"/>
          <w:lang w:val="en-US"/>
        </w:rPr>
        <w:t xml:space="preserve">CBM73: </w:t>
      </w:r>
      <w:r w:rsidR="00530B8A">
        <w:rPr>
          <w:rFonts w:ascii="Times New Roman" w:hAnsi="Times New Roman" w:cs="Times New Roman"/>
          <w:lang w:val="en-US"/>
        </w:rPr>
        <w:t>338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397</w:t>
      </w:r>
      <w:r w:rsidRPr="00CF27D8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vertAlign w:val="superscript"/>
          <w:lang w:val="en-US"/>
        </w:rPr>
        <w:t>b</w:t>
      </w:r>
      <w:r>
        <w:rPr>
          <w:rFonts w:ascii="Times New Roman" w:hAnsi="Times New Roman" w:cs="Times New Roman"/>
          <w:lang w:val="en-US"/>
        </w:rPr>
        <w:t xml:space="preserve"> Residues </w:t>
      </w:r>
      <w:r w:rsidR="006E5313">
        <w:rPr>
          <w:rFonts w:ascii="Times New Roman" w:hAnsi="Times New Roman" w:cs="Times New Roman"/>
          <w:lang w:val="en-US"/>
        </w:rPr>
        <w:t>used for RMSD calculation.</w:t>
      </w:r>
      <w:r w:rsidR="006E5313" w:rsidRPr="008878FF">
        <w:rPr>
          <w:rFonts w:ascii="Times New Roman" w:hAnsi="Times New Roman" w:cs="Times New Roman"/>
          <w:lang w:val="en-US"/>
        </w:rPr>
        <w:t xml:space="preserve"> </w:t>
      </w:r>
      <w:r w:rsidRPr="00CF27D8">
        <w:rPr>
          <w:rFonts w:ascii="Times New Roman" w:hAnsi="Times New Roman" w:cs="Times New Roman"/>
          <w:i/>
          <w:iCs/>
          <w:lang w:val="en-US"/>
        </w:rPr>
        <w:t>Cj</w:t>
      </w:r>
      <w:r>
        <w:rPr>
          <w:rFonts w:ascii="Times New Roman" w:hAnsi="Times New Roman" w:cs="Times New Roman"/>
          <w:lang w:val="en-US"/>
        </w:rPr>
        <w:t>CBM5: 2</w:t>
      </w:r>
      <w:r w:rsidR="00530B8A">
        <w:rPr>
          <w:rFonts w:ascii="Times New Roman" w:hAnsi="Times New Roman" w:cs="Times New Roman"/>
          <w:lang w:val="en-US"/>
        </w:rPr>
        <w:t>71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274</w:t>
      </w:r>
      <w:r>
        <w:rPr>
          <w:rFonts w:ascii="Times New Roman" w:hAnsi="Times New Roman" w:cs="Times New Roman"/>
          <w:lang w:val="en-US"/>
        </w:rPr>
        <w:t>, 27</w:t>
      </w:r>
      <w:r w:rsidR="00530B8A">
        <w:rPr>
          <w:rFonts w:ascii="Times New Roman" w:hAnsi="Times New Roman" w:cs="Times New Roman"/>
          <w:lang w:val="en-US"/>
        </w:rPr>
        <w:t>6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280</w:t>
      </w:r>
      <w:r>
        <w:rPr>
          <w:rFonts w:ascii="Times New Roman" w:hAnsi="Times New Roman" w:cs="Times New Roman"/>
          <w:lang w:val="en-US"/>
        </w:rPr>
        <w:t>,</w:t>
      </w:r>
      <w:r w:rsidR="008B654F">
        <w:rPr>
          <w:rFonts w:ascii="Times New Roman" w:hAnsi="Times New Roman" w:cs="Times New Roman"/>
          <w:lang w:val="en-US"/>
        </w:rPr>
        <w:t xml:space="preserve"> </w:t>
      </w:r>
      <w:r w:rsidR="00530B8A">
        <w:rPr>
          <w:rFonts w:ascii="Times New Roman" w:hAnsi="Times New Roman" w:cs="Times New Roman"/>
          <w:lang w:val="en-US"/>
        </w:rPr>
        <w:t>298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301</w:t>
      </w:r>
      <w:r>
        <w:rPr>
          <w:rFonts w:ascii="Times New Roman" w:hAnsi="Times New Roman" w:cs="Times New Roman"/>
          <w:lang w:val="en-US"/>
        </w:rPr>
        <w:t xml:space="preserve"> and </w:t>
      </w:r>
      <w:r w:rsidRPr="00CF27D8">
        <w:rPr>
          <w:rFonts w:ascii="Times New Roman" w:hAnsi="Times New Roman" w:cs="Times New Roman"/>
          <w:i/>
          <w:iCs/>
          <w:lang w:val="en-US"/>
        </w:rPr>
        <w:t>Cj</w:t>
      </w:r>
      <w:r>
        <w:rPr>
          <w:rFonts w:ascii="Times New Roman" w:hAnsi="Times New Roman" w:cs="Times New Roman"/>
          <w:lang w:val="en-US"/>
        </w:rPr>
        <w:t xml:space="preserve">CBM73: </w:t>
      </w:r>
      <w:r w:rsidR="00530B8A">
        <w:rPr>
          <w:rFonts w:ascii="Times New Roman" w:hAnsi="Times New Roman" w:cs="Times New Roman"/>
          <w:lang w:val="en-US"/>
        </w:rPr>
        <w:t>357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>3</w:t>
      </w:r>
      <w:r w:rsidR="00530B8A">
        <w:rPr>
          <w:rFonts w:ascii="Times New Roman" w:hAnsi="Times New Roman" w:cs="Times New Roman"/>
          <w:lang w:val="en-US"/>
        </w:rPr>
        <w:t>59</w:t>
      </w:r>
      <w:r>
        <w:rPr>
          <w:rFonts w:ascii="Times New Roman" w:hAnsi="Times New Roman" w:cs="Times New Roman"/>
          <w:lang w:val="en-US"/>
        </w:rPr>
        <w:t xml:space="preserve">, </w:t>
      </w:r>
      <w:r w:rsidR="00530B8A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>6</w:t>
      </w:r>
      <w:r w:rsidR="00530B8A">
        <w:rPr>
          <w:rFonts w:ascii="Times New Roman" w:hAnsi="Times New Roman" w:cs="Times New Roman"/>
          <w:lang w:val="en-US"/>
        </w:rPr>
        <w:t>2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366</w:t>
      </w:r>
      <w:r>
        <w:rPr>
          <w:rFonts w:ascii="Times New Roman" w:hAnsi="Times New Roman" w:cs="Times New Roman"/>
          <w:lang w:val="en-US"/>
        </w:rPr>
        <w:t>, 3</w:t>
      </w:r>
      <w:r w:rsidR="00530B8A">
        <w:rPr>
          <w:rFonts w:ascii="Times New Roman" w:hAnsi="Times New Roman" w:cs="Times New Roman"/>
          <w:lang w:val="en-US"/>
        </w:rPr>
        <w:t>71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374</w:t>
      </w:r>
      <w:r>
        <w:rPr>
          <w:rFonts w:ascii="Times New Roman" w:hAnsi="Times New Roman" w:cs="Times New Roman"/>
          <w:lang w:val="en-US"/>
        </w:rPr>
        <w:t xml:space="preserve">, </w:t>
      </w:r>
      <w:r w:rsidR="00530B8A">
        <w:rPr>
          <w:rFonts w:ascii="Times New Roman" w:hAnsi="Times New Roman" w:cs="Times New Roman"/>
          <w:lang w:val="en-US"/>
        </w:rPr>
        <w:t>390</w:t>
      </w:r>
      <w:r w:rsidR="00FB5FAB" w:rsidRPr="009A7330">
        <w:rPr>
          <w:rFonts w:ascii="Times New Roman" w:hAnsi="Times New Roman" w:cs="Times New Roman"/>
          <w:lang w:val="en-US"/>
        </w:rPr>
        <w:t>–</w:t>
      </w:r>
      <w:r w:rsidR="00530B8A">
        <w:rPr>
          <w:rFonts w:ascii="Times New Roman" w:hAnsi="Times New Roman" w:cs="Times New Roman"/>
          <w:lang w:val="en-US"/>
        </w:rPr>
        <w:t>394</w:t>
      </w:r>
    </w:p>
    <w:p w14:paraId="6D1369AB" w14:textId="1CC9C03B" w:rsidR="008F4796" w:rsidRDefault="008F4796" w:rsidP="004878C3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02E05BB3" w14:textId="742A8158" w:rsidR="008F4796" w:rsidRDefault="008F4796" w:rsidP="004878C3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31310F33" w14:textId="5660AFA0" w:rsidR="0063547F" w:rsidRPr="003E39D3" w:rsidRDefault="008F479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50B70EF6" w14:textId="018858CA" w:rsidR="00DD30E0" w:rsidRDefault="00367087" w:rsidP="008B4D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 wp14:anchorId="66C2EE3C" wp14:editId="4CDF49F9">
            <wp:extent cx="5943600" cy="4826000"/>
            <wp:effectExtent l="0" t="0" r="0" b="0"/>
            <wp:docPr id="8" name="Picture 8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DA725" w14:textId="6DEED863" w:rsidR="00742B89" w:rsidRPr="008C310E" w:rsidRDefault="00742B89" w:rsidP="00DD30E0">
      <w:p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2A18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Figure </w:t>
      </w:r>
      <w:r w:rsidR="00081D2A">
        <w:rPr>
          <w:rFonts w:ascii="Times New Roman" w:hAnsi="Times New Roman" w:cs="Times New Roman"/>
          <w:b/>
          <w:bCs/>
          <w:sz w:val="28"/>
          <w:szCs w:val="28"/>
          <w:lang w:val="en-US"/>
        </w:rPr>
        <w:t>S1</w:t>
      </w:r>
      <w:r w:rsidRPr="002A186E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2A1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186E">
        <w:rPr>
          <w:rFonts w:ascii="Times New Roman" w:hAnsi="Times New Roman" w:cs="Times New Roman"/>
          <w:sz w:val="24"/>
          <w:szCs w:val="24"/>
          <w:lang w:val="en-US"/>
        </w:rPr>
        <w:t xml:space="preserve">Thermal stability of </w:t>
      </w:r>
      <w:r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Pr="002A186E">
        <w:rPr>
          <w:rFonts w:ascii="Times New Roman" w:hAnsi="Times New Roman" w:cs="Times New Roman"/>
          <w:sz w:val="24"/>
          <w:szCs w:val="24"/>
          <w:lang w:val="en-US"/>
        </w:rPr>
        <w:t>LPMO10A variants.</w:t>
      </w:r>
      <w:r w:rsidRPr="002A18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The plots show the melting curves and apparent melting temperatures (T</w:t>
      </w:r>
      <w:r w:rsidRPr="008C310E"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m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 xml:space="preserve">) for copper-saturated </w:t>
      </w:r>
      <w:bookmarkStart w:id="1" w:name="_Hlk52796772"/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>Cj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LPMO10A</w:t>
      </w:r>
      <w:r w:rsidRPr="008C310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FL</w:t>
      </w:r>
      <w:bookmarkEnd w:id="1"/>
      <w:r w:rsidRPr="008C310E">
        <w:rPr>
          <w:rFonts w:ascii="Times New Roman" w:hAnsi="Times New Roman" w:cs="Times New Roman"/>
          <w:sz w:val="24"/>
          <w:szCs w:val="28"/>
          <w:lang w:val="en-US"/>
        </w:rPr>
        <w:t xml:space="preserve">, </w:t>
      </w:r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>Cj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LPMO10A</w:t>
      </w:r>
      <w:r w:rsidRPr="002A186E">
        <w:rPr>
          <w:rFonts w:ascii="Times New Roman" w:hAnsi="Times New Roman" w:cs="Times New Roman"/>
          <w:sz w:val="24"/>
          <w:szCs w:val="28"/>
          <w:vertAlign w:val="superscript"/>
        </w:rPr>
        <w:t>Δ</w:t>
      </w:r>
      <w:r w:rsidRPr="008C310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CBM73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 xml:space="preserve">, and </w:t>
      </w:r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>Cj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LPMO10A</w:t>
      </w:r>
      <w:r w:rsidRPr="008C310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CD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 xml:space="preserve">, as well as the apo form of </w:t>
      </w:r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>Cj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LPMO10A</w:t>
      </w:r>
      <w:r w:rsidRPr="008C310E">
        <w:rPr>
          <w:rFonts w:ascii="Times New Roman" w:hAnsi="Times New Roman" w:cs="Times New Roman"/>
          <w:sz w:val="24"/>
          <w:szCs w:val="28"/>
          <w:vertAlign w:val="superscript"/>
          <w:lang w:val="en-US"/>
        </w:rPr>
        <w:t>CD</w:t>
      </w:r>
      <w:r w:rsidR="001F0C12" w:rsidRPr="001F0C12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1F0C1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>Cj</w:t>
      </w:r>
      <w:r w:rsidRPr="008C310E">
        <w:rPr>
          <w:rFonts w:ascii="Times New Roman" w:hAnsi="Times New Roman" w:cs="Times New Roman"/>
          <w:iCs/>
          <w:sz w:val="24"/>
          <w:szCs w:val="28"/>
          <w:lang w:val="en-US"/>
        </w:rPr>
        <w:t xml:space="preserve">CBM5 and </w:t>
      </w:r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>Cj</w:t>
      </w:r>
      <w:r w:rsidRPr="008C310E">
        <w:rPr>
          <w:rFonts w:ascii="Times New Roman" w:hAnsi="Times New Roman" w:cs="Times New Roman"/>
          <w:iCs/>
          <w:sz w:val="24"/>
          <w:szCs w:val="28"/>
          <w:lang w:val="en-US"/>
        </w:rPr>
        <w:t>CBM73.</w:t>
      </w:r>
      <w:r w:rsidRPr="008C310E">
        <w:rPr>
          <w:rFonts w:ascii="Times New Roman" w:hAnsi="Times New Roman" w:cs="Times New Roman"/>
          <w:i/>
          <w:sz w:val="24"/>
          <w:szCs w:val="28"/>
          <w:lang w:val="en-US"/>
        </w:rPr>
        <w:t xml:space="preserve"> 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The derivative of the fluorescence signal (-</w:t>
      </w:r>
      <w:proofErr w:type="spellStart"/>
      <w:r w:rsidRPr="008C310E">
        <w:rPr>
          <w:rFonts w:ascii="Times New Roman" w:hAnsi="Times New Roman" w:cs="Times New Roman"/>
          <w:sz w:val="24"/>
          <w:szCs w:val="28"/>
          <w:lang w:val="en-US"/>
        </w:rPr>
        <w:t>dRFU</w:t>
      </w:r>
      <w:proofErr w:type="spellEnd"/>
      <w:r w:rsidRPr="008C310E">
        <w:rPr>
          <w:rFonts w:ascii="Times New Roman" w:hAnsi="Times New Roman" w:cs="Times New Roman"/>
          <w:sz w:val="24"/>
          <w:szCs w:val="28"/>
          <w:lang w:val="en-US"/>
        </w:rPr>
        <w:t xml:space="preserve">/dT, where “RFU” stands for relative fluorescence units”) is plotted as a function of the temperature </w:t>
      </w:r>
      <w:r w:rsidR="00244FBD" w:rsidRPr="00244FBD">
        <w:rPr>
          <w:rFonts w:ascii="Times New Roman" w:hAnsi="Times New Roman" w:cs="Times New Roman"/>
          <w:noProof/>
          <w:sz w:val="24"/>
          <w:szCs w:val="28"/>
          <w:lang w:val="en-US"/>
        </w:rPr>
        <w:t>(1)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>. The reactions contained 0.1 g/L protein and were heated from 25 °C to 95 °C, at a rate of 1.5 °C /min, in the presence of SYPRO orange (a fluorescent dye). The scans were performed four times for each protein and the Figures show a typical scan. All apparent melting temperatures (T</w:t>
      </w:r>
      <w:r w:rsidRPr="008C310E">
        <w:rPr>
          <w:rFonts w:ascii="Times New Roman" w:hAnsi="Times New Roman" w:cs="Times New Roman"/>
          <w:sz w:val="24"/>
          <w:szCs w:val="28"/>
          <w:vertAlign w:val="subscript"/>
          <w:lang w:val="en-US"/>
        </w:rPr>
        <w:t>m</w:t>
      </w:r>
      <w:r w:rsidRPr="008C310E">
        <w:rPr>
          <w:rFonts w:ascii="Times New Roman" w:hAnsi="Times New Roman" w:cs="Times New Roman"/>
          <w:sz w:val="24"/>
          <w:szCs w:val="28"/>
          <w:lang w:val="en-US"/>
        </w:rPr>
        <w:t xml:space="preserve">) had standard deviations below ±0.3 °C. </w:t>
      </w:r>
    </w:p>
    <w:p w14:paraId="269C004D" w14:textId="74BEB336" w:rsidR="00106BAB" w:rsidRDefault="00106BAB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17025FE8" w14:textId="53C1BE00" w:rsidR="00106BAB" w:rsidRDefault="00106BAB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7EFA777" w14:textId="4FBAFE56" w:rsidR="00B4025A" w:rsidRDefault="00B4025A" w:rsidP="00B4025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FF87DF6" wp14:editId="3B05186A">
            <wp:extent cx="5943600" cy="2534920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1D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Figure S2. 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Multiple sequence alignment performed on a selection of members of CBM5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(blue)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>, CBM12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(green)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and CBM73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(grey)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>. The sequences are identified by the Gen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ank accession code and the CBM family registered in the </w:t>
      </w:r>
      <w:proofErr w:type="spellStart"/>
      <w:r w:rsidRPr="00021D7D">
        <w:rPr>
          <w:rFonts w:ascii="Times New Roman" w:hAnsi="Times New Roman" w:cs="Times New Roman"/>
          <w:sz w:val="24"/>
          <w:szCs w:val="24"/>
          <w:lang w:val="en-US"/>
        </w:rPr>
        <w:t>CAZy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database </w:t>
      </w:r>
      <w:r w:rsidRPr="00021D7D">
        <w:rPr>
          <w:rFonts w:ascii="Times New Roman" w:hAnsi="Times New Roman" w:cs="Times New Roman"/>
          <w:noProof/>
          <w:sz w:val="24"/>
          <w:szCs w:val="24"/>
          <w:lang w:val="en-US"/>
        </w:rPr>
        <w:t>(2)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. The source organisms are abbreviated as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Cellvibrio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japonicus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Francisella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tularensis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Ft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Saccharophagus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degradans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Sd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Vibrio cholerae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Vc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Pyrococcus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furiosus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Pf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Mortella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marina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Mm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Serratia marcescens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Sm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Streptomyces griseus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Sg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Dickeya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dadantii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Dd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Jonesia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denitrificans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Jd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Janthinobacterium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lividum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Jl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Bacillus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circulans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Bc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Chromobacterium</w:t>
      </w:r>
      <w:proofErr w:type="spellEnd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violaceum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Cv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>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Vibrio parahaemolyticus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21D7D">
        <w:rPr>
          <w:rFonts w:ascii="Times New Roman" w:hAnsi="Times New Roman" w:cs="Times New Roman"/>
          <w:i/>
          <w:iCs/>
          <w:sz w:val="24"/>
          <w:szCs w:val="24"/>
          <w:lang w:val="en-US"/>
        </w:rPr>
        <w:t>Vp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n-US"/>
        </w:rPr>
        <w:t>Amino acids on the binding surface are highlighted in purple and correspond to the residues highlighted in Figure 8. These and other c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onserved aromatic residues are marked with </w:t>
      </w:r>
      <w:r>
        <w:rPr>
          <w:rFonts w:ascii="Times New Roman" w:hAnsi="Times New Roman" w:cs="Times New Roman"/>
          <w:sz w:val="24"/>
          <w:szCs w:val="24"/>
          <w:lang w:val="en-US"/>
        </w:rPr>
        <w:t>grey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box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asterisks indicate two aromatic residues highly conserved in these CBMs, all buried in the hydrophobic core of these proteins.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Conserved cysteines are marked with </w:t>
      </w:r>
      <w:r>
        <w:rPr>
          <w:rFonts w:ascii="Times New Roman" w:hAnsi="Times New Roman" w:cs="Times New Roman"/>
          <w:sz w:val="24"/>
          <w:szCs w:val="24"/>
          <w:lang w:val="en-US"/>
        </w:rPr>
        <w:t>yellow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box</w:t>
      </w:r>
      <w:r>
        <w:rPr>
          <w:rFonts w:ascii="Times New Roman" w:hAnsi="Times New Roman" w:cs="Times New Roman"/>
          <w:sz w:val="24"/>
          <w:szCs w:val="24"/>
          <w:lang w:val="en-US"/>
        </w:rPr>
        <w:t>es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>. The MSA was p</w:t>
      </w:r>
      <w:r>
        <w:rPr>
          <w:rFonts w:ascii="Times New Roman" w:hAnsi="Times New Roman" w:cs="Times New Roman"/>
          <w:sz w:val="24"/>
          <w:szCs w:val="24"/>
          <w:lang w:val="en-US"/>
        </w:rPr>
        <w:t>repared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using </w:t>
      </w:r>
      <w:proofErr w:type="spellStart"/>
      <w:r w:rsidRPr="00021D7D">
        <w:rPr>
          <w:rFonts w:ascii="Times New Roman" w:hAnsi="Times New Roman" w:cs="Times New Roman"/>
          <w:sz w:val="24"/>
          <w:szCs w:val="24"/>
          <w:lang w:val="en-US"/>
        </w:rPr>
        <w:t>Clustal</w:t>
      </w:r>
      <w:proofErr w:type="spellEnd"/>
      <w:r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Omega 1.2.4 </w:t>
      </w:r>
      <w:r w:rsidRPr="00021D7D">
        <w:rPr>
          <w:rFonts w:ascii="Times New Roman" w:hAnsi="Times New Roman" w:cs="Times New Roman"/>
          <w:noProof/>
          <w:sz w:val="24"/>
          <w:szCs w:val="24"/>
          <w:lang w:val="en-US"/>
        </w:rPr>
        <w:t>(3)</w:t>
      </w:r>
      <w:r w:rsidRPr="00021D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2CDEB4" w14:textId="335CC562" w:rsidR="004C069C" w:rsidRDefault="004C069C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529F8720" w14:textId="4D0FA9CC" w:rsidR="00077834" w:rsidRDefault="00077834" w:rsidP="003670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6CF1C269" wp14:editId="11BC250B">
            <wp:extent cx="4320000" cy="28800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AA9A6" w14:textId="0667AE8A" w:rsidR="00A51958" w:rsidRDefault="00077834" w:rsidP="0036708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72807833" wp14:editId="43DDE8F9">
            <wp:extent cx="4320000" cy="288000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D180C" w14:textId="1BD962AB" w:rsidR="009C2135" w:rsidRDefault="004C069C" w:rsidP="008B4D14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021D7D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S3.</w:t>
      </w:r>
      <w:r w:rsidR="00695A49"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C66" w:rsidRPr="00435C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7F62">
        <w:rPr>
          <w:rFonts w:ascii="Times New Roman" w:hAnsi="Times New Roman" w:cs="Times New Roman"/>
          <w:sz w:val="24"/>
          <w:szCs w:val="24"/>
          <w:lang w:val="en-US"/>
        </w:rPr>
        <w:t>Potential of mean force (</w:t>
      </w:r>
      <w:r w:rsidR="00D61BA9" w:rsidRPr="00D61BA9">
        <w:rPr>
          <w:rFonts w:ascii="Times New Roman" w:hAnsi="Times New Roman" w:cs="Times New Roman"/>
          <w:sz w:val="24"/>
          <w:szCs w:val="24"/>
          <w:lang w:val="en-US"/>
        </w:rPr>
        <w:t>PMF</w:t>
      </w:r>
      <w:r w:rsidR="00087F62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61BA9" w:rsidRPr="00D61BA9">
        <w:rPr>
          <w:rFonts w:ascii="Times New Roman" w:hAnsi="Times New Roman" w:cs="Times New Roman"/>
          <w:sz w:val="24"/>
          <w:szCs w:val="24"/>
          <w:lang w:val="en-US"/>
        </w:rPr>
        <w:t xml:space="preserve"> profiles </w:t>
      </w:r>
      <w:r w:rsidR="00087F62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435C66" w:rsidRPr="00435C66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CBM5 (</w:t>
      </w:r>
      <w:r w:rsidR="00435C66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) and </w:t>
      </w:r>
      <w:r w:rsidR="00435C66" w:rsidRPr="00435C66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CBM73 (</w:t>
      </w:r>
      <w:r w:rsidR="00435C66">
        <w:rPr>
          <w:rFonts w:ascii="Times New Roman" w:hAnsi="Times New Roman" w:cs="Times New Roman"/>
          <w:sz w:val="24"/>
          <w:szCs w:val="24"/>
          <w:lang w:val="en-US"/>
        </w:rPr>
        <w:t>bottom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87F62">
        <w:rPr>
          <w:rFonts w:ascii="Times New Roman" w:hAnsi="Times New Roman" w:cs="Times New Roman"/>
          <w:sz w:val="24"/>
          <w:szCs w:val="24"/>
          <w:lang w:val="en-US"/>
        </w:rPr>
        <w:t xml:space="preserve"> as a function of </w:t>
      </w:r>
      <w:r w:rsidR="0008459D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087F62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5471C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10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2F412A">
        <w:rPr>
          <w:rFonts w:ascii="Times New Roman" w:hAnsi="Times New Roman" w:cs="Times New Roman"/>
          <w:sz w:val="24"/>
          <w:szCs w:val="24"/>
          <w:lang w:val="en-US"/>
        </w:rPr>
        <w:t xml:space="preserve">modeled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α-chitin</w:t>
      </w:r>
      <w:r w:rsidR="00235105">
        <w:rPr>
          <w:rFonts w:ascii="Times New Roman" w:hAnsi="Times New Roman" w:cs="Times New Roman"/>
          <w:sz w:val="24"/>
          <w:szCs w:val="24"/>
          <w:lang w:val="en-US"/>
        </w:rPr>
        <w:t xml:space="preserve"> surface</w:t>
      </w:r>
      <w:r w:rsidR="00026868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08459D">
        <w:rPr>
          <w:rFonts w:ascii="Times New Roman" w:hAnsi="Times New Roman" w:cs="Times New Roman"/>
          <w:sz w:val="24"/>
          <w:szCs w:val="24"/>
          <w:lang w:val="en-US"/>
        </w:rPr>
        <w:t>free-energy surfaces</w:t>
      </w:r>
      <w:r w:rsidR="0008459D" w:rsidRPr="00D61B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26868"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calculated from umbrella sampling simulations </w:t>
      </w:r>
      <w:r w:rsidR="004F2C00">
        <w:rPr>
          <w:rFonts w:ascii="Times New Roman" w:hAnsi="Times New Roman" w:cs="Times New Roman"/>
          <w:sz w:val="24"/>
          <w:szCs w:val="24"/>
          <w:lang w:val="en-US"/>
        </w:rPr>
        <w:t>performed</w:t>
      </w:r>
      <w:r w:rsidR="00026868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026868" w:rsidRPr="00021D7D">
        <w:rPr>
          <w:rFonts w:ascii="Times New Roman" w:hAnsi="Times New Roman" w:cs="Times New Roman"/>
          <w:sz w:val="24"/>
          <w:szCs w:val="24"/>
          <w:lang w:val="en-US"/>
        </w:rPr>
        <w:t xml:space="preserve"> different chitin-protein interaction strengths: 0% (unchanged), 5% increase, 10% increase and 15% increase</w:t>
      </w:r>
      <w:r w:rsidR="00026868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analyzed using the weighted-histogram analysis method</w:t>
      </w:r>
      <w:r w:rsidR="00244F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BD5" w:rsidRPr="009A1BD5">
        <w:rPr>
          <w:rFonts w:ascii="Times New Roman" w:hAnsi="Times New Roman" w:cs="Times New Roman"/>
          <w:noProof/>
          <w:sz w:val="24"/>
          <w:szCs w:val="24"/>
          <w:lang w:val="en-US"/>
        </w:rPr>
        <w:t>(4, 5)</w:t>
      </w:r>
      <w:r w:rsidR="0002686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The collective</w:t>
      </w:r>
      <w:r w:rsidR="00435C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variable (</w:t>
      </w:r>
      <w:r w:rsidR="00435C66" w:rsidRPr="00026868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435C66" w:rsidRPr="00647A6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chitin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) is the </w:t>
      </w:r>
      <w:r w:rsidR="00522900">
        <w:rPr>
          <w:rFonts w:ascii="Times New Roman" w:hAnsi="Times New Roman" w:cs="Times New Roman"/>
          <w:sz w:val="24"/>
          <w:szCs w:val="24"/>
          <w:lang w:val="en-US"/>
        </w:rPr>
        <w:t xml:space="preserve">Euclidean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>distance</w:t>
      </w:r>
      <w:r w:rsidR="008D7D0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between the </w:t>
      </w:r>
      <w:r w:rsidR="008D7D0E">
        <w:rPr>
          <w:rFonts w:ascii="Times New Roman" w:hAnsi="Times New Roman" w:cs="Times New Roman"/>
          <w:sz w:val="24"/>
          <w:szCs w:val="24"/>
          <w:lang w:val="en-US"/>
        </w:rPr>
        <w:t xml:space="preserve">z-coordinate of the </w:t>
      </w:r>
      <w:r w:rsidR="0029303A">
        <w:rPr>
          <w:rFonts w:ascii="Times New Roman" w:hAnsi="Times New Roman" w:cs="Times New Roman"/>
          <w:sz w:val="24"/>
          <w:szCs w:val="24"/>
          <w:lang w:val="en-US"/>
        </w:rPr>
        <w:t>geometric center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 of the beads belonging to aromatic amino acids on the putative binding surfaces (</w:t>
      </w:r>
      <w:r w:rsidR="00435C66" w:rsidRPr="007777F1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CBM5: Y282, W283, Y296; </w:t>
      </w:r>
      <w:r w:rsidR="00435C66" w:rsidRPr="007777F1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435C66" w:rsidRPr="00647A64">
        <w:rPr>
          <w:rFonts w:ascii="Times New Roman" w:hAnsi="Times New Roman" w:cs="Times New Roman"/>
          <w:sz w:val="24"/>
          <w:szCs w:val="24"/>
          <w:lang w:val="en-US"/>
        </w:rPr>
        <w:t xml:space="preserve">CBM73: W371, </w:t>
      </w:r>
      <w:r w:rsidR="00435C66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Y378, W386) and </w:t>
      </w:r>
      <w:r w:rsidR="008D7D0E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D7D0E"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z</w:t>
      </w:r>
      <w:r w:rsidR="008D7D0E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-coordinate of the geometric center of all chitin </w:t>
      </w:r>
      <w:r w:rsidR="00435C66" w:rsidRPr="009C2135">
        <w:rPr>
          <w:rFonts w:ascii="Times New Roman" w:hAnsi="Times New Roman" w:cs="Times New Roman"/>
          <w:sz w:val="24"/>
          <w:szCs w:val="24"/>
          <w:lang w:val="en-US"/>
        </w:rPr>
        <w:t>beads</w:t>
      </w:r>
      <w:r w:rsidR="008D7D0E" w:rsidRPr="009C21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07D1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 The cut-off value</w:t>
      </w:r>
      <w:r w:rsidR="00993DC5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 for between the bound and unbound states</w:t>
      </w:r>
      <w:r w:rsidR="000407D1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407D1"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0407D1" w:rsidRPr="009C21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</w:t>
      </w:r>
      <w:proofErr w:type="spellEnd"/>
      <w:r w:rsidR="000407D1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0D2B6B" w:rsidRPr="009C2135">
        <w:rPr>
          <w:rFonts w:ascii="Times New Roman" w:hAnsi="Times New Roman" w:cs="Times New Roman"/>
          <w:sz w:val="24"/>
          <w:szCs w:val="24"/>
          <w:lang w:val="en-US"/>
        </w:rPr>
        <w:t>1.85 nm, is indicated with a dashed line.</w:t>
      </w:r>
      <w:r w:rsidR="0018298D" w:rsidRPr="009C2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Dissociation constants 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sub>
        </m:sSub>
      </m:oMath>
      <w:r w:rsidR="00E24077" w:rsidRPr="009C2135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were calculated from the PMF profiles by using </w:t>
      </w:r>
      <w:r w:rsidR="00E24077" w:rsidRPr="009C2135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Equations 5</w:t>
      </w:r>
      <w:r w:rsidR="002270D3" w:rsidRPr="009C2135">
        <w:rPr>
          <w:rFonts w:ascii="Times New Roman" w:hAnsi="Times New Roman" w:cs="Times New Roman"/>
          <w:lang w:val="en-US"/>
        </w:rPr>
        <w:t>–</w:t>
      </w:r>
      <w:r w:rsidR="00E24077" w:rsidRPr="009C2135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7. Note that for </w:t>
      </w:r>
      <w:r w:rsidR="00E24077" w:rsidRPr="009C2135">
        <w:rPr>
          <w:rStyle w:val="fontstyle01"/>
          <w:rFonts w:ascii="Times New Roman" w:hAnsi="Times New Roman" w:cs="Times New Roman"/>
          <w:i/>
          <w:iCs/>
          <w:color w:val="auto"/>
          <w:sz w:val="24"/>
          <w:szCs w:val="24"/>
          <w:lang w:val="en-US"/>
        </w:rPr>
        <w:t>Cj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CBM5, at 5% and 10%, the PMF profiles are similar from </w:t>
      </w:r>
      <w:proofErr w:type="spellStart"/>
      <w:r w:rsidR="00E24077"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E24077" w:rsidRPr="009C21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chitin</w:t>
      </w:r>
      <w:proofErr w:type="spellEnd"/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= 0 nm up to </w:t>
      </w:r>
      <w:proofErr w:type="spellStart"/>
      <w:r w:rsidR="00E24077"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E24077" w:rsidRPr="009C21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chitin</w:t>
      </w:r>
      <w:proofErr w:type="spellEnd"/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≈ 1.4 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 xml:space="preserve">nm, but with increasing </w:t>
      </w:r>
      <w:proofErr w:type="spellStart"/>
      <w:r w:rsidR="00E24077"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E24077" w:rsidRPr="009C213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chitin</w:t>
      </w:r>
      <w:proofErr w:type="spellEnd"/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the 10% </w:t>
      </w:r>
      <w:r w:rsidR="00361DCD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curve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becomes steeper, whereas the 5% </w:t>
      </w:r>
      <w:r w:rsidR="00361DCD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curve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(on average) levels </w:t>
      </w:r>
      <w:r w:rsidR="003D35B8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off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C91539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Therefore, integration of</w:t>
      </w:r>
      <w:r w:rsidR="00E24077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these curves </w:t>
      </w:r>
      <w:r w:rsidR="00C91539" w:rsidRPr="009C213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reveals that</w:t>
      </w:r>
      <w:r w:rsidR="00C91539" w:rsidRPr="009C213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a 10% increase results in stronger chitin-protein interactions than a 5% increase</w:t>
      </w:r>
      <w:r w:rsidR="007C40F3" w:rsidRPr="009C2135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(Table 1)</w:t>
      </w:r>
      <w:r w:rsidR="00C91539" w:rsidRPr="009C2135">
        <w:rPr>
          <w:rFonts w:ascii="Times New Roman" w:eastAsiaTheme="minorEastAsia" w:hAnsi="Times New Roman" w:cs="Times New Roman"/>
          <w:sz w:val="24"/>
          <w:szCs w:val="24"/>
          <w:lang w:val="en-US"/>
        </w:rPr>
        <w:t>.</w:t>
      </w:r>
    </w:p>
    <w:p w14:paraId="0AEA2435" w14:textId="77777777" w:rsidR="009C2135" w:rsidRDefault="009C2135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br w:type="page"/>
      </w:r>
    </w:p>
    <w:p w14:paraId="24BD02CB" w14:textId="600B2090" w:rsidR="00571972" w:rsidRDefault="006D009E" w:rsidP="00801F3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25ED21B6" wp14:editId="767B85FF">
            <wp:extent cx="5254625" cy="6305550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697" cy="630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50C0E" w14:textId="47291DC4" w:rsidR="00722607" w:rsidRDefault="00695A49" w:rsidP="008B4D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817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S4.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6E33">
        <w:rPr>
          <w:rFonts w:ascii="Times New Roman" w:hAnsi="Times New Roman" w:cs="Times New Roman"/>
          <w:sz w:val="24"/>
          <w:szCs w:val="24"/>
          <w:lang w:val="en-US"/>
        </w:rPr>
        <w:t>Time s</w:t>
      </w:r>
      <w:r w:rsidR="00AF3B87">
        <w:rPr>
          <w:rFonts w:ascii="Times New Roman" w:hAnsi="Times New Roman" w:cs="Times New Roman"/>
          <w:sz w:val="24"/>
          <w:szCs w:val="24"/>
          <w:lang w:val="en-US"/>
        </w:rPr>
        <w:t xml:space="preserve">eries of the 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>number of contacts between</w:t>
      </w:r>
      <w:r w:rsidR="00DF58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2" w:name="_Hlk73607172"/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the modeled </w:t>
      </w:r>
      <w:r w:rsidR="00E82B09" w:rsidRPr="00647A64">
        <w:rPr>
          <w:rFonts w:ascii="Times New Roman" w:hAnsi="Times New Roman" w:cs="Times New Roman"/>
          <w:sz w:val="24"/>
          <w:szCs w:val="24"/>
          <w:lang w:val="en-US"/>
        </w:rPr>
        <w:t>α-chitin</w:t>
      </w:r>
      <w:r w:rsidR="00E82B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054E">
        <w:rPr>
          <w:rFonts w:ascii="Times New Roman" w:hAnsi="Times New Roman" w:cs="Times New Roman"/>
          <w:sz w:val="24"/>
          <w:szCs w:val="24"/>
          <w:lang w:val="en-US"/>
        </w:rPr>
        <w:t xml:space="preserve">surface </w:t>
      </w:r>
      <w:bookmarkEnd w:id="2"/>
      <w:r w:rsidR="00DF58F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3B72">
        <w:rPr>
          <w:rFonts w:ascii="Times New Roman" w:hAnsi="Times New Roman" w:cs="Times New Roman"/>
          <w:sz w:val="24"/>
          <w:szCs w:val="24"/>
          <w:lang w:val="en-US"/>
        </w:rPr>
        <w:t xml:space="preserve">selected 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>amino acids on the surface of</w:t>
      </w:r>
      <w:r w:rsidR="004C455E">
        <w:rPr>
          <w:rFonts w:ascii="Times New Roman" w:hAnsi="Times New Roman" w:cs="Times New Roman"/>
          <w:sz w:val="24"/>
          <w:szCs w:val="24"/>
          <w:lang w:val="en-US"/>
        </w:rPr>
        <w:t xml:space="preserve"> (A)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69DE" w:rsidRPr="00B669DE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 xml:space="preserve">CBM5 </w:t>
      </w:r>
      <w:r w:rsidR="00654D3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54D3D" w:rsidRPr="000C232C">
        <w:rPr>
          <w:rFonts w:ascii="Times New Roman" w:hAnsi="Times New Roman" w:cs="Times New Roman"/>
          <w:sz w:val="24"/>
          <w:szCs w:val="24"/>
          <w:lang w:val="en-US"/>
        </w:rPr>
        <w:t>Y282, W283, Y296</w:t>
      </w:r>
      <w:r w:rsidR="00654D3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4C455E">
        <w:rPr>
          <w:rFonts w:ascii="Times New Roman" w:hAnsi="Times New Roman" w:cs="Times New Roman"/>
          <w:sz w:val="24"/>
          <w:szCs w:val="24"/>
          <w:lang w:val="en-US"/>
        </w:rPr>
        <w:t xml:space="preserve">(B) </w:t>
      </w:r>
      <w:r w:rsidR="00B669DE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>CBM73</w:t>
      </w:r>
      <w:r w:rsidR="006A681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A6817" w:rsidRPr="000C232C">
        <w:rPr>
          <w:rFonts w:ascii="Times New Roman" w:hAnsi="Times New Roman" w:cs="Times New Roman"/>
          <w:sz w:val="24"/>
          <w:szCs w:val="24"/>
          <w:lang w:val="en-US"/>
        </w:rPr>
        <w:t>W371, Y378, W386)</w:t>
      </w:r>
      <w:r w:rsidR="0047667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10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231B8">
        <w:rPr>
          <w:rFonts w:ascii="Times New Roman" w:hAnsi="Times New Roman" w:cs="Times New Roman"/>
          <w:sz w:val="24"/>
          <w:szCs w:val="24"/>
          <w:lang w:val="en-US"/>
        </w:rPr>
        <w:t xml:space="preserve">(C,D) </w:t>
      </w:r>
      <w:r w:rsidR="001A35E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47667C">
        <w:rPr>
          <w:rFonts w:ascii="Times New Roman" w:hAnsi="Times New Roman" w:cs="Times New Roman"/>
          <w:sz w:val="24"/>
          <w:szCs w:val="24"/>
          <w:lang w:val="en-US"/>
        </w:rPr>
        <w:t>distance between these amino acids</w:t>
      </w:r>
      <w:r w:rsidR="00B669D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B669DE">
        <w:rPr>
          <w:rFonts w:ascii="Times New Roman" w:hAnsi="Times New Roman" w:cs="Times New Roman"/>
          <w:sz w:val="24"/>
          <w:szCs w:val="24"/>
          <w:lang w:val="en-US"/>
        </w:rPr>
        <w:t>and t</w:t>
      </w:r>
      <w:r w:rsidR="0047667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="00E82B09" w:rsidRPr="00647A64">
        <w:rPr>
          <w:rFonts w:ascii="Times New Roman" w:hAnsi="Times New Roman" w:cs="Times New Roman"/>
          <w:sz w:val="24"/>
          <w:szCs w:val="24"/>
          <w:lang w:val="en-US"/>
        </w:rPr>
        <w:t>α-chitin</w:t>
      </w:r>
      <w:r w:rsidR="00E82B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7667C">
        <w:rPr>
          <w:rFonts w:ascii="Times New Roman" w:hAnsi="Times New Roman" w:cs="Times New Roman"/>
          <w:sz w:val="24"/>
          <w:szCs w:val="24"/>
          <w:lang w:val="en-US"/>
        </w:rPr>
        <w:t>surface</w:t>
      </w:r>
      <w:r w:rsidR="006D3B7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A35E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7667C" w:rsidRPr="00AD412D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47667C" w:rsidRPr="00AD412D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chitin</w:t>
      </w:r>
      <w:proofErr w:type="spellEnd"/>
      <w:r w:rsidR="006D3B7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473FF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231B8">
        <w:rPr>
          <w:rFonts w:ascii="Times New Roman" w:hAnsi="Times New Roman" w:cs="Times New Roman"/>
          <w:sz w:val="24"/>
          <w:szCs w:val="24"/>
          <w:lang w:val="en-US"/>
        </w:rPr>
        <w:t xml:space="preserve">(E,F) </w:t>
      </w:r>
      <w:r>
        <w:rPr>
          <w:rFonts w:ascii="Times New Roman" w:hAnsi="Times New Roman" w:cs="Times New Roman"/>
          <w:sz w:val="24"/>
          <w:szCs w:val="24"/>
          <w:lang w:val="en-US"/>
        </w:rPr>
        <w:t>Gaussian hill deposition over the course of the WT-MetaD simu</w:t>
      </w:r>
      <w:r w:rsidR="001A35E1"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  <w:lang w:val="en-US"/>
        </w:rPr>
        <w:t>ations</w:t>
      </w:r>
      <w:r w:rsidR="009231B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C5EF4">
        <w:rPr>
          <w:rFonts w:ascii="Times New Roman" w:hAnsi="Times New Roman" w:cs="Times New Roman"/>
          <w:sz w:val="24"/>
          <w:szCs w:val="24"/>
          <w:lang w:val="en-US"/>
        </w:rPr>
        <w:t>Panel G shows c(t), an e</w:t>
      </w:r>
      <w:r w:rsidR="00DC5EF4" w:rsidRPr="00E51247">
        <w:rPr>
          <w:rFonts w:ascii="Times New Roman" w:hAnsi="Times New Roman" w:cs="Times New Roman"/>
          <w:sz w:val="24"/>
          <w:szCs w:val="24"/>
          <w:lang w:val="en-US"/>
        </w:rPr>
        <w:t xml:space="preserve">stimate of the </w:t>
      </w:r>
      <w:r w:rsidR="00DC5EF4">
        <w:rPr>
          <w:rFonts w:ascii="Times New Roman" w:hAnsi="Times New Roman" w:cs="Times New Roman"/>
          <w:sz w:val="24"/>
          <w:szCs w:val="24"/>
          <w:lang w:val="en-US"/>
        </w:rPr>
        <w:t xml:space="preserve">reversible </w:t>
      </w:r>
      <w:r w:rsidR="00DC5EF4" w:rsidRPr="00E51247">
        <w:rPr>
          <w:rFonts w:ascii="Times New Roman" w:hAnsi="Times New Roman" w:cs="Times New Roman"/>
          <w:sz w:val="24"/>
          <w:szCs w:val="24"/>
          <w:lang w:val="en-US"/>
        </w:rPr>
        <w:t xml:space="preserve">work performed on the system </w:t>
      </w:r>
      <w:r w:rsidR="00DC5EF4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DC5EF4" w:rsidRPr="00E51247">
        <w:rPr>
          <w:rFonts w:ascii="Times New Roman" w:hAnsi="Times New Roman" w:cs="Times New Roman"/>
          <w:sz w:val="24"/>
          <w:szCs w:val="24"/>
          <w:lang w:val="en-US"/>
        </w:rPr>
        <w:t>time t</w:t>
      </w:r>
      <w:r w:rsidR="00DC5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1BD5" w:rsidRPr="009A1BD5">
        <w:rPr>
          <w:rFonts w:ascii="Times New Roman" w:hAnsi="Times New Roman" w:cs="Times New Roman"/>
          <w:noProof/>
          <w:sz w:val="24"/>
          <w:szCs w:val="24"/>
          <w:lang w:val="en-US"/>
        </w:rPr>
        <w:t>(6)</w:t>
      </w:r>
      <w:r w:rsidR="00DC5EF4">
        <w:rPr>
          <w:rFonts w:ascii="Times New Roman" w:hAnsi="Times New Roman" w:cs="Times New Roman"/>
          <w:sz w:val="24"/>
          <w:szCs w:val="24"/>
          <w:lang w:val="en-US"/>
        </w:rPr>
        <w:t>, calculated using</w:t>
      </w:r>
      <w:r w:rsidR="00083AE9" w:rsidRPr="00083AE9">
        <w:rPr>
          <w:lang w:val="en-US"/>
        </w:rPr>
        <w:t xml:space="preserve"> </w:t>
      </w:r>
      <w:r w:rsidR="00083AE9" w:rsidRPr="009C2135">
        <w:rPr>
          <w:rFonts w:ascii="Times New Roman" w:hAnsi="Times New Roman" w:cs="Times New Roman"/>
          <w:sz w:val="24"/>
          <w:szCs w:val="24"/>
          <w:lang w:val="en-US"/>
        </w:rPr>
        <w:t>https://github.com/lud0/comp-bio-tools/blob/master/reweight.py</w:t>
      </w:r>
      <w:r w:rsidR="00DC5EF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BFD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10628" w:rsidRPr="00110628">
        <w:rPr>
          <w:rFonts w:ascii="Times New Roman" w:hAnsi="Times New Roman" w:cs="Times New Roman"/>
          <w:sz w:val="24"/>
          <w:szCs w:val="24"/>
          <w:lang w:val="en-US"/>
        </w:rPr>
        <w:t xml:space="preserve"> small number of transitions</w:t>
      </w:r>
      <w:r w:rsidR="00541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563E">
        <w:rPr>
          <w:rFonts w:ascii="Times New Roman" w:hAnsi="Times New Roman" w:cs="Times New Roman"/>
          <w:sz w:val="24"/>
          <w:szCs w:val="24"/>
          <w:lang w:val="en-US"/>
        </w:rPr>
        <w:t xml:space="preserve">observed </w:t>
      </w:r>
      <w:r w:rsidR="00110628" w:rsidRPr="00110628">
        <w:rPr>
          <w:rFonts w:ascii="Times New Roman" w:hAnsi="Times New Roman" w:cs="Times New Roman"/>
          <w:sz w:val="24"/>
          <w:szCs w:val="24"/>
          <w:lang w:val="en-US"/>
        </w:rPr>
        <w:t xml:space="preserve">between the bound </w:t>
      </w:r>
      <w:r w:rsidR="00253BFD">
        <w:rPr>
          <w:rFonts w:ascii="Times New Roman" w:hAnsi="Times New Roman" w:cs="Times New Roman"/>
          <w:sz w:val="24"/>
          <w:szCs w:val="24"/>
          <w:lang w:val="en-US"/>
        </w:rPr>
        <w:t xml:space="preserve">and unbound </w:t>
      </w:r>
      <w:r w:rsidR="00204085" w:rsidRPr="00110628">
        <w:rPr>
          <w:rFonts w:ascii="Times New Roman" w:hAnsi="Times New Roman" w:cs="Times New Roman"/>
          <w:sz w:val="24"/>
          <w:szCs w:val="24"/>
          <w:lang w:val="en-US"/>
        </w:rPr>
        <w:t>state</w:t>
      </w:r>
      <w:r w:rsidR="00204085">
        <w:rPr>
          <w:rFonts w:ascii="Times New Roman" w:hAnsi="Times New Roman" w:cs="Times New Roman"/>
          <w:sz w:val="24"/>
          <w:szCs w:val="24"/>
          <w:lang w:val="en-US"/>
        </w:rPr>
        <w:t>s of the CBMs, indicates</w:t>
      </w:r>
      <w:r w:rsidR="00253BFD">
        <w:rPr>
          <w:rFonts w:ascii="Times New Roman" w:hAnsi="Times New Roman" w:cs="Times New Roman"/>
          <w:sz w:val="24"/>
          <w:szCs w:val="24"/>
          <w:lang w:val="en-US"/>
        </w:rPr>
        <w:t xml:space="preserve"> that these simulations </w:t>
      </w:r>
      <w:r w:rsidR="00541782">
        <w:rPr>
          <w:rFonts w:ascii="Times New Roman" w:hAnsi="Times New Roman" w:cs="Times New Roman"/>
          <w:sz w:val="24"/>
          <w:szCs w:val="24"/>
          <w:lang w:val="en-US"/>
        </w:rPr>
        <w:t xml:space="preserve">are not converged after 15 µs. </w:t>
      </w:r>
      <w:r w:rsidR="00204085">
        <w:rPr>
          <w:rFonts w:ascii="Times New Roman" w:hAnsi="Times New Roman" w:cs="Times New Roman"/>
          <w:sz w:val="24"/>
          <w:szCs w:val="24"/>
          <w:lang w:val="en-US"/>
        </w:rPr>
        <w:t xml:space="preserve">However, </w:t>
      </w:r>
      <w:r w:rsidR="002755F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2755FC" w:rsidRPr="009C2135">
        <w:rPr>
          <w:rFonts w:ascii="Times New Roman" w:hAnsi="Times New Roman" w:cs="Times New Roman"/>
          <w:i/>
          <w:iCs/>
          <w:sz w:val="24"/>
          <w:szCs w:val="24"/>
          <w:lang w:val="en-US"/>
        </w:rPr>
        <w:t>Cj</w:t>
      </w:r>
      <w:r w:rsidR="002755FC">
        <w:rPr>
          <w:rFonts w:ascii="Times New Roman" w:hAnsi="Times New Roman" w:cs="Times New Roman"/>
          <w:sz w:val="24"/>
          <w:szCs w:val="24"/>
          <w:lang w:val="en-US"/>
        </w:rPr>
        <w:t xml:space="preserve">CBM5, </w:t>
      </w:r>
      <w:bookmarkStart w:id="3" w:name="_Hlk73607349"/>
      <w:r w:rsidR="00CC7E26">
        <w:rPr>
          <w:rFonts w:ascii="Times New Roman" w:hAnsi="Times New Roman" w:cs="Times New Roman"/>
          <w:sz w:val="24"/>
          <w:szCs w:val="24"/>
          <w:lang w:val="en-US"/>
        </w:rPr>
        <w:t xml:space="preserve">both experiments and </w:t>
      </w:r>
      <w:r w:rsidR="00CC7E26">
        <w:rPr>
          <w:rFonts w:ascii="Times New Roman" w:hAnsi="Times New Roman" w:cs="Times New Roman"/>
          <w:sz w:val="24"/>
          <w:szCs w:val="24"/>
          <w:lang w:val="en-US"/>
        </w:rPr>
        <w:lastRenderedPageBreak/>
        <w:t>simulations f</w:t>
      </w:r>
      <w:r w:rsidR="00B428C2">
        <w:rPr>
          <w:rFonts w:ascii="Times New Roman" w:hAnsi="Times New Roman" w:cs="Times New Roman"/>
          <w:sz w:val="24"/>
          <w:szCs w:val="24"/>
          <w:lang w:val="en-US"/>
        </w:rPr>
        <w:t>ind</w:t>
      </w:r>
      <w:r w:rsidR="002755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942">
        <w:rPr>
          <w:rFonts w:ascii="Times New Roman" w:hAnsi="Times New Roman" w:cs="Times New Roman"/>
          <w:sz w:val="24"/>
          <w:szCs w:val="24"/>
          <w:lang w:val="en-US"/>
        </w:rPr>
        <w:t xml:space="preserve">amino acids </w:t>
      </w:r>
      <w:r w:rsidR="00CC7E26">
        <w:rPr>
          <w:rFonts w:ascii="Times New Roman" w:hAnsi="Times New Roman" w:cs="Times New Roman"/>
          <w:sz w:val="24"/>
          <w:szCs w:val="24"/>
          <w:lang w:val="en-US"/>
        </w:rPr>
        <w:t xml:space="preserve">in the same region of the protein to be </w:t>
      </w:r>
      <w:r w:rsidR="00071942">
        <w:rPr>
          <w:rFonts w:ascii="Times New Roman" w:hAnsi="Times New Roman" w:cs="Times New Roman"/>
          <w:sz w:val="24"/>
          <w:szCs w:val="24"/>
          <w:lang w:val="en-US"/>
        </w:rPr>
        <w:t xml:space="preserve">involved in </w:t>
      </w:r>
      <w:bookmarkStart w:id="4" w:name="_Hlk73607493"/>
      <w:r w:rsidR="00AC7AA9" w:rsidRPr="000C232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AC7AA9" w:rsidRPr="000C232C">
        <w:rPr>
          <w:rFonts w:ascii="Times New Roman" w:hAnsi="Times New Roman" w:cs="Times New Roman"/>
          <w:sz w:val="24"/>
          <w:szCs w:val="24"/>
          <w:lang w:val="en-US"/>
        </w:rPr>
        <w:t>GlcNAc</w:t>
      </w:r>
      <w:proofErr w:type="spellEnd"/>
      <w:r w:rsidR="00AC7AA9" w:rsidRPr="000C232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C7AA9" w:rsidRPr="000C232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6</w:t>
      </w:r>
      <w:r w:rsidR="00AC7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  <w:r w:rsidR="00AC7AA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AC7AA9" w:rsidRPr="00647A64">
        <w:rPr>
          <w:rFonts w:ascii="Times New Roman" w:hAnsi="Times New Roman" w:cs="Times New Roman"/>
          <w:sz w:val="24"/>
          <w:szCs w:val="24"/>
          <w:lang w:val="en-US"/>
        </w:rPr>
        <w:t>α-chitin</w:t>
      </w:r>
      <w:r w:rsidR="00AC7A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1942">
        <w:rPr>
          <w:rFonts w:ascii="Times New Roman" w:hAnsi="Times New Roman" w:cs="Times New Roman"/>
          <w:sz w:val="24"/>
          <w:szCs w:val="24"/>
          <w:lang w:val="en-US"/>
        </w:rPr>
        <w:t>contacts</w:t>
      </w:r>
      <w:r w:rsidR="00AC7AA9">
        <w:rPr>
          <w:rFonts w:ascii="Times New Roman" w:hAnsi="Times New Roman" w:cs="Times New Roman"/>
          <w:sz w:val="24"/>
          <w:szCs w:val="24"/>
          <w:lang w:val="en-US"/>
        </w:rPr>
        <w:t>, respectively</w:t>
      </w:r>
      <w:bookmarkEnd w:id="3"/>
      <w:r w:rsidR="00CC7E26">
        <w:rPr>
          <w:rFonts w:ascii="Times New Roman" w:hAnsi="Times New Roman" w:cs="Times New Roman"/>
          <w:sz w:val="24"/>
          <w:szCs w:val="24"/>
          <w:lang w:val="en-US"/>
        </w:rPr>
        <w:t xml:space="preserve"> (Figure 7).</w:t>
      </w:r>
    </w:p>
    <w:p w14:paraId="696CDBC9" w14:textId="103898F2" w:rsidR="009C2135" w:rsidRDefault="009C2135" w:rsidP="008B4D1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1E896F" w14:textId="5199677E" w:rsidR="00FA45CC" w:rsidRDefault="00FA45CC" w:rsidP="009C21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4028D0EB" w14:textId="558B767C" w:rsidR="008A67B6" w:rsidRPr="00A327FE" w:rsidRDefault="008A67B6" w:rsidP="008A67B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sz w:val="24"/>
          <w:szCs w:val="24"/>
          <w:lang w:val="en-US"/>
        </w:rPr>
      </w:pP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Huynh, K., and Partch, C. L. (2015) Analysis of protein stability and ligand interactions by thermal shift assay. </w:t>
      </w:r>
      <w:r w:rsidRPr="00A327FE">
        <w:rPr>
          <w:rFonts w:ascii="Times New Roman" w:hAnsi="Times New Roman" w:cs="Times New Roman"/>
          <w:i/>
          <w:sz w:val="24"/>
          <w:szCs w:val="24"/>
          <w:lang w:val="en-US"/>
        </w:rPr>
        <w:t>Curr. Protoc. Protein Sci.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7FE">
        <w:rPr>
          <w:rFonts w:ascii="Times New Roman" w:hAnsi="Times New Roman" w:cs="Times New Roman"/>
          <w:b/>
          <w:sz w:val="24"/>
          <w:szCs w:val="24"/>
          <w:lang w:val="en-US"/>
        </w:rPr>
        <w:t>79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>, 28.9.1-28.9.14</w:t>
      </w:r>
    </w:p>
    <w:p w14:paraId="78E3B117" w14:textId="77777777" w:rsidR="008A67B6" w:rsidRPr="00A327FE" w:rsidRDefault="008A67B6" w:rsidP="008A67B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sz w:val="24"/>
          <w:szCs w:val="24"/>
          <w:lang w:val="en-US"/>
        </w:rPr>
      </w:pP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Levasseur, A., Drula, E., Lombard, V., Coutinho, P. M., and Henrissat, B. (2013) Expansion of the enzymatic repertoire of the CAZy database to integrate auxiliary redox enzymes. </w:t>
      </w:r>
      <w:r w:rsidRPr="00A327FE">
        <w:rPr>
          <w:rFonts w:ascii="Times New Roman" w:hAnsi="Times New Roman" w:cs="Times New Roman"/>
          <w:i/>
          <w:sz w:val="24"/>
          <w:szCs w:val="24"/>
          <w:lang w:val="en-US"/>
        </w:rPr>
        <w:t>Biotechnol. Biofuels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327F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>, 41</w:t>
      </w:r>
    </w:p>
    <w:p w14:paraId="520DCADF" w14:textId="77777777" w:rsidR="008A67B6" w:rsidRPr="00A327FE" w:rsidRDefault="008A67B6" w:rsidP="008A67B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sz w:val="24"/>
          <w:szCs w:val="24"/>
          <w:lang w:val="en-US"/>
        </w:rPr>
      </w:pP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Sievers, F., Wilm, A., Dineen, D., Gibson, T. J., Karplus, K., Li, W., Lopez, R., McWilliam, H., Remmert, M., Söding, J., Thompson, J. D., and Higgins, D. G. (2011) Fast, scalable generation of high-quality protein multiple sequence alignments using Clustal Omega. </w:t>
      </w:r>
      <w:r w:rsidRPr="00A327FE">
        <w:rPr>
          <w:rFonts w:ascii="Times New Roman" w:hAnsi="Times New Roman" w:cs="Times New Roman"/>
          <w:i/>
          <w:sz w:val="24"/>
          <w:szCs w:val="24"/>
          <w:lang w:val="en-US"/>
        </w:rPr>
        <w:t>Mol. Syst. Biol.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7FE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>, 539</w:t>
      </w:r>
    </w:p>
    <w:p w14:paraId="762CAF3D" w14:textId="437F50BE" w:rsidR="008A67B6" w:rsidRPr="00A327FE" w:rsidRDefault="008A67B6" w:rsidP="008A67B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sz w:val="24"/>
          <w:szCs w:val="24"/>
          <w:lang w:val="en-US"/>
        </w:rPr>
      </w:pP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77B6E">
        <w:rPr>
          <w:rFonts w:ascii="Times New Roman" w:hAnsi="Times New Roman" w:cs="Times New Roman"/>
          <w:sz w:val="24"/>
          <w:szCs w:val="24"/>
          <w:lang w:val="en-US"/>
        </w:rPr>
        <w:t xml:space="preserve">[online]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>Grossfield, A. (2020) WHAM: the weighted histogram analysis method, version 2.0.9. http://membrane.urmc.rochester.edu/?page_id=126</w:t>
      </w:r>
      <w:r w:rsidR="00577B6E">
        <w:rPr>
          <w:rFonts w:ascii="Times New Roman" w:hAnsi="Times New Roman" w:cs="Times New Roman"/>
          <w:sz w:val="24"/>
          <w:szCs w:val="24"/>
          <w:lang w:val="en-US"/>
        </w:rPr>
        <w:t xml:space="preserve"> (Accessed </w:t>
      </w:r>
      <w:r w:rsidR="00C5111C">
        <w:rPr>
          <w:rFonts w:ascii="Times New Roman" w:hAnsi="Times New Roman" w:cs="Times New Roman"/>
          <w:sz w:val="24"/>
          <w:szCs w:val="24"/>
          <w:lang w:val="en-US"/>
        </w:rPr>
        <w:t>April 14, 2021)</w:t>
      </w:r>
    </w:p>
    <w:p w14:paraId="2B4BBC62" w14:textId="77777777" w:rsidR="008A67B6" w:rsidRPr="00A327FE" w:rsidRDefault="008A67B6" w:rsidP="008A67B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sz w:val="24"/>
          <w:szCs w:val="24"/>
          <w:lang w:val="en-US"/>
        </w:rPr>
      </w:pP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Kumar, S., Rosenberg, J. M., Bouzida, D., Swendsen, R. H., and Kollman, P. A. (1992) The weighted histogram analysis method for free-energy calculations on biomolecules. I. The method. </w:t>
      </w:r>
      <w:r w:rsidRPr="00A327FE">
        <w:rPr>
          <w:rFonts w:ascii="Times New Roman" w:hAnsi="Times New Roman" w:cs="Times New Roman"/>
          <w:i/>
          <w:sz w:val="24"/>
          <w:szCs w:val="24"/>
          <w:lang w:val="en-US"/>
        </w:rPr>
        <w:t>J. Comput. Chem.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27FE">
        <w:rPr>
          <w:rFonts w:ascii="Times New Roman" w:hAnsi="Times New Roman" w:cs="Times New Roman"/>
          <w:b/>
          <w:sz w:val="24"/>
          <w:szCs w:val="24"/>
          <w:lang w:val="en-US"/>
        </w:rPr>
        <w:t>13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>, 1011–1021</w:t>
      </w:r>
    </w:p>
    <w:p w14:paraId="1386D3F2" w14:textId="77777777" w:rsidR="008A67B6" w:rsidRPr="008A67B6" w:rsidRDefault="008A67B6" w:rsidP="008A67B6">
      <w:pPr>
        <w:widowControl w:val="0"/>
        <w:autoSpaceDE w:val="0"/>
        <w:autoSpaceDN w:val="0"/>
        <w:adjustRightInd w:val="0"/>
        <w:spacing w:line="240" w:lineRule="auto"/>
        <w:ind w:left="640" w:hanging="640"/>
        <w:rPr>
          <w:rFonts w:ascii="Times New Roman" w:hAnsi="Times New Roman" w:cs="Times New Roman"/>
          <w:noProof/>
          <w:sz w:val="24"/>
        </w:rPr>
      </w:pPr>
      <w:r w:rsidRPr="00A327FE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Pr="00A327FE">
        <w:rPr>
          <w:rFonts w:ascii="Times New Roman" w:hAnsi="Times New Roman" w:cs="Times New Roman"/>
          <w:sz w:val="24"/>
          <w:szCs w:val="24"/>
          <w:lang w:val="en-US"/>
        </w:rPr>
        <w:tab/>
        <w:t xml:space="preserve">Tiwary, P., and Parrinello, M. (2015) A time-independent free energy estimator for metadynamics. </w:t>
      </w:r>
      <w:r w:rsidRPr="008A67B6">
        <w:rPr>
          <w:rFonts w:ascii="Times New Roman" w:hAnsi="Times New Roman" w:cs="Times New Roman"/>
          <w:i/>
          <w:iCs/>
          <w:noProof/>
          <w:sz w:val="24"/>
          <w:szCs w:val="24"/>
        </w:rPr>
        <w:t>J. Phys. Chem. B</w:t>
      </w:r>
      <w:r w:rsidRPr="008A67B6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8A67B6">
        <w:rPr>
          <w:rFonts w:ascii="Times New Roman" w:hAnsi="Times New Roman" w:cs="Times New Roman"/>
          <w:b/>
          <w:bCs/>
          <w:noProof/>
          <w:sz w:val="24"/>
          <w:szCs w:val="24"/>
        </w:rPr>
        <w:t>119</w:t>
      </w:r>
      <w:r w:rsidRPr="008A67B6">
        <w:rPr>
          <w:rFonts w:ascii="Times New Roman" w:hAnsi="Times New Roman" w:cs="Times New Roman"/>
          <w:noProof/>
          <w:sz w:val="24"/>
          <w:szCs w:val="24"/>
        </w:rPr>
        <w:t>, 736–742</w:t>
      </w:r>
    </w:p>
    <w:p w14:paraId="08D2F7CC" w14:textId="05241D7A" w:rsidR="00FA45CC" w:rsidRPr="008B4D14" w:rsidRDefault="00FA45CC" w:rsidP="008B4D1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A45CC" w:rsidRPr="008B4D14" w:rsidSect="004878C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CEE8" w14:textId="77777777" w:rsidR="001D2F80" w:rsidRDefault="001D2F80" w:rsidP="004878C3">
      <w:pPr>
        <w:spacing w:after="0" w:line="240" w:lineRule="auto"/>
      </w:pPr>
      <w:r>
        <w:separator/>
      </w:r>
    </w:p>
  </w:endnote>
  <w:endnote w:type="continuationSeparator" w:id="0">
    <w:p w14:paraId="63EDFD47" w14:textId="77777777" w:rsidR="001D2F80" w:rsidRDefault="001D2F80" w:rsidP="004878C3">
      <w:pPr>
        <w:spacing w:after="0" w:line="240" w:lineRule="auto"/>
      </w:pPr>
      <w:r>
        <w:continuationSeparator/>
      </w:r>
    </w:p>
  </w:endnote>
  <w:endnote w:type="continuationNotice" w:id="1">
    <w:p w14:paraId="5C6D002F" w14:textId="77777777" w:rsidR="001D2F80" w:rsidRDefault="001D2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R10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808E" w14:textId="77777777" w:rsidR="00182A39" w:rsidRDefault="001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9372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0C1E5B" w14:textId="58452CBD" w:rsidR="006737FB" w:rsidRPr="00551FED" w:rsidRDefault="006737FB">
        <w:pPr>
          <w:pStyle w:val="Footer"/>
          <w:jc w:val="center"/>
          <w:rPr>
            <w:rFonts w:ascii="Times New Roman" w:hAnsi="Times New Roman" w:cs="Times New Roman"/>
          </w:rPr>
        </w:pPr>
        <w:r w:rsidRPr="00551FED">
          <w:rPr>
            <w:rFonts w:ascii="Times New Roman" w:hAnsi="Times New Roman" w:cs="Times New Roman"/>
          </w:rPr>
          <w:fldChar w:fldCharType="begin"/>
        </w:r>
        <w:r w:rsidRPr="00551FED">
          <w:rPr>
            <w:rFonts w:ascii="Times New Roman" w:hAnsi="Times New Roman" w:cs="Times New Roman"/>
          </w:rPr>
          <w:instrText xml:space="preserve"> PAGE   \* MERGEFORMAT </w:instrText>
        </w:r>
        <w:r w:rsidRPr="00551FED">
          <w:rPr>
            <w:rFonts w:ascii="Times New Roman" w:hAnsi="Times New Roman" w:cs="Times New Roman"/>
          </w:rPr>
          <w:fldChar w:fldCharType="separate"/>
        </w:r>
        <w:r w:rsidRPr="00551FED">
          <w:rPr>
            <w:rFonts w:ascii="Times New Roman" w:hAnsi="Times New Roman" w:cs="Times New Roman"/>
            <w:noProof/>
          </w:rPr>
          <w:t>2</w:t>
        </w:r>
        <w:r w:rsidRPr="00551FE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298F0D6" w14:textId="77777777" w:rsidR="006737FB" w:rsidRDefault="006737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F6CC7" w14:textId="77777777" w:rsidR="00182A39" w:rsidRDefault="0018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5E81" w14:textId="77777777" w:rsidR="001D2F80" w:rsidRDefault="001D2F80" w:rsidP="004878C3">
      <w:pPr>
        <w:spacing w:after="0" w:line="240" w:lineRule="auto"/>
      </w:pPr>
      <w:r>
        <w:separator/>
      </w:r>
    </w:p>
  </w:footnote>
  <w:footnote w:type="continuationSeparator" w:id="0">
    <w:p w14:paraId="1DFEF5DD" w14:textId="77777777" w:rsidR="001D2F80" w:rsidRDefault="001D2F80" w:rsidP="004878C3">
      <w:pPr>
        <w:spacing w:after="0" w:line="240" w:lineRule="auto"/>
      </w:pPr>
      <w:r>
        <w:continuationSeparator/>
      </w:r>
    </w:p>
  </w:footnote>
  <w:footnote w:type="continuationNotice" w:id="1">
    <w:p w14:paraId="5DD9C26F" w14:textId="77777777" w:rsidR="001D2F80" w:rsidRDefault="001D2F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9C5E" w14:textId="77777777" w:rsidR="00182A39" w:rsidRDefault="00182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69F0" w14:textId="77777777" w:rsidR="00182A39" w:rsidRDefault="00182A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78C3" w14:textId="77777777" w:rsidR="00182A39" w:rsidRDefault="00182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03A0"/>
    <w:multiLevelType w:val="hybridMultilevel"/>
    <w:tmpl w:val="8110D0F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Biological Chem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9vptzaa9ep5zgewvt3xf902a2ze99ps5wf0&quot;&gt;cbm14&lt;record-ids&gt;&lt;item&gt;94&lt;/item&gt;&lt;/record-ids&gt;&lt;/item&gt;&lt;/Libraries&gt;"/>
  </w:docVars>
  <w:rsids>
    <w:rsidRoot w:val="004878C3"/>
    <w:rsid w:val="00010B1F"/>
    <w:rsid w:val="00021D7D"/>
    <w:rsid w:val="00026158"/>
    <w:rsid w:val="00026868"/>
    <w:rsid w:val="00027163"/>
    <w:rsid w:val="00037E06"/>
    <w:rsid w:val="000407D1"/>
    <w:rsid w:val="00041577"/>
    <w:rsid w:val="000449D4"/>
    <w:rsid w:val="00070BBF"/>
    <w:rsid w:val="00071942"/>
    <w:rsid w:val="00077834"/>
    <w:rsid w:val="00081D2A"/>
    <w:rsid w:val="00083AE9"/>
    <w:rsid w:val="0008459D"/>
    <w:rsid w:val="00087F62"/>
    <w:rsid w:val="000903A1"/>
    <w:rsid w:val="00092FF7"/>
    <w:rsid w:val="000A0F82"/>
    <w:rsid w:val="000A7B49"/>
    <w:rsid w:val="000A7FB6"/>
    <w:rsid w:val="000B2A63"/>
    <w:rsid w:val="000D08C5"/>
    <w:rsid w:val="000D2B6B"/>
    <w:rsid w:val="000D3C28"/>
    <w:rsid w:val="000D73FA"/>
    <w:rsid w:val="000D7B5D"/>
    <w:rsid w:val="000E2F0B"/>
    <w:rsid w:val="00103AE4"/>
    <w:rsid w:val="00103C46"/>
    <w:rsid w:val="00106BAB"/>
    <w:rsid w:val="00110628"/>
    <w:rsid w:val="00111748"/>
    <w:rsid w:val="001450CA"/>
    <w:rsid w:val="00146EEE"/>
    <w:rsid w:val="00164966"/>
    <w:rsid w:val="001665B2"/>
    <w:rsid w:val="0018298D"/>
    <w:rsid w:val="00182A39"/>
    <w:rsid w:val="00192528"/>
    <w:rsid w:val="001A3339"/>
    <w:rsid w:val="001A35E1"/>
    <w:rsid w:val="001B0D40"/>
    <w:rsid w:val="001B42FF"/>
    <w:rsid w:val="001C1FF7"/>
    <w:rsid w:val="001D2F80"/>
    <w:rsid w:val="001F0C12"/>
    <w:rsid w:val="00204085"/>
    <w:rsid w:val="0021430B"/>
    <w:rsid w:val="0021512D"/>
    <w:rsid w:val="00216655"/>
    <w:rsid w:val="00220F21"/>
    <w:rsid w:val="002270D3"/>
    <w:rsid w:val="00230E14"/>
    <w:rsid w:val="0023322A"/>
    <w:rsid w:val="00235105"/>
    <w:rsid w:val="00244FBD"/>
    <w:rsid w:val="0024698F"/>
    <w:rsid w:val="002515DE"/>
    <w:rsid w:val="00253BFD"/>
    <w:rsid w:val="0025545A"/>
    <w:rsid w:val="002579FC"/>
    <w:rsid w:val="0026060C"/>
    <w:rsid w:val="00260DE4"/>
    <w:rsid w:val="002656F4"/>
    <w:rsid w:val="00271A07"/>
    <w:rsid w:val="002755FC"/>
    <w:rsid w:val="00283DA5"/>
    <w:rsid w:val="0028668A"/>
    <w:rsid w:val="0029024E"/>
    <w:rsid w:val="0029303A"/>
    <w:rsid w:val="002960EF"/>
    <w:rsid w:val="002B420B"/>
    <w:rsid w:val="002C2523"/>
    <w:rsid w:val="002F2E6D"/>
    <w:rsid w:val="002F412A"/>
    <w:rsid w:val="002F4A0E"/>
    <w:rsid w:val="0030646C"/>
    <w:rsid w:val="0031481A"/>
    <w:rsid w:val="00315DD9"/>
    <w:rsid w:val="00316521"/>
    <w:rsid w:val="00316D31"/>
    <w:rsid w:val="00327F18"/>
    <w:rsid w:val="00361DCD"/>
    <w:rsid w:val="00367087"/>
    <w:rsid w:val="003824F6"/>
    <w:rsid w:val="00396734"/>
    <w:rsid w:val="00396854"/>
    <w:rsid w:val="003B2A4D"/>
    <w:rsid w:val="003C190D"/>
    <w:rsid w:val="003C2421"/>
    <w:rsid w:val="003D35B8"/>
    <w:rsid w:val="003E0071"/>
    <w:rsid w:val="003E39D3"/>
    <w:rsid w:val="003E3AF2"/>
    <w:rsid w:val="003E4522"/>
    <w:rsid w:val="003F0A8B"/>
    <w:rsid w:val="00403322"/>
    <w:rsid w:val="00413B72"/>
    <w:rsid w:val="004143B0"/>
    <w:rsid w:val="00415003"/>
    <w:rsid w:val="0041563E"/>
    <w:rsid w:val="00424628"/>
    <w:rsid w:val="00426C60"/>
    <w:rsid w:val="004279BB"/>
    <w:rsid w:val="0043086C"/>
    <w:rsid w:val="00435C66"/>
    <w:rsid w:val="0044711B"/>
    <w:rsid w:val="00473FF1"/>
    <w:rsid w:val="0047667C"/>
    <w:rsid w:val="004878C3"/>
    <w:rsid w:val="00487AB9"/>
    <w:rsid w:val="00490457"/>
    <w:rsid w:val="00494B07"/>
    <w:rsid w:val="004969CB"/>
    <w:rsid w:val="004B79A4"/>
    <w:rsid w:val="004C069C"/>
    <w:rsid w:val="004C455E"/>
    <w:rsid w:val="004E2A8F"/>
    <w:rsid w:val="004F2C00"/>
    <w:rsid w:val="00514265"/>
    <w:rsid w:val="00522900"/>
    <w:rsid w:val="00530B8A"/>
    <w:rsid w:val="005335F1"/>
    <w:rsid w:val="0053572B"/>
    <w:rsid w:val="00537E2F"/>
    <w:rsid w:val="00541782"/>
    <w:rsid w:val="00543EA6"/>
    <w:rsid w:val="005471C7"/>
    <w:rsid w:val="00551FED"/>
    <w:rsid w:val="00556475"/>
    <w:rsid w:val="0056514D"/>
    <w:rsid w:val="005657D6"/>
    <w:rsid w:val="00565868"/>
    <w:rsid w:val="00570C8A"/>
    <w:rsid w:val="00571972"/>
    <w:rsid w:val="00577B6E"/>
    <w:rsid w:val="00577E15"/>
    <w:rsid w:val="005863FE"/>
    <w:rsid w:val="00597F83"/>
    <w:rsid w:val="005D428D"/>
    <w:rsid w:val="006038FD"/>
    <w:rsid w:val="006107CD"/>
    <w:rsid w:val="0063547F"/>
    <w:rsid w:val="0064446F"/>
    <w:rsid w:val="00654D3D"/>
    <w:rsid w:val="0065612C"/>
    <w:rsid w:val="00664860"/>
    <w:rsid w:val="006737FB"/>
    <w:rsid w:val="00692297"/>
    <w:rsid w:val="0069325D"/>
    <w:rsid w:val="00695348"/>
    <w:rsid w:val="00695A49"/>
    <w:rsid w:val="006A2199"/>
    <w:rsid w:val="006A580A"/>
    <w:rsid w:val="006A6817"/>
    <w:rsid w:val="006D009E"/>
    <w:rsid w:val="006D3312"/>
    <w:rsid w:val="006D3B73"/>
    <w:rsid w:val="006E10C2"/>
    <w:rsid w:val="006E242B"/>
    <w:rsid w:val="006E5313"/>
    <w:rsid w:val="0070795E"/>
    <w:rsid w:val="0071061C"/>
    <w:rsid w:val="00715F68"/>
    <w:rsid w:val="00722607"/>
    <w:rsid w:val="0073722C"/>
    <w:rsid w:val="00741EFF"/>
    <w:rsid w:val="00742B89"/>
    <w:rsid w:val="00743BA4"/>
    <w:rsid w:val="00744438"/>
    <w:rsid w:val="00763975"/>
    <w:rsid w:val="00766D35"/>
    <w:rsid w:val="00767F77"/>
    <w:rsid w:val="00775A9E"/>
    <w:rsid w:val="007777F1"/>
    <w:rsid w:val="007811A6"/>
    <w:rsid w:val="007918CD"/>
    <w:rsid w:val="00796D40"/>
    <w:rsid w:val="007A193F"/>
    <w:rsid w:val="007A4F50"/>
    <w:rsid w:val="007B289A"/>
    <w:rsid w:val="007B7AC0"/>
    <w:rsid w:val="007C40F3"/>
    <w:rsid w:val="00801F33"/>
    <w:rsid w:val="00816848"/>
    <w:rsid w:val="008252AB"/>
    <w:rsid w:val="00840CD0"/>
    <w:rsid w:val="00847773"/>
    <w:rsid w:val="0085169D"/>
    <w:rsid w:val="00855ED7"/>
    <w:rsid w:val="008659D0"/>
    <w:rsid w:val="0087171A"/>
    <w:rsid w:val="0087321B"/>
    <w:rsid w:val="00881FDB"/>
    <w:rsid w:val="008A67B6"/>
    <w:rsid w:val="008B4D14"/>
    <w:rsid w:val="008B5FC2"/>
    <w:rsid w:val="008B654F"/>
    <w:rsid w:val="008C23AF"/>
    <w:rsid w:val="008C310E"/>
    <w:rsid w:val="008D6FF7"/>
    <w:rsid w:val="008D7D0E"/>
    <w:rsid w:val="008E436B"/>
    <w:rsid w:val="008E4B19"/>
    <w:rsid w:val="008E6775"/>
    <w:rsid w:val="008F4796"/>
    <w:rsid w:val="008F780D"/>
    <w:rsid w:val="00905451"/>
    <w:rsid w:val="009220F7"/>
    <w:rsid w:val="009231B8"/>
    <w:rsid w:val="00925094"/>
    <w:rsid w:val="0093564C"/>
    <w:rsid w:val="009512B6"/>
    <w:rsid w:val="009641AB"/>
    <w:rsid w:val="009651CD"/>
    <w:rsid w:val="0097797A"/>
    <w:rsid w:val="00993DC5"/>
    <w:rsid w:val="009A1BD5"/>
    <w:rsid w:val="009A7330"/>
    <w:rsid w:val="009B0CD5"/>
    <w:rsid w:val="009B15EA"/>
    <w:rsid w:val="009B1979"/>
    <w:rsid w:val="009B4BFC"/>
    <w:rsid w:val="009C2135"/>
    <w:rsid w:val="009C45B8"/>
    <w:rsid w:val="009C57CE"/>
    <w:rsid w:val="009C76CB"/>
    <w:rsid w:val="009E65C6"/>
    <w:rsid w:val="00A06E33"/>
    <w:rsid w:val="00A13290"/>
    <w:rsid w:val="00A327FE"/>
    <w:rsid w:val="00A51958"/>
    <w:rsid w:val="00A6054E"/>
    <w:rsid w:val="00A77206"/>
    <w:rsid w:val="00A80DF2"/>
    <w:rsid w:val="00A84781"/>
    <w:rsid w:val="00AA4F27"/>
    <w:rsid w:val="00AA7E0E"/>
    <w:rsid w:val="00AC6995"/>
    <w:rsid w:val="00AC6F52"/>
    <w:rsid w:val="00AC7AA9"/>
    <w:rsid w:val="00AD2F0D"/>
    <w:rsid w:val="00AD412D"/>
    <w:rsid w:val="00AD4DBB"/>
    <w:rsid w:val="00AE0F83"/>
    <w:rsid w:val="00AF3B87"/>
    <w:rsid w:val="00AF7E7A"/>
    <w:rsid w:val="00B034DA"/>
    <w:rsid w:val="00B342F8"/>
    <w:rsid w:val="00B4025A"/>
    <w:rsid w:val="00B428C2"/>
    <w:rsid w:val="00B43434"/>
    <w:rsid w:val="00B571CF"/>
    <w:rsid w:val="00B62899"/>
    <w:rsid w:val="00B66525"/>
    <w:rsid w:val="00B669DE"/>
    <w:rsid w:val="00B712D9"/>
    <w:rsid w:val="00B777AB"/>
    <w:rsid w:val="00B92ED6"/>
    <w:rsid w:val="00B93B1C"/>
    <w:rsid w:val="00BA6F0C"/>
    <w:rsid w:val="00BB7BA3"/>
    <w:rsid w:val="00BC1687"/>
    <w:rsid w:val="00BC4215"/>
    <w:rsid w:val="00BE39D7"/>
    <w:rsid w:val="00BF402E"/>
    <w:rsid w:val="00C056F1"/>
    <w:rsid w:val="00C162B7"/>
    <w:rsid w:val="00C212E1"/>
    <w:rsid w:val="00C5111C"/>
    <w:rsid w:val="00C83371"/>
    <w:rsid w:val="00C84B39"/>
    <w:rsid w:val="00C91539"/>
    <w:rsid w:val="00CB3B68"/>
    <w:rsid w:val="00CB4053"/>
    <w:rsid w:val="00CB5133"/>
    <w:rsid w:val="00CB6CC7"/>
    <w:rsid w:val="00CC34BD"/>
    <w:rsid w:val="00CC7E26"/>
    <w:rsid w:val="00CE1BCF"/>
    <w:rsid w:val="00CE679C"/>
    <w:rsid w:val="00CF4719"/>
    <w:rsid w:val="00D10005"/>
    <w:rsid w:val="00D1214F"/>
    <w:rsid w:val="00D1740B"/>
    <w:rsid w:val="00D42FC4"/>
    <w:rsid w:val="00D432F0"/>
    <w:rsid w:val="00D43EFB"/>
    <w:rsid w:val="00D601EA"/>
    <w:rsid w:val="00D61BA9"/>
    <w:rsid w:val="00D76312"/>
    <w:rsid w:val="00D809C5"/>
    <w:rsid w:val="00D84FF5"/>
    <w:rsid w:val="00D86854"/>
    <w:rsid w:val="00D923B1"/>
    <w:rsid w:val="00D92D20"/>
    <w:rsid w:val="00DA5675"/>
    <w:rsid w:val="00DB3C84"/>
    <w:rsid w:val="00DC5EF4"/>
    <w:rsid w:val="00DD30E0"/>
    <w:rsid w:val="00DF4D53"/>
    <w:rsid w:val="00DF58F9"/>
    <w:rsid w:val="00E24077"/>
    <w:rsid w:val="00E4636F"/>
    <w:rsid w:val="00E51247"/>
    <w:rsid w:val="00E5750C"/>
    <w:rsid w:val="00E65C8D"/>
    <w:rsid w:val="00E67947"/>
    <w:rsid w:val="00E7789F"/>
    <w:rsid w:val="00E82B09"/>
    <w:rsid w:val="00EF641B"/>
    <w:rsid w:val="00F03ED0"/>
    <w:rsid w:val="00F0472F"/>
    <w:rsid w:val="00F16FFD"/>
    <w:rsid w:val="00F47382"/>
    <w:rsid w:val="00F85F04"/>
    <w:rsid w:val="00FA45CC"/>
    <w:rsid w:val="00FB5385"/>
    <w:rsid w:val="00FB5FAB"/>
    <w:rsid w:val="00FC2AEF"/>
    <w:rsid w:val="00FD0A4E"/>
    <w:rsid w:val="00FE02FC"/>
    <w:rsid w:val="00F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51A82A"/>
  <w15:chartTrackingRefBased/>
  <w15:docId w15:val="{67735CF2-B9B1-435B-9A62-B004C067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878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8C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F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D7B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B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B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B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B5D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2F2E6D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2F2E6D"/>
    <w:rPr>
      <w:i/>
      <w:iCs/>
      <w:color w:val="44546A" w:themeColor="text2"/>
      <w:sz w:val="18"/>
      <w:szCs w:val="18"/>
    </w:rPr>
  </w:style>
  <w:style w:type="character" w:customStyle="1" w:styleId="EndNoteBibliographyTitleChar">
    <w:name w:val="EndNote Bibliography Title Char"/>
    <w:basedOn w:val="CaptionChar"/>
    <w:link w:val="EndNoteBibliographyTitle"/>
    <w:rsid w:val="002F2E6D"/>
    <w:rPr>
      <w:rFonts w:ascii="Calibri" w:hAnsi="Calibri" w:cs="Calibri"/>
      <w:i w:val="0"/>
      <w:iCs w:val="0"/>
      <w:noProof/>
      <w:color w:val="44546A" w:themeColor="text2"/>
      <w:sz w:val="18"/>
      <w:szCs w:val="1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F2E6D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CaptionChar"/>
    <w:link w:val="EndNoteBibliography"/>
    <w:rsid w:val="002F2E6D"/>
    <w:rPr>
      <w:rFonts w:ascii="Calibri" w:hAnsi="Calibri" w:cs="Calibri"/>
      <w:i w:val="0"/>
      <w:iCs w:val="0"/>
      <w:noProof/>
      <w:color w:val="44546A" w:themeColor="text2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742B89"/>
    <w:pPr>
      <w:spacing w:after="0" w:line="240" w:lineRule="auto"/>
      <w:ind w:firstLine="340"/>
      <w:jc w:val="both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742B8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7A4F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F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3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7FB"/>
  </w:style>
  <w:style w:type="paragraph" w:styleId="Footer">
    <w:name w:val="footer"/>
    <w:basedOn w:val="Normal"/>
    <w:link w:val="FooterChar"/>
    <w:uiPriority w:val="99"/>
    <w:unhideWhenUsed/>
    <w:rsid w:val="00673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7FB"/>
  </w:style>
  <w:style w:type="character" w:customStyle="1" w:styleId="fontstyle01">
    <w:name w:val="fontstyle01"/>
    <w:basedOn w:val="DefaultParagraphFont"/>
    <w:rsid w:val="00E24077"/>
    <w:rPr>
      <w:rFonts w:ascii="CMR10" w:hAnsi="CMR1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D11B47A8D3B418FD3C3465D2A57D2" ma:contentTypeVersion="14" ma:contentTypeDescription="Create a new document." ma:contentTypeScope="" ma:versionID="35ff70677255026cac0bcf19b7c942fc">
  <xsd:schema xmlns:xsd="http://www.w3.org/2001/XMLSchema" xmlns:xs="http://www.w3.org/2001/XMLSchema" xmlns:p="http://schemas.microsoft.com/office/2006/metadata/properties" xmlns:ns3="20d5b74e-a2f5-42a0-ab07-00a15ea0d527" xmlns:ns4="3dd13bfd-9ba4-4a5e-8310-7edc3fd2ac6b" targetNamespace="http://schemas.microsoft.com/office/2006/metadata/properties" ma:root="true" ma:fieldsID="8c28d82812e105ee2f621397995970e8" ns3:_="" ns4:_="">
    <xsd:import namespace="20d5b74e-a2f5-42a0-ab07-00a15ea0d527"/>
    <xsd:import namespace="3dd13bfd-9ba4-4a5e-8310-7edc3fd2ac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b74e-a2f5-42a0-ab07-00a15ea0d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3bfd-9ba4-4a5e-8310-7edc3fd2a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848C97-B035-44DD-A98E-FB6954B51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5b74e-a2f5-42a0-ab07-00a15ea0d527"/>
    <ds:schemaRef ds:uri="3dd13bfd-9ba4-4a5e-8310-7edc3fd2a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9AB6D-152F-40E5-82E8-E449D9F368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D2DF2-79D0-4297-9B5B-5008E0568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C09EBB-D570-4580-B6E5-68F9E6EED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Madland</dc:creator>
  <cp:keywords/>
  <dc:description/>
  <cp:lastModifiedBy>Gaston Courtade</cp:lastModifiedBy>
  <cp:revision>15</cp:revision>
  <cp:lastPrinted>2021-04-25T10:36:00Z</cp:lastPrinted>
  <dcterms:created xsi:type="dcterms:W3CDTF">2021-07-06T14:48:00Z</dcterms:created>
  <dcterms:modified xsi:type="dcterms:W3CDTF">2021-08-05T07:47:00Z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0x0101004A8D11B47A8D3B418FD3C3465D2A57D2</vt:lpwstr>
  </property>
  <property fmtid="{D5CDD505-2E9C-101B-9397-08002B2CF9AE}" pid="3" name="MSIP_Label_d0484126-3486-41a9-802e-7f1e2277276c_Enabled">
    <vt:lpwstr>True</vt:lpwstr>
  </property>
  <property fmtid="{D5CDD505-2E9C-101B-9397-08002B2CF9AE}" pid="4" name="MSIP_Label_d0484126-3486-41a9-802e-7f1e2277276c_SiteId">
    <vt:lpwstr>eec01f8e-737f-43e3-9ed5-f8a59913bd82</vt:lpwstr>
  </property>
  <property fmtid="{D5CDD505-2E9C-101B-9397-08002B2CF9AE}" pid="5" name="MSIP_Label_d0484126-3486-41a9-802e-7f1e2277276c_Owner">
    <vt:lpwstr>zarah.forsberg@nmbu.no</vt:lpwstr>
  </property>
  <property fmtid="{D5CDD505-2E9C-101B-9397-08002B2CF9AE}" pid="6" name="MSIP_Label_d0484126-3486-41a9-802e-7f1e2277276c_SetDate">
    <vt:lpwstr>2020-07-24T12:19:04.0744921Z</vt:lpwstr>
  </property>
  <property fmtid="{D5CDD505-2E9C-101B-9397-08002B2CF9AE}" pid="7" name="MSIP_Label_d0484126-3486-41a9-802e-7f1e2277276c_Name">
    <vt:lpwstr>Internal</vt:lpwstr>
  </property>
  <property fmtid="{D5CDD505-2E9C-101B-9397-08002B2CF9AE}" pid="8" name="MSIP_Label_d0484126-3486-41a9-802e-7f1e2277276c_Application">
    <vt:lpwstr>Microsoft Azure Information Protection</vt:lpwstr>
  </property>
  <property fmtid="{D5CDD505-2E9C-101B-9397-08002B2CF9AE}" pid="9" name="MSIP_Label_d0484126-3486-41a9-802e-7f1e2277276c_ActionId">
    <vt:lpwstr>5c09ab8a-073b-4dd4-84b6-271a77815cde</vt:lpwstr>
  </property>
  <property fmtid="{D5CDD505-2E9C-101B-9397-08002B2CF9AE}" pid="10" name="MSIP_Label_d0484126-3486-41a9-802e-7f1e2277276c_Extended_MSFT_Method">
    <vt:lpwstr>Automatic</vt:lpwstr>
  </property>
  <property fmtid="{D5CDD505-2E9C-101B-9397-08002B2CF9AE}" pid="11" name="Mendeley Recent Style Id 0_1">
    <vt:lpwstr>http://www.zotero.org/styles/acs-chemical-biology</vt:lpwstr>
  </property>
  <property fmtid="{D5CDD505-2E9C-101B-9397-08002B2CF9AE}" pid="12" name="Mendeley Recent Style Name 0_1">
    <vt:lpwstr>ACS Chemical Biology</vt:lpwstr>
  </property>
  <property fmtid="{D5CDD505-2E9C-101B-9397-08002B2CF9AE}" pid="13" name="Mendeley Recent Style Id 1_1">
    <vt:lpwstr>http://www.zotero.org/styles/american-medical-association</vt:lpwstr>
  </property>
  <property fmtid="{D5CDD505-2E9C-101B-9397-08002B2CF9AE}" pid="14" name="Mendeley Recent Style Name 1_1">
    <vt:lpwstr>American Medical Association</vt:lpwstr>
  </property>
  <property fmtid="{D5CDD505-2E9C-101B-9397-08002B2CF9AE}" pid="15" name="Mendeley Recent Style Id 2_1">
    <vt:lpwstr>http://www.zotero.org/styles/american-political-science-association</vt:lpwstr>
  </property>
  <property fmtid="{D5CDD505-2E9C-101B-9397-08002B2CF9AE}" pid="16" name="Mendeley Recent Style Name 2_1">
    <vt:lpwstr>American Political Science Association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 6th edition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17th edition (author-date)</vt:lpwstr>
  </property>
  <property fmtid="{D5CDD505-2E9C-101B-9397-08002B2CF9AE}" pid="21" name="Mendeley Recent Style Id 5_1">
    <vt:lpwstr>http://csl.mendeley.com/styles/20448741/minimal-grant-proposals</vt:lpwstr>
  </property>
  <property fmtid="{D5CDD505-2E9C-101B-9397-08002B2CF9AE}" pid="22" name="Mendeley Recent Style Name 5_1">
    <vt:lpwstr>Minimal style for grant proposals</vt:lpwstr>
  </property>
  <property fmtid="{D5CDD505-2E9C-101B-9397-08002B2CF9AE}" pid="23" name="Mendeley Recent Style Id 6_1">
    <vt:lpwstr>https://csl.mendeley.com/styles/20788301/minimal-grant-proposals-gco</vt:lpwstr>
  </property>
  <property fmtid="{D5CDD505-2E9C-101B-9397-08002B2CF9AE}" pid="24" name="Mendeley Recent Style Name 6_1">
    <vt:lpwstr>Minimal style for grant proposals - Gaston Courtade, PhD</vt:lpwstr>
  </property>
  <property fmtid="{D5CDD505-2E9C-101B-9397-08002B2CF9AE}" pid="25" name="Mendeley Recent Style Id 7_1">
    <vt:lpwstr>http://www.zotero.org/styles/journal-of-biological-chemistry</vt:lpwstr>
  </property>
  <property fmtid="{D5CDD505-2E9C-101B-9397-08002B2CF9AE}" pid="26" name="Mendeley Recent Style Name 7_1">
    <vt:lpwstr>The Journal of Biological Chemistry</vt:lpwstr>
  </property>
  <property fmtid="{D5CDD505-2E9C-101B-9397-08002B2CF9AE}" pid="27" name="Mendeley Recent Style Id 8_1">
    <vt:lpwstr>https://csl.mendeley.com/styles/20788301/journal-of-biological-chemistry</vt:lpwstr>
  </property>
  <property fmtid="{D5CDD505-2E9C-101B-9397-08002B2CF9AE}" pid="28" name="Mendeley Recent Style Name 8_1">
    <vt:lpwstr>The Journal of Biological Chemistry - Gaston Courtade</vt:lpwstr>
  </property>
  <property fmtid="{D5CDD505-2E9C-101B-9397-08002B2CF9AE}" pid="29" name="Mendeley Recent Style Id 9_1">
    <vt:lpwstr>http://www.zotero.org/styles/vancouver</vt:lpwstr>
  </property>
  <property fmtid="{D5CDD505-2E9C-101B-9397-08002B2CF9AE}" pid="30" name="Mendeley Recent Style Name 9_1">
    <vt:lpwstr>Vancouver</vt:lpwstr>
  </property>
  <property fmtid="{D5CDD505-2E9C-101B-9397-08002B2CF9AE}" pid="31" name="Mendeley Document_1">
    <vt:lpwstr>True</vt:lpwstr>
  </property>
  <property fmtid="{D5CDD505-2E9C-101B-9397-08002B2CF9AE}" pid="32" name="Mendeley Unique User Id_1">
    <vt:lpwstr>8a677d40-8ebf-34a9-a818-ef25d518d08f</vt:lpwstr>
  </property>
  <property fmtid="{D5CDD505-2E9C-101B-9397-08002B2CF9AE}" pid="33" name="Mendeley Citation Style_1">
    <vt:lpwstr>https://csl.mendeley.com/styles/20788301/journal-of-biological-chemistry</vt:lpwstr>
  </property>
</Properties>
</file>