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E36C1" w14:textId="5A5012A1" w:rsidR="002A2E53" w:rsidRDefault="00CF70B1">
      <w:r>
        <w:t>Supplementary figure caption</w:t>
      </w:r>
    </w:p>
    <w:p w14:paraId="742F61A8" w14:textId="77777777" w:rsidR="00CF70B1" w:rsidRDefault="00CF70B1"/>
    <w:p w14:paraId="7120B14F" w14:textId="77777777" w:rsidR="00CF70B1" w:rsidRPr="00CF70B1" w:rsidRDefault="00CF70B1" w:rsidP="00CF70B1">
      <w:pPr>
        <w:spacing w:before="280" w:after="28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</w:pPr>
      <w:hyperlink w:anchor="bookmark=id.35nkun2">
        <w:r w:rsidRPr="00CF70B1">
          <w:rPr>
            <w:rFonts w:ascii="Times New Roman" w:eastAsia="Times New Roman" w:hAnsi="Times New Roman" w:cs="Times New Roman"/>
            <w:b/>
            <w:kern w:val="0"/>
            <w:sz w:val="24"/>
            <w:szCs w:val="24"/>
            <w:lang w:val="en-US" w:eastAsia="de-DE"/>
            <w14:ligatures w14:val="none"/>
          </w:rPr>
          <w:t>Figure S1.</w:t>
        </w:r>
      </w:hyperlink>
      <w:r w:rsidRPr="00CF70B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  <w:t xml:space="preserve"> Posterior predictive checks for all models. Observed density of species descriptions per year show in dark blue (</w:t>
      </w:r>
      <w:r w:rsidRPr="00CF70B1">
        <w:rPr>
          <w:rFonts w:ascii="Times New Roman" w:eastAsia="Times New Roman" w:hAnsi="Times New Roman" w:cs="Times New Roman"/>
          <w:i/>
          <w:kern w:val="0"/>
          <w:sz w:val="24"/>
          <w:szCs w:val="24"/>
          <w:lang w:val="en-US" w:eastAsia="de-DE"/>
          <w14:ligatures w14:val="none"/>
        </w:rPr>
        <w:t>y</w:t>
      </w:r>
      <w:r w:rsidRPr="00CF70B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  <w:t>), with 100 draws from each posterior distribution shown in light blue (</w:t>
      </w:r>
      <w:proofErr w:type="spellStart"/>
      <w:r w:rsidRPr="00CF70B1">
        <w:rPr>
          <w:rFonts w:ascii="Times New Roman" w:eastAsia="Times New Roman" w:hAnsi="Times New Roman" w:cs="Times New Roman"/>
          <w:i/>
          <w:kern w:val="0"/>
          <w:sz w:val="24"/>
          <w:szCs w:val="24"/>
          <w:lang w:val="en-US" w:eastAsia="de-DE"/>
          <w14:ligatures w14:val="none"/>
        </w:rPr>
        <w:t>y</w:t>
      </w:r>
      <w:r w:rsidRPr="00CF70B1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bscript"/>
          <w:lang w:val="en-US" w:eastAsia="de-DE"/>
          <w14:ligatures w14:val="none"/>
        </w:rPr>
        <w:t>rep</w:t>
      </w:r>
      <w:proofErr w:type="spellEnd"/>
      <w:r w:rsidRPr="00CF70B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  <w:t>).</w:t>
      </w:r>
    </w:p>
    <w:p w14:paraId="31CC1BA7" w14:textId="77777777" w:rsidR="00CF70B1" w:rsidRDefault="00CF70B1"/>
    <w:sectPr w:rsidR="00CF70B1" w:rsidSect="002477F6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0B1"/>
    <w:rsid w:val="0004298D"/>
    <w:rsid w:val="002477F6"/>
    <w:rsid w:val="002A2E53"/>
    <w:rsid w:val="00BE3CB2"/>
    <w:rsid w:val="00C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5D26B"/>
  <w15:chartTrackingRefBased/>
  <w15:docId w15:val="{A3A47AD3-428C-4838-B9C2-6E1CF28F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Coldwell</dc:creator>
  <cp:keywords/>
  <dc:description/>
  <cp:lastModifiedBy>Karen Coldwell</cp:lastModifiedBy>
  <cp:revision>1</cp:revision>
  <dcterms:created xsi:type="dcterms:W3CDTF">2023-07-21T09:57:00Z</dcterms:created>
  <dcterms:modified xsi:type="dcterms:W3CDTF">2023-07-21T10:04:00Z</dcterms:modified>
</cp:coreProperties>
</file>