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E8659" w14:textId="7491E454" w:rsidR="0023200B" w:rsidRPr="0023200B" w:rsidRDefault="0023200B" w:rsidP="0023200B">
      <w:pPr>
        <w:spacing w:line="480" w:lineRule="auto"/>
        <w:jc w:val="center"/>
        <w:rPr>
          <w:rFonts w:cs="Calibri"/>
          <w:b/>
          <w:color w:val="000000"/>
          <w:sz w:val="28"/>
          <w:szCs w:val="28"/>
          <w:shd w:val="clear" w:color="auto" w:fill="FFFFFF"/>
          <w:lang w:val="en-US"/>
        </w:rPr>
      </w:pPr>
      <w:r w:rsidRPr="0023200B">
        <w:rPr>
          <w:rFonts w:cs="Calibri"/>
          <w:b/>
          <w:color w:val="000000"/>
          <w:sz w:val="28"/>
          <w:szCs w:val="28"/>
          <w:shd w:val="clear" w:color="auto" w:fill="FFFFFF"/>
          <w:lang w:val="en-US"/>
        </w:rPr>
        <w:t xml:space="preserve">Trends in the diagnostic prevalence of </w:t>
      </w:r>
      <w:bookmarkStart w:id="0" w:name="_Hlk208916451"/>
      <w:r w:rsidRPr="0023200B">
        <w:rPr>
          <w:rFonts w:cs="Calibri"/>
          <w:b/>
          <w:color w:val="000000"/>
          <w:sz w:val="28"/>
          <w:szCs w:val="28"/>
          <w:shd w:val="clear" w:color="auto" w:fill="FFFFFF"/>
          <w:lang w:val="en-US"/>
        </w:rPr>
        <w:t xml:space="preserve">cannabis-related disorders </w:t>
      </w:r>
      <w:bookmarkEnd w:id="0"/>
      <w:r w:rsidRPr="0023200B">
        <w:rPr>
          <w:rFonts w:cs="Calibri"/>
          <w:b/>
          <w:color w:val="000000"/>
          <w:sz w:val="28"/>
          <w:szCs w:val="28"/>
          <w:shd w:val="clear" w:color="auto" w:fill="FFFFFF"/>
          <w:lang w:val="en-US"/>
        </w:rPr>
        <w:t>and co-occurring psychiatric di</w:t>
      </w:r>
      <w:r w:rsidR="00A704A3">
        <w:rPr>
          <w:rFonts w:cs="Calibri"/>
          <w:b/>
          <w:color w:val="000000"/>
          <w:sz w:val="28"/>
          <w:szCs w:val="28"/>
          <w:shd w:val="clear" w:color="auto" w:fill="FFFFFF"/>
          <w:lang w:val="en-US"/>
        </w:rPr>
        <w:t>sorders</w:t>
      </w:r>
      <w:r w:rsidRPr="0023200B">
        <w:rPr>
          <w:rFonts w:cs="Calibri"/>
          <w:b/>
          <w:color w:val="000000"/>
          <w:sz w:val="28"/>
          <w:szCs w:val="28"/>
          <w:shd w:val="clear" w:color="auto" w:fill="FFFFFF"/>
          <w:lang w:val="en-US"/>
        </w:rPr>
        <w:t xml:space="preserve"> in adolescents: </w:t>
      </w:r>
    </w:p>
    <w:p w14:paraId="0502BE76" w14:textId="0E45ACB0" w:rsidR="0023200B" w:rsidRPr="0023200B" w:rsidRDefault="0023200B" w:rsidP="0023200B">
      <w:pPr>
        <w:spacing w:line="480" w:lineRule="auto"/>
        <w:jc w:val="center"/>
        <w:rPr>
          <w:rFonts w:cs="Calibri"/>
          <w:b/>
          <w:color w:val="000000"/>
          <w:sz w:val="28"/>
          <w:szCs w:val="28"/>
          <w:shd w:val="clear" w:color="auto" w:fill="FFFFFF"/>
          <w:lang w:val="en-US"/>
        </w:rPr>
      </w:pPr>
      <w:r w:rsidRPr="0023200B">
        <w:rPr>
          <w:rFonts w:cs="Calibri"/>
          <w:b/>
          <w:color w:val="000000"/>
          <w:sz w:val="28"/>
          <w:szCs w:val="28"/>
          <w:shd w:val="clear" w:color="auto" w:fill="FFFFFF"/>
          <w:lang w:val="en-US"/>
        </w:rPr>
        <w:t>analysis of German health insurance data from 2013–2022</w:t>
      </w:r>
    </w:p>
    <w:p w14:paraId="0237FF13" w14:textId="69CC5A7F" w:rsidR="0023200B" w:rsidRPr="0023200B" w:rsidRDefault="0023200B" w:rsidP="0023200B">
      <w:pPr>
        <w:jc w:val="center"/>
        <w:rPr>
          <w:rFonts w:cs="Calibri"/>
          <w:b/>
          <w:bCs/>
          <w:sz w:val="28"/>
          <w:szCs w:val="28"/>
          <w:lang w:val="en-GB"/>
        </w:rPr>
      </w:pPr>
      <w:r w:rsidRPr="0023200B">
        <w:rPr>
          <w:rFonts w:cs="Calibri"/>
          <w:b/>
          <w:bCs/>
          <w:sz w:val="28"/>
          <w:szCs w:val="28"/>
          <w:lang w:val="en-GB"/>
        </w:rPr>
        <w:t>Supplementary Materials</w:t>
      </w:r>
    </w:p>
    <w:p w14:paraId="47A16907" w14:textId="77777777" w:rsidR="0023200B" w:rsidRPr="0023200B" w:rsidRDefault="0023200B" w:rsidP="0023200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5515D2D" w14:textId="77777777" w:rsidR="0023200B" w:rsidRDefault="0023200B" w:rsidP="0023200B">
      <w:pPr>
        <w:spacing w:line="480" w:lineRule="auto"/>
        <w:rPr>
          <w:rFonts w:cs="Calibri"/>
          <w:color w:val="000000"/>
          <w:shd w:val="clear" w:color="auto" w:fill="FFFFFF"/>
          <w:lang w:val="en-US"/>
        </w:rPr>
      </w:pPr>
      <w:r>
        <w:rPr>
          <w:rFonts w:cs="Calibri"/>
          <w:color w:val="000000"/>
          <w:shd w:val="clear" w:color="auto" w:fill="FFFFFF"/>
          <w:lang w:val="en-US"/>
        </w:rPr>
        <w:t>Alexander Zarour</w:t>
      </w:r>
      <w:r>
        <w:rPr>
          <w:rFonts w:cs="Calibri"/>
          <w:color w:val="000000"/>
          <w:shd w:val="clear" w:color="auto" w:fill="FFFFFF"/>
          <w:vertAlign w:val="superscript"/>
          <w:lang w:val="en-US"/>
        </w:rPr>
        <w:t>1</w:t>
      </w:r>
      <w:r>
        <w:rPr>
          <w:rFonts w:cs="Calibri"/>
          <w:color w:val="000000"/>
          <w:shd w:val="clear" w:color="auto" w:fill="FFFFFF"/>
          <w:lang w:val="en-US"/>
        </w:rPr>
        <w:t>, Christian Bachmann</w:t>
      </w:r>
      <w:r>
        <w:rPr>
          <w:rFonts w:cs="Calibri"/>
          <w:color w:val="000000"/>
          <w:shd w:val="clear" w:color="auto" w:fill="FFFFFF"/>
          <w:vertAlign w:val="superscript"/>
          <w:lang w:val="en-US"/>
        </w:rPr>
        <w:t>2</w:t>
      </w:r>
      <w:r>
        <w:rPr>
          <w:rFonts w:cs="Calibri"/>
          <w:color w:val="000000"/>
          <w:shd w:val="clear" w:color="auto" w:fill="FFFFFF"/>
          <w:lang w:val="en-US"/>
        </w:rPr>
        <w:t>, Lisa Dandolo</w:t>
      </w:r>
      <w:r w:rsidRPr="00A369A2">
        <w:rPr>
          <w:rFonts w:cs="Calibri"/>
          <w:color w:val="000000"/>
          <w:shd w:val="clear" w:color="auto" w:fill="FFFFFF"/>
          <w:vertAlign w:val="superscript"/>
          <w:lang w:val="en-US"/>
        </w:rPr>
        <w:t>1</w:t>
      </w:r>
      <w:r>
        <w:rPr>
          <w:rFonts w:cs="Calibri"/>
          <w:color w:val="000000"/>
          <w:shd w:val="clear" w:color="auto" w:fill="FFFFFF"/>
          <w:lang w:val="en-US"/>
        </w:rPr>
        <w:t xml:space="preserve">, Jakob </w:t>
      </w:r>
      <w:bookmarkStart w:id="1" w:name="_Hlk185952310"/>
      <w:r>
        <w:rPr>
          <w:rFonts w:cs="Calibri"/>
          <w:color w:val="000000"/>
          <w:shd w:val="clear" w:color="auto" w:fill="FFFFFF"/>
          <w:lang w:val="en-US"/>
        </w:rPr>
        <w:t>Holstiege</w:t>
      </w:r>
      <w:bookmarkEnd w:id="1"/>
      <w:r>
        <w:rPr>
          <w:rFonts w:cs="Calibri"/>
          <w:color w:val="000000"/>
          <w:shd w:val="clear" w:color="auto" w:fill="FFFFFF"/>
          <w:vertAlign w:val="superscript"/>
          <w:lang w:val="en-US"/>
        </w:rPr>
        <w:t>3</w:t>
      </w:r>
      <w:r>
        <w:rPr>
          <w:rFonts w:cs="Calibri"/>
          <w:color w:val="000000"/>
          <w:shd w:val="clear" w:color="auto" w:fill="FFFFFF"/>
          <w:lang w:val="en-US"/>
        </w:rPr>
        <w:t>, Falk Hoffmann</w:t>
      </w:r>
      <w:r>
        <w:rPr>
          <w:rFonts w:cs="Calibri"/>
          <w:color w:val="000000"/>
          <w:shd w:val="clear" w:color="auto" w:fill="FFFFFF"/>
          <w:vertAlign w:val="superscript"/>
          <w:lang w:val="en-US"/>
        </w:rPr>
        <w:t>4</w:t>
      </w:r>
      <w:r>
        <w:rPr>
          <w:rFonts w:cs="Calibri"/>
          <w:color w:val="000000"/>
          <w:shd w:val="clear" w:color="auto" w:fill="FFFFFF"/>
          <w:lang w:val="en-US"/>
        </w:rPr>
        <w:t>, </w:t>
      </w:r>
      <w:proofErr w:type="spellStart"/>
      <w:r>
        <w:rPr>
          <w:rFonts w:cs="Calibri"/>
          <w:color w:val="000000"/>
          <w:shd w:val="clear" w:color="auto" w:fill="FFFFFF"/>
          <w:lang w:val="en-US"/>
        </w:rPr>
        <w:t>Constanze</w:t>
      </w:r>
      <w:proofErr w:type="spellEnd"/>
      <w:r>
        <w:rPr>
          <w:rFonts w:cs="Calibri"/>
          <w:color w:val="000000"/>
          <w:shd w:val="clear" w:color="auto" w:fill="FFFFFF"/>
          <w:lang w:val="en-US"/>
        </w:rPr>
        <w:t xml:space="preserve"> Scholman</w:t>
      </w:r>
      <w:r>
        <w:rPr>
          <w:rFonts w:cs="Calibri"/>
          <w:color w:val="000000"/>
          <w:shd w:val="clear" w:color="auto" w:fill="FFFFFF"/>
          <w:vertAlign w:val="superscript"/>
          <w:lang w:val="en-US"/>
        </w:rPr>
        <w:t>1</w:t>
      </w:r>
      <w:r>
        <w:rPr>
          <w:rFonts w:cs="Calibri"/>
          <w:color w:val="000000"/>
          <w:shd w:val="clear" w:color="auto" w:fill="FFFFFF"/>
          <w:lang w:val="en-US"/>
        </w:rPr>
        <w:t>, Yulia Golub</w:t>
      </w:r>
      <w:r>
        <w:rPr>
          <w:rFonts w:cs="Calibri"/>
          <w:color w:val="000000"/>
          <w:shd w:val="clear" w:color="auto" w:fill="FFFFFF"/>
          <w:vertAlign w:val="superscript"/>
          <w:lang w:val="en-US"/>
        </w:rPr>
        <w:t>1</w:t>
      </w:r>
    </w:p>
    <w:p w14:paraId="4D7876AD" w14:textId="77777777" w:rsidR="0023200B" w:rsidRDefault="0023200B" w:rsidP="0023200B">
      <w:pPr>
        <w:spacing w:line="240" w:lineRule="auto"/>
        <w:rPr>
          <w:rFonts w:cs="Calibri"/>
          <w:i/>
          <w:iCs/>
          <w:color w:val="000000"/>
          <w:shd w:val="clear" w:color="auto" w:fill="FFFFFF"/>
          <w:lang w:val="en-US"/>
        </w:rPr>
      </w:pPr>
      <w:r>
        <w:rPr>
          <w:rFonts w:cs="Calibri"/>
          <w:lang w:val="en-US"/>
        </w:rPr>
        <w:br/>
      </w:r>
      <w:r w:rsidRPr="0023200B">
        <w:rPr>
          <w:rFonts w:cs="Calibri"/>
          <w:i/>
          <w:iCs/>
          <w:color w:val="212121"/>
          <w:shd w:val="clear" w:color="auto" w:fill="FFFFFF"/>
          <w:lang w:val="en-US"/>
        </w:rPr>
        <w:t>1. Department of Child and Adolescent Psychiatry, Psychosomatic and Psychotherapy, School of Medicine and Health Sciences, Carl von Ossietzky Universität Oldenburg, Oldenburg, Germany</w:t>
      </w:r>
    </w:p>
    <w:p w14:paraId="4F74D042" w14:textId="09B644E5" w:rsidR="0023200B" w:rsidRPr="0023200B" w:rsidRDefault="0023200B" w:rsidP="0023200B">
      <w:pPr>
        <w:spacing w:line="240" w:lineRule="auto"/>
        <w:rPr>
          <w:rFonts w:cs="Calibri"/>
          <w:i/>
          <w:iCs/>
          <w:color w:val="000000"/>
          <w:shd w:val="clear" w:color="auto" w:fill="FFFFFF"/>
          <w:lang w:val="en-US"/>
        </w:rPr>
      </w:pPr>
      <w:r w:rsidRPr="0023200B">
        <w:rPr>
          <w:rFonts w:cs="Calibri"/>
          <w:i/>
          <w:iCs/>
          <w:lang w:val="en-US"/>
        </w:rPr>
        <w:t xml:space="preserve">2. Department of Child and Adolescent Psychiatry, University Hospital Ulm, Germany </w:t>
      </w:r>
    </w:p>
    <w:p w14:paraId="4F66571B" w14:textId="0567656F" w:rsidR="0023200B" w:rsidRPr="0023200B" w:rsidRDefault="0023200B" w:rsidP="0023200B">
      <w:pPr>
        <w:spacing w:line="240" w:lineRule="auto"/>
        <w:jc w:val="both"/>
        <w:rPr>
          <w:rFonts w:cs="Calibri"/>
          <w:i/>
          <w:iCs/>
          <w:lang w:val="en-US"/>
        </w:rPr>
      </w:pPr>
      <w:r w:rsidRPr="0023200B">
        <w:rPr>
          <w:rFonts w:cs="Calibri"/>
          <w:i/>
          <w:iCs/>
          <w:lang w:val="en-US"/>
        </w:rPr>
        <w:t>3. Central Research Institute of Ambulatory Health Care in Germany, Department of Epidemiology and Healthcare Atlas, Berlin</w:t>
      </w:r>
      <w:r w:rsidR="00F54354">
        <w:rPr>
          <w:rFonts w:cs="Calibri"/>
          <w:i/>
          <w:iCs/>
          <w:lang w:val="en-US"/>
        </w:rPr>
        <w:t>, Germany</w:t>
      </w:r>
      <w:r w:rsidRPr="0023200B">
        <w:rPr>
          <w:rFonts w:cs="Calibri"/>
          <w:i/>
          <w:iCs/>
          <w:lang w:val="en-US"/>
        </w:rPr>
        <w:t xml:space="preserve"> </w:t>
      </w:r>
    </w:p>
    <w:p w14:paraId="24288C90" w14:textId="77777777" w:rsidR="0023200B" w:rsidRPr="0023200B" w:rsidRDefault="0023200B" w:rsidP="0023200B">
      <w:pPr>
        <w:spacing w:line="240" w:lineRule="auto"/>
        <w:jc w:val="both"/>
        <w:rPr>
          <w:rFonts w:cs="Calibri"/>
          <w:i/>
          <w:iCs/>
          <w:lang w:val="en-US"/>
        </w:rPr>
      </w:pPr>
      <w:r w:rsidRPr="0023200B">
        <w:rPr>
          <w:rFonts w:cs="Calibri"/>
          <w:i/>
          <w:iCs/>
          <w:lang w:val="en-US"/>
        </w:rPr>
        <w:t>4. Division of Outpatient Care and Pharmacoepidemiology, Department of Health Services Research, Carl von Ossietzky Universität Oldenburg, Oldenburg, Germany</w:t>
      </w:r>
    </w:p>
    <w:p w14:paraId="42A53D6A" w14:textId="77777777" w:rsidR="0023200B" w:rsidRDefault="0023200B" w:rsidP="0023200B">
      <w:pPr>
        <w:spacing w:line="480" w:lineRule="auto"/>
        <w:jc w:val="both"/>
        <w:rPr>
          <w:rFonts w:cs="Calibri"/>
          <w:lang w:val="en-US"/>
        </w:rPr>
      </w:pPr>
    </w:p>
    <w:p w14:paraId="5831E1D3" w14:textId="77777777" w:rsidR="0023200B" w:rsidRDefault="0023200B" w:rsidP="0023200B">
      <w:pPr>
        <w:spacing w:line="480" w:lineRule="auto"/>
        <w:jc w:val="both"/>
        <w:rPr>
          <w:rFonts w:cs="Calibri"/>
          <w:lang w:val="en-US"/>
        </w:rPr>
      </w:pPr>
    </w:p>
    <w:p w14:paraId="0CB13F16" w14:textId="3293C2FD" w:rsidR="0023200B" w:rsidRPr="001F7E27" w:rsidRDefault="0023200B" w:rsidP="0023200B">
      <w:pPr>
        <w:spacing w:line="480" w:lineRule="auto"/>
        <w:jc w:val="both"/>
        <w:rPr>
          <w:rFonts w:cs="Calibri"/>
          <w:lang w:val="en-US"/>
        </w:rPr>
      </w:pPr>
      <w:r w:rsidRPr="00ED41A0">
        <w:rPr>
          <w:rFonts w:cs="Calibri"/>
          <w:lang w:val="en-US"/>
        </w:rPr>
        <w:t xml:space="preserve">Corresponding author: </w:t>
      </w:r>
      <w:r w:rsidR="00F54354">
        <w:rPr>
          <w:rFonts w:cs="Calibri"/>
          <w:lang w:val="en-US"/>
        </w:rPr>
        <w:t xml:space="preserve">Prof. Dr. </w:t>
      </w:r>
      <w:r>
        <w:rPr>
          <w:rFonts w:cs="Calibri"/>
          <w:color w:val="000000"/>
          <w:shd w:val="clear" w:color="auto" w:fill="FFFFFF"/>
          <w:lang w:val="en-US"/>
        </w:rPr>
        <w:t>Yulia Golub</w:t>
      </w:r>
      <w:r w:rsidRPr="00ED41A0">
        <w:rPr>
          <w:rFonts w:cs="Calibri"/>
          <w:lang w:val="en-US"/>
        </w:rPr>
        <w:t xml:space="preserve">, </w:t>
      </w:r>
      <w:proofErr w:type="spellStart"/>
      <w:r w:rsidRPr="00ED41A0">
        <w:rPr>
          <w:rFonts w:cs="Calibri"/>
          <w:lang w:val="en-US"/>
        </w:rPr>
        <w:t>Klinikum</w:t>
      </w:r>
      <w:proofErr w:type="spellEnd"/>
      <w:r w:rsidRPr="00ED41A0">
        <w:rPr>
          <w:rFonts w:cs="Calibri"/>
          <w:lang w:val="en-US"/>
        </w:rPr>
        <w:t xml:space="preserve"> Oldenburg </w:t>
      </w:r>
      <w:proofErr w:type="spellStart"/>
      <w:r w:rsidRPr="00ED41A0">
        <w:rPr>
          <w:rFonts w:cs="Calibri"/>
          <w:lang w:val="en-US"/>
        </w:rPr>
        <w:t>AöR</w:t>
      </w:r>
      <w:proofErr w:type="spellEnd"/>
      <w:r w:rsidRPr="00ED41A0">
        <w:rPr>
          <w:rFonts w:cs="Calibri"/>
          <w:lang w:val="en-US"/>
        </w:rPr>
        <w:t xml:space="preserve">, </w:t>
      </w:r>
      <w:r w:rsidRPr="00ED41A0">
        <w:rPr>
          <w:lang w:val="en-US"/>
        </w:rPr>
        <w:t>Department of Child and Adolescent Psychiatry, Psychosomatics and Psychotherapy, University Hospital</w:t>
      </w:r>
      <w:r w:rsidRPr="00ED41A0">
        <w:rPr>
          <w:rFonts w:cs="Calibri"/>
          <w:lang w:val="en-US"/>
        </w:rPr>
        <w:t xml:space="preserve">, </w:t>
      </w:r>
      <w:proofErr w:type="spellStart"/>
      <w:r w:rsidRPr="00ED41A0">
        <w:rPr>
          <w:rFonts w:cs="Calibri"/>
          <w:lang w:val="en-US"/>
        </w:rPr>
        <w:t>Brandenburgerstr</w:t>
      </w:r>
      <w:proofErr w:type="spellEnd"/>
      <w:r w:rsidRPr="00ED41A0">
        <w:rPr>
          <w:rFonts w:cs="Calibri"/>
          <w:lang w:val="en-US"/>
        </w:rPr>
        <w:t xml:space="preserve">. </w:t>
      </w:r>
      <w:r w:rsidRPr="001F7E27">
        <w:rPr>
          <w:rFonts w:cs="Calibri"/>
          <w:lang w:val="en-US"/>
        </w:rPr>
        <w:t xml:space="preserve">44, 26133 Oldenburg, Germany, </w:t>
      </w:r>
      <w:hyperlink w:history="1">
        <w:r w:rsidRPr="006D32BA">
          <w:rPr>
            <w:rStyle w:val="Hyperlink"/>
            <w:rFonts w:cs="Calibri"/>
            <w:lang w:val="en-US"/>
          </w:rPr>
          <w:t>yulia.golub@uol.de</w:t>
        </w:r>
      </w:hyperlink>
      <w:r>
        <w:rPr>
          <w:rFonts w:cs="Calibri"/>
          <w:lang w:val="en-US"/>
        </w:rPr>
        <w:t xml:space="preserve"> , </w:t>
      </w:r>
      <w:r w:rsidRPr="00E726D1">
        <w:rPr>
          <w:rFonts w:cs="Calibri"/>
          <w:lang w:val="en-US"/>
        </w:rPr>
        <w:t>Tel: 0441 403-10061</w:t>
      </w:r>
      <w:r w:rsidRPr="00E726D1" w:rsidDel="00E726D1">
        <w:rPr>
          <w:rFonts w:cs="Calibri"/>
          <w:lang w:val="en-US"/>
        </w:rPr>
        <w:t xml:space="preserve"> </w:t>
      </w:r>
    </w:p>
    <w:p w14:paraId="3C66DE8C" w14:textId="77777777" w:rsidR="0023200B" w:rsidRDefault="0023200B">
      <w:pPr>
        <w:rPr>
          <w:bCs/>
          <w:kern w:val="36"/>
          <w:lang w:val="en-US" w:eastAsia="de-DE"/>
        </w:rPr>
      </w:pPr>
    </w:p>
    <w:p w14:paraId="7A1E7305" w14:textId="77777777" w:rsidR="0023200B" w:rsidRDefault="0023200B">
      <w:pPr>
        <w:rPr>
          <w:bCs/>
          <w:kern w:val="36"/>
          <w:lang w:val="en-US" w:eastAsia="de-DE"/>
        </w:rPr>
      </w:pPr>
    </w:p>
    <w:p w14:paraId="208FDCD8" w14:textId="77777777" w:rsidR="0023200B" w:rsidRDefault="0023200B">
      <w:pPr>
        <w:rPr>
          <w:bCs/>
          <w:kern w:val="36"/>
          <w:lang w:val="en-US" w:eastAsia="de-DE"/>
        </w:rPr>
      </w:pPr>
    </w:p>
    <w:p w14:paraId="160B77DD" w14:textId="77777777" w:rsidR="0023200B" w:rsidRDefault="0023200B">
      <w:pPr>
        <w:rPr>
          <w:bCs/>
          <w:kern w:val="36"/>
          <w:lang w:val="en-US" w:eastAsia="de-DE"/>
        </w:rPr>
      </w:pPr>
    </w:p>
    <w:p w14:paraId="59008BDF" w14:textId="77777777" w:rsidR="0023200B" w:rsidRDefault="0023200B">
      <w:pPr>
        <w:rPr>
          <w:bCs/>
          <w:kern w:val="36"/>
          <w:lang w:val="en-US" w:eastAsia="de-DE"/>
        </w:rPr>
      </w:pPr>
    </w:p>
    <w:p w14:paraId="730EF29B" w14:textId="77777777" w:rsidR="0023200B" w:rsidRDefault="0023200B">
      <w:pPr>
        <w:rPr>
          <w:bCs/>
          <w:kern w:val="36"/>
          <w:lang w:val="en-US" w:eastAsia="de-DE"/>
        </w:rPr>
      </w:pPr>
    </w:p>
    <w:p w14:paraId="4337BF56" w14:textId="4BAF11E6" w:rsidR="0023200B" w:rsidRDefault="006B6770">
      <w:pPr>
        <w:rPr>
          <w:bCs/>
          <w:kern w:val="36"/>
          <w:lang w:val="en-US" w:eastAsia="de-DE"/>
        </w:rPr>
      </w:pPr>
      <w:r>
        <w:rPr>
          <w:bCs/>
          <w:noProof/>
          <w:kern w:val="36"/>
          <w:lang w:eastAsia="de-DE"/>
          <w14:ligatures w14:val="standardContextual"/>
        </w:rPr>
        <w:lastRenderedPageBreak/>
        <w:drawing>
          <wp:inline distT="0" distB="0" distL="0" distR="0" wp14:anchorId="164E7E79" wp14:editId="36225A58">
            <wp:extent cx="6273800" cy="4182533"/>
            <wp:effectExtent l="0" t="0" r="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511" cy="418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B3204" w14:textId="0D207F13" w:rsidR="00252807" w:rsidRPr="00F64D4A" w:rsidRDefault="006B6770" w:rsidP="00F64D4A">
      <w:pPr>
        <w:jc w:val="both"/>
        <w:rPr>
          <w:bCs/>
          <w:kern w:val="36"/>
          <w:lang w:val="en-US" w:eastAsia="de-DE"/>
        </w:rPr>
      </w:pPr>
      <w:r w:rsidRPr="006B6770">
        <w:rPr>
          <w:b/>
          <w:kern w:val="36"/>
          <w:lang w:val="en-US" w:eastAsia="de-DE"/>
        </w:rPr>
        <w:t xml:space="preserve">Figure </w:t>
      </w:r>
      <w:r w:rsidR="00F54354">
        <w:rPr>
          <w:b/>
          <w:kern w:val="36"/>
          <w:lang w:val="en-US" w:eastAsia="de-DE"/>
        </w:rPr>
        <w:t>S</w:t>
      </w:r>
      <w:r>
        <w:rPr>
          <w:b/>
          <w:kern w:val="36"/>
          <w:lang w:val="en-US" w:eastAsia="de-DE"/>
        </w:rPr>
        <w:t>1</w:t>
      </w:r>
      <w:r w:rsidRPr="006B6770">
        <w:rPr>
          <w:b/>
          <w:kern w:val="36"/>
          <w:lang w:val="en-US" w:eastAsia="de-DE"/>
        </w:rPr>
        <w:t xml:space="preserve">: </w:t>
      </w:r>
      <w:r w:rsidR="00AE62F1">
        <w:rPr>
          <w:b/>
          <w:kern w:val="36"/>
          <w:lang w:val="en-US" w:eastAsia="de-DE"/>
        </w:rPr>
        <w:t xml:space="preserve"> </w:t>
      </w:r>
      <w:r w:rsidR="00AE62F1" w:rsidRPr="00252807">
        <w:rPr>
          <w:bCs/>
          <w:kern w:val="36"/>
          <w:lang w:val="en-US" w:eastAsia="de-DE"/>
        </w:rPr>
        <w:t>For each year from 2013 – 2022 the percentage of</w:t>
      </w:r>
      <w:r w:rsidR="00AE62F1">
        <w:rPr>
          <w:b/>
          <w:kern w:val="36"/>
          <w:lang w:val="en-US" w:eastAsia="de-DE"/>
        </w:rPr>
        <w:t xml:space="preserve"> </w:t>
      </w:r>
      <w:r w:rsidR="00AE62F1">
        <w:rPr>
          <w:bCs/>
          <w:kern w:val="36"/>
          <w:lang w:val="en-US" w:eastAsia="de-DE"/>
        </w:rPr>
        <w:t xml:space="preserve">F12 subdivision diagnoses </w:t>
      </w:r>
      <w:r w:rsidR="00252807">
        <w:rPr>
          <w:bCs/>
          <w:kern w:val="36"/>
          <w:lang w:val="en-US" w:eastAsia="de-DE"/>
        </w:rPr>
        <w:t xml:space="preserve">is displayed for the subdivisions </w:t>
      </w:r>
      <w:r w:rsidR="00AE62F1" w:rsidRPr="00217ABB">
        <w:rPr>
          <w:bCs/>
          <w:kern w:val="36"/>
          <w:lang w:val="en-US" w:eastAsia="de-DE"/>
        </w:rPr>
        <w:t>F12.0 (Acute intoxication), F12.1 (Harmful use), F12.2 (Dependence syndrome), F12.3 (Withdrawal state), F12.5 (Psychotic disorder), F12.7 (Residual and late-onset psychotic disorder), F12.8 (Other disorders), and F12.9 (Unspecified disorder).</w:t>
      </w:r>
      <w:r w:rsidR="00252807">
        <w:rPr>
          <w:bCs/>
          <w:kern w:val="36"/>
          <w:lang w:val="en-US" w:eastAsia="de-DE"/>
        </w:rPr>
        <w:t xml:space="preserve"> Note that the number of diagnoses of </w:t>
      </w:r>
      <w:r w:rsidR="00252807" w:rsidRPr="00217ABB">
        <w:rPr>
          <w:bCs/>
          <w:kern w:val="36"/>
          <w:lang w:val="en-US" w:eastAsia="de-DE"/>
        </w:rPr>
        <w:t>F12.4 (Withdrawal state with delirium</w:t>
      </w:r>
      <w:r w:rsidR="00252807">
        <w:rPr>
          <w:bCs/>
          <w:kern w:val="36"/>
          <w:lang w:val="en-US" w:eastAsia="de-DE"/>
        </w:rPr>
        <w:t xml:space="preserve">) and </w:t>
      </w:r>
      <w:r w:rsidR="00252807" w:rsidRPr="00217ABB">
        <w:rPr>
          <w:bCs/>
          <w:kern w:val="36"/>
          <w:lang w:val="en-US" w:eastAsia="de-DE"/>
        </w:rPr>
        <w:t>F12.6 (Amnesic syndrome)</w:t>
      </w:r>
      <w:r w:rsidR="00252807">
        <w:rPr>
          <w:bCs/>
          <w:kern w:val="36"/>
          <w:lang w:val="en-US" w:eastAsia="de-DE"/>
        </w:rPr>
        <w:t xml:space="preserve"> were too small to report</w:t>
      </w:r>
      <w:r w:rsidR="00252807" w:rsidRPr="00952161">
        <w:rPr>
          <w:lang w:val="en-GB"/>
        </w:rPr>
        <w:t xml:space="preserve"> </w:t>
      </w:r>
      <w:r w:rsidR="00252807" w:rsidRPr="00E67CCF">
        <w:rPr>
          <w:bCs/>
          <w:kern w:val="36"/>
          <w:lang w:val="en-US" w:eastAsia="de-DE"/>
        </w:rPr>
        <w:t>for data protection reasons</w:t>
      </w:r>
      <w:r w:rsidR="00252807">
        <w:rPr>
          <w:bCs/>
          <w:kern w:val="36"/>
          <w:lang w:val="en-US" w:eastAsia="de-DE"/>
        </w:rPr>
        <w:t xml:space="preserve">. The underlying data for this </w:t>
      </w:r>
      <w:r w:rsidR="009C1D75">
        <w:rPr>
          <w:bCs/>
          <w:kern w:val="36"/>
          <w:lang w:val="en-US" w:eastAsia="de-DE"/>
        </w:rPr>
        <w:t>f</w:t>
      </w:r>
      <w:r w:rsidR="00252807">
        <w:rPr>
          <w:bCs/>
          <w:kern w:val="36"/>
          <w:lang w:val="en-US" w:eastAsia="de-DE"/>
        </w:rPr>
        <w:t>igure includes all F12 diagnoses per year and is not directly related to the number of patients with each diagnosis, as e.g. a patient might be diagnosed with the same ICD-10 code in more than one quartal.</w:t>
      </w:r>
      <w:r w:rsidR="00F64D4A">
        <w:rPr>
          <w:bCs/>
          <w:kern w:val="36"/>
          <w:lang w:val="en-US" w:eastAsia="de-DE"/>
        </w:rPr>
        <w:t xml:space="preserve"> The far most common diagnosed subdivision is </w:t>
      </w:r>
      <w:r w:rsidR="00F64D4A" w:rsidRPr="00217ABB">
        <w:rPr>
          <w:bCs/>
          <w:kern w:val="36"/>
          <w:lang w:val="en-US" w:eastAsia="de-DE"/>
        </w:rPr>
        <w:t>F12.1</w:t>
      </w:r>
      <w:r w:rsidR="00F64D4A">
        <w:rPr>
          <w:bCs/>
          <w:kern w:val="36"/>
          <w:lang w:val="en-US" w:eastAsia="de-DE"/>
        </w:rPr>
        <w:t xml:space="preserve"> (</w:t>
      </w:r>
      <w:r w:rsidR="00F64D4A" w:rsidRPr="00217ABB">
        <w:rPr>
          <w:bCs/>
          <w:kern w:val="36"/>
          <w:lang w:val="en-US" w:eastAsia="de-DE"/>
        </w:rPr>
        <w:t>Harmful use</w:t>
      </w:r>
      <w:r w:rsidR="00F64D4A">
        <w:rPr>
          <w:bCs/>
          <w:kern w:val="36"/>
          <w:lang w:val="en-US" w:eastAsia="de-DE"/>
        </w:rPr>
        <w:t xml:space="preserve">) with percentages ranging from 68.6 % in 2023 to 73.8 % in 2018. The second most common diagnosis in each of the years was </w:t>
      </w:r>
      <w:r w:rsidR="00F64D4A" w:rsidRPr="00217ABB">
        <w:rPr>
          <w:bCs/>
          <w:kern w:val="36"/>
          <w:lang w:val="en-US" w:eastAsia="de-DE"/>
        </w:rPr>
        <w:t>F12.2 (Dependence syndrome)</w:t>
      </w:r>
      <w:r w:rsidR="00F64D4A">
        <w:rPr>
          <w:bCs/>
          <w:kern w:val="36"/>
          <w:lang w:val="en-US" w:eastAsia="de-DE"/>
        </w:rPr>
        <w:t xml:space="preserve">, ranging from 18.7% in 2018 to 23.2 % in 2013. </w:t>
      </w:r>
    </w:p>
    <w:p w14:paraId="6B38903E" w14:textId="097AA7CA" w:rsidR="006B6770" w:rsidRDefault="006B6770">
      <w:pPr>
        <w:rPr>
          <w:bCs/>
          <w:kern w:val="36"/>
          <w:lang w:val="en-GB" w:eastAsia="de-DE"/>
        </w:rPr>
      </w:pPr>
    </w:p>
    <w:p w14:paraId="460A8388" w14:textId="77777777" w:rsidR="00B86566" w:rsidRDefault="00B86566">
      <w:pPr>
        <w:rPr>
          <w:bCs/>
          <w:kern w:val="36"/>
          <w:lang w:val="en-GB" w:eastAsia="de-DE"/>
        </w:rPr>
      </w:pPr>
    </w:p>
    <w:p w14:paraId="62C8ADB8" w14:textId="48A4BD01" w:rsidR="00B86566" w:rsidRDefault="00B86566">
      <w:pPr>
        <w:rPr>
          <w:bCs/>
          <w:kern w:val="36"/>
          <w:lang w:val="en-GB" w:eastAsia="de-DE"/>
        </w:rPr>
      </w:pPr>
      <w:r>
        <w:rPr>
          <w:bCs/>
          <w:noProof/>
          <w:kern w:val="36"/>
          <w:lang w:val="en-GB" w:eastAsia="de-DE"/>
          <w14:ligatures w14:val="standardContextual"/>
        </w:rPr>
        <w:lastRenderedPageBreak/>
        <w:drawing>
          <wp:inline distT="0" distB="0" distL="0" distR="0" wp14:anchorId="72F3BACF" wp14:editId="7C930EFF">
            <wp:extent cx="6140811" cy="4776186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787" cy="478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5855C" w14:textId="4E62304B" w:rsidR="00B86566" w:rsidRPr="00B86566" w:rsidRDefault="00B86566" w:rsidP="00555B2A">
      <w:pPr>
        <w:jc w:val="both"/>
        <w:rPr>
          <w:bCs/>
          <w:kern w:val="36"/>
          <w:lang w:val="en-US" w:eastAsia="de-DE"/>
        </w:rPr>
      </w:pPr>
      <w:r w:rsidRPr="006B6770">
        <w:rPr>
          <w:b/>
          <w:kern w:val="36"/>
          <w:lang w:val="en-US" w:eastAsia="de-DE"/>
        </w:rPr>
        <w:t xml:space="preserve">Figure </w:t>
      </w:r>
      <w:r w:rsidR="00F54354">
        <w:rPr>
          <w:b/>
          <w:kern w:val="36"/>
          <w:lang w:val="en-US" w:eastAsia="de-DE"/>
        </w:rPr>
        <w:t>S</w:t>
      </w:r>
      <w:r>
        <w:rPr>
          <w:b/>
          <w:kern w:val="36"/>
          <w:lang w:val="en-US" w:eastAsia="de-DE"/>
        </w:rPr>
        <w:t>2</w:t>
      </w:r>
      <w:r w:rsidRPr="006B6770">
        <w:rPr>
          <w:b/>
          <w:kern w:val="36"/>
          <w:lang w:val="en-US" w:eastAsia="de-DE"/>
        </w:rPr>
        <w:t xml:space="preserve">: </w:t>
      </w:r>
      <w:r>
        <w:rPr>
          <w:b/>
          <w:kern w:val="36"/>
          <w:lang w:val="en-US" w:eastAsia="de-DE"/>
        </w:rPr>
        <w:t xml:space="preserve"> </w:t>
      </w:r>
      <w:r w:rsidRPr="00B86566">
        <w:rPr>
          <w:bCs/>
          <w:kern w:val="36"/>
          <w:lang w:val="en-US" w:eastAsia="de-DE"/>
        </w:rPr>
        <w:t>The percentage of adolescents with either no co-occurring CAPD, one co-occurring CAPD, two co-occurring CAPD or three or more co-occurring CAPD</w:t>
      </w:r>
      <w:r>
        <w:rPr>
          <w:bCs/>
          <w:kern w:val="36"/>
          <w:lang w:val="en-US" w:eastAsia="de-DE"/>
        </w:rPr>
        <w:t xml:space="preserve"> in the group of adolescents with </w:t>
      </w:r>
      <w:r w:rsidR="00733619">
        <w:rPr>
          <w:bCs/>
          <w:kern w:val="36"/>
          <w:lang w:val="en-US" w:eastAsia="de-DE"/>
        </w:rPr>
        <w:t>c</w:t>
      </w:r>
      <w:r>
        <w:rPr>
          <w:bCs/>
          <w:kern w:val="36"/>
          <w:lang w:val="en-US" w:eastAsia="de-DE"/>
        </w:rPr>
        <w:t xml:space="preserve">annabis-related disorders (n = 3,701) </w:t>
      </w:r>
      <w:r w:rsidR="00733619">
        <w:rPr>
          <w:bCs/>
          <w:kern w:val="36"/>
          <w:lang w:val="en-US" w:eastAsia="de-DE"/>
        </w:rPr>
        <w:t>and the 1:10 age and sex-matched control group (n = 37,010) in the year 2022</w:t>
      </w:r>
      <w:r w:rsidRPr="00B86566">
        <w:rPr>
          <w:bCs/>
          <w:kern w:val="36"/>
          <w:lang w:val="en-US" w:eastAsia="de-DE"/>
        </w:rPr>
        <w:t>.</w:t>
      </w:r>
      <w:r w:rsidR="00733619">
        <w:rPr>
          <w:bCs/>
          <w:kern w:val="36"/>
          <w:lang w:val="en-US" w:eastAsia="de-DE"/>
        </w:rPr>
        <w:t xml:space="preserve"> Within the group of adolescents with cannabis-related disorders most patients had </w:t>
      </w:r>
      <w:r w:rsidR="00733619" w:rsidRPr="00B86566">
        <w:rPr>
          <w:bCs/>
          <w:kern w:val="36"/>
          <w:lang w:val="en-US" w:eastAsia="de-DE"/>
        </w:rPr>
        <w:t>three or more co-occurring CAPD</w:t>
      </w:r>
      <w:r w:rsidR="00733619">
        <w:rPr>
          <w:bCs/>
          <w:kern w:val="36"/>
          <w:lang w:val="en-US" w:eastAsia="de-DE"/>
        </w:rPr>
        <w:t xml:space="preserve"> (32.2%), with the rest of the adolescents in this group evenly d</w:t>
      </w:r>
      <w:r w:rsidR="00555B2A">
        <w:rPr>
          <w:bCs/>
          <w:kern w:val="36"/>
          <w:lang w:val="en-US" w:eastAsia="de-DE"/>
        </w:rPr>
        <w:t xml:space="preserve">istributed amongst the counts </w:t>
      </w:r>
      <w:r w:rsidR="00733619">
        <w:rPr>
          <w:bCs/>
          <w:kern w:val="36"/>
          <w:lang w:val="en-US" w:eastAsia="de-DE"/>
        </w:rPr>
        <w:t>for no</w:t>
      </w:r>
      <w:r w:rsidR="00555B2A">
        <w:rPr>
          <w:bCs/>
          <w:kern w:val="36"/>
          <w:lang w:val="en-US" w:eastAsia="de-DE"/>
        </w:rPr>
        <w:t xml:space="preserve"> (21.7%)</w:t>
      </w:r>
      <w:r w:rsidR="00733619">
        <w:rPr>
          <w:bCs/>
          <w:kern w:val="36"/>
          <w:lang w:val="en-US" w:eastAsia="de-DE"/>
        </w:rPr>
        <w:t>, one</w:t>
      </w:r>
      <w:r w:rsidR="00555B2A">
        <w:rPr>
          <w:bCs/>
          <w:kern w:val="36"/>
          <w:lang w:val="en-US" w:eastAsia="de-DE"/>
        </w:rPr>
        <w:t xml:space="preserve"> (23.6%) or </w:t>
      </w:r>
      <w:r w:rsidR="00733619">
        <w:rPr>
          <w:bCs/>
          <w:kern w:val="36"/>
          <w:lang w:val="en-US" w:eastAsia="de-DE"/>
        </w:rPr>
        <w:t>two</w:t>
      </w:r>
      <w:r w:rsidR="00555B2A">
        <w:rPr>
          <w:bCs/>
          <w:kern w:val="36"/>
          <w:lang w:val="en-US" w:eastAsia="de-DE"/>
        </w:rPr>
        <w:t xml:space="preserve"> (22.5%) </w:t>
      </w:r>
      <w:r w:rsidR="00733619" w:rsidRPr="00B86566">
        <w:rPr>
          <w:bCs/>
          <w:kern w:val="36"/>
          <w:lang w:val="en-US" w:eastAsia="de-DE"/>
        </w:rPr>
        <w:t>co-occurring CAPD</w:t>
      </w:r>
      <w:r w:rsidR="00733619">
        <w:rPr>
          <w:bCs/>
          <w:kern w:val="36"/>
          <w:lang w:val="en-US" w:eastAsia="de-DE"/>
        </w:rPr>
        <w:t>.</w:t>
      </w:r>
      <w:r w:rsidR="00555B2A">
        <w:rPr>
          <w:bCs/>
          <w:kern w:val="36"/>
          <w:lang w:val="en-US" w:eastAsia="de-DE"/>
        </w:rPr>
        <w:t xml:space="preserve"> Within the age and sex-matched control group, by far the most adolescents had no </w:t>
      </w:r>
      <w:r w:rsidR="00555B2A" w:rsidRPr="00B86566">
        <w:rPr>
          <w:bCs/>
          <w:kern w:val="36"/>
          <w:lang w:val="en-US" w:eastAsia="de-DE"/>
        </w:rPr>
        <w:t>CAPD</w:t>
      </w:r>
      <w:r w:rsidR="00555B2A">
        <w:rPr>
          <w:bCs/>
          <w:kern w:val="36"/>
          <w:lang w:val="en-US" w:eastAsia="de-DE"/>
        </w:rPr>
        <w:t xml:space="preserve"> (80.9%), followed by 10.6% with one </w:t>
      </w:r>
      <w:r w:rsidR="00555B2A" w:rsidRPr="00B86566">
        <w:rPr>
          <w:bCs/>
          <w:kern w:val="36"/>
          <w:lang w:val="en-US" w:eastAsia="de-DE"/>
        </w:rPr>
        <w:t>CAPD</w:t>
      </w:r>
      <w:r w:rsidR="00555B2A">
        <w:rPr>
          <w:bCs/>
          <w:kern w:val="36"/>
          <w:lang w:val="en-US" w:eastAsia="de-DE"/>
        </w:rPr>
        <w:t xml:space="preserve">, 5.2% with two </w:t>
      </w:r>
      <w:r w:rsidR="00555B2A" w:rsidRPr="00B86566">
        <w:rPr>
          <w:bCs/>
          <w:kern w:val="36"/>
          <w:lang w:val="en-US" w:eastAsia="de-DE"/>
        </w:rPr>
        <w:t>co-occurring CAPD</w:t>
      </w:r>
      <w:r w:rsidR="00555B2A">
        <w:rPr>
          <w:bCs/>
          <w:kern w:val="36"/>
          <w:lang w:val="en-US" w:eastAsia="de-DE"/>
        </w:rPr>
        <w:t xml:space="preserve"> and only 3.3% with three or more </w:t>
      </w:r>
      <w:r w:rsidR="00555B2A" w:rsidRPr="00B86566">
        <w:rPr>
          <w:bCs/>
          <w:kern w:val="36"/>
          <w:lang w:val="en-US" w:eastAsia="de-DE"/>
        </w:rPr>
        <w:t>co-occurring CAPD</w:t>
      </w:r>
      <w:r w:rsidR="00555B2A">
        <w:rPr>
          <w:bCs/>
          <w:kern w:val="36"/>
          <w:lang w:val="en-US" w:eastAsia="de-DE"/>
        </w:rPr>
        <w:t>.</w:t>
      </w:r>
    </w:p>
    <w:p w14:paraId="3C6A317E" w14:textId="77777777" w:rsidR="00B86566" w:rsidRDefault="00B86566">
      <w:pPr>
        <w:rPr>
          <w:b/>
          <w:kern w:val="36"/>
          <w:lang w:val="en-US" w:eastAsia="de-DE"/>
        </w:rPr>
      </w:pPr>
    </w:p>
    <w:p w14:paraId="1081DAA2" w14:textId="77777777" w:rsidR="00B86566" w:rsidRDefault="00B86566">
      <w:pPr>
        <w:rPr>
          <w:b/>
          <w:kern w:val="36"/>
          <w:lang w:val="en-US" w:eastAsia="de-DE"/>
        </w:rPr>
      </w:pPr>
    </w:p>
    <w:p w14:paraId="6E314832" w14:textId="77777777" w:rsidR="00B86566" w:rsidRPr="00252807" w:rsidRDefault="00B86566">
      <w:pPr>
        <w:rPr>
          <w:bCs/>
          <w:kern w:val="36"/>
          <w:lang w:val="en-GB" w:eastAsia="de-DE"/>
        </w:rPr>
      </w:pPr>
    </w:p>
    <w:p w14:paraId="368A286E" w14:textId="0038670A" w:rsidR="0023200B" w:rsidRDefault="006B6770">
      <w:pPr>
        <w:rPr>
          <w:bCs/>
          <w:kern w:val="36"/>
          <w:lang w:val="en-US" w:eastAsia="de-DE"/>
        </w:rPr>
      </w:pPr>
      <w:r>
        <w:rPr>
          <w:bCs/>
          <w:noProof/>
          <w:kern w:val="36"/>
          <w:lang w:eastAsia="de-DE"/>
          <w14:ligatures w14:val="standardContextual"/>
        </w:rPr>
        <w:lastRenderedPageBreak/>
        <w:drawing>
          <wp:inline distT="0" distB="0" distL="0" distR="0" wp14:anchorId="0ED59C50" wp14:editId="6A1B5896">
            <wp:extent cx="6178550" cy="360415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326" cy="360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DE05D" w14:textId="60FE2EED" w:rsidR="00935441" w:rsidRPr="00064F48" w:rsidRDefault="006B6770" w:rsidP="00064F48">
      <w:pPr>
        <w:jc w:val="both"/>
        <w:rPr>
          <w:b/>
          <w:kern w:val="36"/>
          <w:lang w:val="en-US" w:eastAsia="de-DE"/>
        </w:rPr>
      </w:pPr>
      <w:r w:rsidRPr="006B6770">
        <w:rPr>
          <w:b/>
          <w:kern w:val="36"/>
          <w:lang w:val="en-US" w:eastAsia="de-DE"/>
        </w:rPr>
        <w:t xml:space="preserve">Figure </w:t>
      </w:r>
      <w:r w:rsidR="00F54354">
        <w:rPr>
          <w:b/>
          <w:kern w:val="36"/>
          <w:lang w:val="en-US" w:eastAsia="de-DE"/>
        </w:rPr>
        <w:t>S</w:t>
      </w:r>
      <w:r w:rsidR="00B86566">
        <w:rPr>
          <w:b/>
          <w:kern w:val="36"/>
          <w:lang w:val="en-US" w:eastAsia="de-DE"/>
        </w:rPr>
        <w:t>3</w:t>
      </w:r>
      <w:r w:rsidRPr="006B6770">
        <w:rPr>
          <w:b/>
          <w:kern w:val="36"/>
          <w:lang w:val="en-US" w:eastAsia="de-DE"/>
        </w:rPr>
        <w:t xml:space="preserve">: </w:t>
      </w:r>
      <w:r w:rsidR="00F64D4A">
        <w:rPr>
          <w:bCs/>
          <w:kern w:val="36"/>
          <w:lang w:val="en-US" w:eastAsia="de-DE"/>
        </w:rPr>
        <w:t xml:space="preserve">Diagnostic prevalence of other </w:t>
      </w:r>
      <w:bookmarkStart w:id="2" w:name="_Hlk209615351"/>
      <w:r w:rsidR="00F64D4A">
        <w:rPr>
          <w:bCs/>
          <w:kern w:val="36"/>
          <w:lang w:val="en-US" w:eastAsia="de-DE"/>
        </w:rPr>
        <w:t>c</w:t>
      </w:r>
      <w:r w:rsidR="00F64D4A" w:rsidRPr="003E5778">
        <w:rPr>
          <w:bCs/>
          <w:kern w:val="36"/>
          <w:lang w:val="en-US" w:eastAsia="de-DE"/>
        </w:rPr>
        <w:t xml:space="preserve">o-occurring </w:t>
      </w:r>
      <w:r w:rsidR="00F64D4A">
        <w:rPr>
          <w:bCs/>
          <w:kern w:val="36"/>
          <w:lang w:val="en-US" w:eastAsia="de-DE"/>
        </w:rPr>
        <w:t>substance related disorders</w:t>
      </w:r>
      <w:bookmarkEnd w:id="2"/>
      <w:r w:rsidR="00064F48">
        <w:rPr>
          <w:b/>
          <w:kern w:val="36"/>
          <w:lang w:val="en-US" w:eastAsia="de-DE"/>
        </w:rPr>
        <w:t xml:space="preserve"> </w:t>
      </w:r>
      <w:r w:rsidR="00064F48" w:rsidRPr="00064F48">
        <w:rPr>
          <w:bCs/>
          <w:kern w:val="36"/>
          <w:lang w:val="en-US" w:eastAsia="de-DE"/>
        </w:rPr>
        <w:t>within</w:t>
      </w:r>
      <w:r w:rsidR="00AE62F1" w:rsidRPr="00064F48">
        <w:rPr>
          <w:bCs/>
          <w:kern w:val="36"/>
          <w:lang w:val="en-US" w:eastAsia="de-DE"/>
        </w:rPr>
        <w:t xml:space="preserve"> t</w:t>
      </w:r>
      <w:r w:rsidR="00AE62F1">
        <w:rPr>
          <w:bCs/>
          <w:kern w:val="36"/>
          <w:lang w:val="en-US" w:eastAsia="de-DE"/>
        </w:rPr>
        <w:t>he group of a</w:t>
      </w:r>
      <w:r w:rsidR="00AE62F1" w:rsidRPr="002516CC">
        <w:rPr>
          <w:bCs/>
          <w:kern w:val="36"/>
          <w:lang w:val="en-US" w:eastAsia="de-DE"/>
        </w:rPr>
        <w:t xml:space="preserve">dolescents with </w:t>
      </w:r>
      <w:r w:rsidR="00AE62F1">
        <w:rPr>
          <w:bCs/>
          <w:kern w:val="36"/>
          <w:lang w:val="en-US" w:eastAsia="de-DE"/>
        </w:rPr>
        <w:t>c</w:t>
      </w:r>
      <w:r w:rsidR="00AE62F1" w:rsidRPr="002516CC">
        <w:rPr>
          <w:bCs/>
          <w:kern w:val="36"/>
          <w:lang w:val="en-US" w:eastAsia="de-DE"/>
        </w:rPr>
        <w:t>annabis-</w:t>
      </w:r>
      <w:r w:rsidR="00AE62F1">
        <w:rPr>
          <w:bCs/>
          <w:kern w:val="36"/>
          <w:lang w:val="en-US" w:eastAsia="de-DE"/>
        </w:rPr>
        <w:t>r</w:t>
      </w:r>
      <w:r w:rsidR="00AE62F1" w:rsidRPr="002516CC">
        <w:rPr>
          <w:bCs/>
          <w:kern w:val="36"/>
          <w:lang w:val="en-US" w:eastAsia="de-DE"/>
        </w:rPr>
        <w:t xml:space="preserve">elated </w:t>
      </w:r>
      <w:r w:rsidR="00AE62F1">
        <w:rPr>
          <w:bCs/>
          <w:kern w:val="36"/>
          <w:lang w:val="en-US" w:eastAsia="de-DE"/>
        </w:rPr>
        <w:t>d</w:t>
      </w:r>
      <w:r w:rsidR="00AE62F1" w:rsidRPr="002516CC">
        <w:rPr>
          <w:bCs/>
          <w:kern w:val="36"/>
          <w:lang w:val="en-US" w:eastAsia="de-DE"/>
        </w:rPr>
        <w:t xml:space="preserve">isorders </w:t>
      </w:r>
      <w:r w:rsidR="00AE62F1">
        <w:rPr>
          <w:bCs/>
          <w:kern w:val="36"/>
          <w:lang w:val="en-US" w:eastAsia="de-DE"/>
        </w:rPr>
        <w:t>in the year 2022</w:t>
      </w:r>
      <w:r w:rsidR="00AE62F1" w:rsidRPr="002516CC">
        <w:rPr>
          <w:bCs/>
          <w:kern w:val="36"/>
          <w:lang w:val="en-US" w:eastAsia="de-DE"/>
        </w:rPr>
        <w:t xml:space="preserve"> (n = 3701)</w:t>
      </w:r>
      <w:r w:rsidR="00064F48">
        <w:rPr>
          <w:bCs/>
          <w:kern w:val="36"/>
          <w:lang w:val="en-US" w:eastAsia="de-DE"/>
        </w:rPr>
        <w:t xml:space="preserve">. Data is shown for the ICD-10 codes for </w:t>
      </w:r>
      <w:r w:rsidR="00AE62F1">
        <w:rPr>
          <w:bCs/>
          <w:kern w:val="36"/>
          <w:lang w:val="en-US" w:eastAsia="de-DE"/>
        </w:rPr>
        <w:t>alcohol (F10), o</w:t>
      </w:r>
      <w:r w:rsidR="00AE62F1" w:rsidRPr="003E5778">
        <w:rPr>
          <w:bCs/>
          <w:kern w:val="36"/>
          <w:lang w:val="en-US" w:eastAsia="de-DE"/>
        </w:rPr>
        <w:t>pioids</w:t>
      </w:r>
      <w:r w:rsidR="00AE62F1">
        <w:rPr>
          <w:bCs/>
          <w:kern w:val="36"/>
          <w:lang w:val="en-US" w:eastAsia="de-DE"/>
        </w:rPr>
        <w:t xml:space="preserve"> (F11), s</w:t>
      </w:r>
      <w:r w:rsidR="00AE62F1" w:rsidRPr="003E5778">
        <w:rPr>
          <w:bCs/>
          <w:kern w:val="36"/>
          <w:lang w:val="en-US" w:eastAsia="de-DE"/>
        </w:rPr>
        <w:t>edatives or hypnotics</w:t>
      </w:r>
      <w:r w:rsidR="00AE62F1">
        <w:rPr>
          <w:bCs/>
          <w:kern w:val="36"/>
          <w:lang w:val="en-US" w:eastAsia="de-DE"/>
        </w:rPr>
        <w:t xml:space="preserve"> (F13), cocaine (F14), o</w:t>
      </w:r>
      <w:r w:rsidR="00AE62F1" w:rsidRPr="003E5778">
        <w:rPr>
          <w:bCs/>
          <w:kern w:val="36"/>
          <w:lang w:val="en-US" w:eastAsia="de-DE"/>
        </w:rPr>
        <w:t>ther stimulants including caffeine</w:t>
      </w:r>
      <w:r w:rsidR="00AE62F1">
        <w:rPr>
          <w:bCs/>
          <w:kern w:val="36"/>
          <w:lang w:val="en-US" w:eastAsia="de-DE"/>
        </w:rPr>
        <w:t xml:space="preserve"> (F15), tobacco (F17), and m</w:t>
      </w:r>
      <w:r w:rsidR="00AE62F1" w:rsidRPr="003E5778">
        <w:rPr>
          <w:bCs/>
          <w:kern w:val="36"/>
          <w:lang w:val="en-US" w:eastAsia="de-DE"/>
        </w:rPr>
        <w:t>ultiple drug use and use of other psychoactive substances</w:t>
      </w:r>
      <w:r w:rsidR="00AE62F1">
        <w:rPr>
          <w:bCs/>
          <w:kern w:val="36"/>
          <w:lang w:val="en-US" w:eastAsia="de-DE"/>
        </w:rPr>
        <w:t xml:space="preserve"> (F19).</w:t>
      </w:r>
      <w:r w:rsidR="00064F48">
        <w:rPr>
          <w:b/>
          <w:kern w:val="36"/>
          <w:lang w:val="en-US" w:eastAsia="de-DE"/>
        </w:rPr>
        <w:t xml:space="preserve"> </w:t>
      </w:r>
      <w:r w:rsidR="00252B75">
        <w:rPr>
          <w:bCs/>
          <w:kern w:val="36"/>
          <w:lang w:val="en-US" w:eastAsia="de-DE"/>
        </w:rPr>
        <w:t>Note that the number of people with c</w:t>
      </w:r>
      <w:r w:rsidR="00252B75" w:rsidRPr="003E5778">
        <w:rPr>
          <w:bCs/>
          <w:kern w:val="36"/>
          <w:lang w:val="en-US" w:eastAsia="de-DE"/>
        </w:rPr>
        <w:t>o-occurring</w:t>
      </w:r>
      <w:r w:rsidR="00252B75">
        <w:rPr>
          <w:bCs/>
          <w:kern w:val="36"/>
          <w:lang w:val="en-US" w:eastAsia="de-DE"/>
        </w:rPr>
        <w:t xml:space="preserve"> F16 </w:t>
      </w:r>
      <w:r w:rsidR="00064F48">
        <w:rPr>
          <w:bCs/>
          <w:kern w:val="36"/>
          <w:lang w:val="en-US" w:eastAsia="de-DE"/>
        </w:rPr>
        <w:t xml:space="preserve">(hallucinogens) </w:t>
      </w:r>
      <w:r w:rsidR="00252B75">
        <w:rPr>
          <w:bCs/>
          <w:kern w:val="36"/>
          <w:lang w:val="en-US" w:eastAsia="de-DE"/>
        </w:rPr>
        <w:t xml:space="preserve">and F18 </w:t>
      </w:r>
      <w:r w:rsidR="00064F48">
        <w:rPr>
          <w:bCs/>
          <w:kern w:val="36"/>
          <w:lang w:val="en-US" w:eastAsia="de-DE"/>
        </w:rPr>
        <w:t xml:space="preserve">(volatile solvents) </w:t>
      </w:r>
      <w:r w:rsidR="00252B75">
        <w:rPr>
          <w:bCs/>
          <w:kern w:val="36"/>
          <w:lang w:val="en-US" w:eastAsia="de-DE"/>
        </w:rPr>
        <w:t>diagnoses were too small to report</w:t>
      </w:r>
      <w:r w:rsidR="00252B75" w:rsidRPr="00952161">
        <w:rPr>
          <w:lang w:val="en-GB"/>
        </w:rPr>
        <w:t xml:space="preserve"> </w:t>
      </w:r>
      <w:r w:rsidR="00252B75" w:rsidRPr="00E67CCF">
        <w:rPr>
          <w:bCs/>
          <w:kern w:val="36"/>
          <w:lang w:val="en-US" w:eastAsia="de-DE"/>
        </w:rPr>
        <w:t>for data protection reasons</w:t>
      </w:r>
      <w:r w:rsidR="00252B75">
        <w:rPr>
          <w:bCs/>
          <w:kern w:val="36"/>
          <w:lang w:val="en-US" w:eastAsia="de-DE"/>
        </w:rPr>
        <w:t>.</w:t>
      </w:r>
    </w:p>
    <w:sectPr w:rsidR="00935441" w:rsidRPr="00064F4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FDB"/>
    <w:rsid w:val="00043FDB"/>
    <w:rsid w:val="00064F48"/>
    <w:rsid w:val="00140C3E"/>
    <w:rsid w:val="001A49DD"/>
    <w:rsid w:val="0023200B"/>
    <w:rsid w:val="00252807"/>
    <w:rsid w:val="00252B75"/>
    <w:rsid w:val="002A7BD6"/>
    <w:rsid w:val="002B317F"/>
    <w:rsid w:val="00494B63"/>
    <w:rsid w:val="00555B2A"/>
    <w:rsid w:val="006B6770"/>
    <w:rsid w:val="00733619"/>
    <w:rsid w:val="008E5A21"/>
    <w:rsid w:val="00935441"/>
    <w:rsid w:val="009C1D75"/>
    <w:rsid w:val="00A704A3"/>
    <w:rsid w:val="00AE62F1"/>
    <w:rsid w:val="00B86566"/>
    <w:rsid w:val="00BA1F59"/>
    <w:rsid w:val="00F54354"/>
    <w:rsid w:val="00F6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6CDE9"/>
  <w15:chartTrackingRefBased/>
  <w15:docId w15:val="{59403C6E-B807-47B0-93D3-2BA681F80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3200B"/>
    <w:pPr>
      <w:spacing w:line="259" w:lineRule="auto"/>
    </w:pPr>
    <w:rPr>
      <w:rFonts w:ascii="Calibri" w:eastAsia="Calibri" w:hAnsi="Calibri" w:cs="SimSun"/>
      <w:kern w:val="0"/>
      <w:sz w:val="22"/>
      <w:szCs w:val="22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43FD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43FD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43FD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43FD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43FD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43FDB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43FDB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43FDB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43FDB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43F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43F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43F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43FD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43FD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43FD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43FD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43FD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43FD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43F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043F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43FDB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43F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43FDB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043FD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43FDB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043FD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43F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43FD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43FD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rsid w:val="0023200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488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Carl von Ossietzky Universitaet Oldenburg</Company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rer. nat. Lisa Dandolo</dc:creator>
  <cp:keywords/>
  <dc:description/>
  <cp:lastModifiedBy>Dr. rer. nat. Lisa Dandolo</cp:lastModifiedBy>
  <cp:revision>2</cp:revision>
  <dcterms:created xsi:type="dcterms:W3CDTF">2025-11-26T09:26:00Z</dcterms:created>
  <dcterms:modified xsi:type="dcterms:W3CDTF">2025-11-26T09:26:00Z</dcterms:modified>
</cp:coreProperties>
</file>