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A153D" w14:textId="28C90B7C" w:rsidR="00950376" w:rsidRPr="00950376" w:rsidRDefault="00950376" w:rsidP="00950376">
      <w:pPr>
        <w:spacing w:line="480" w:lineRule="auto"/>
        <w:jc w:val="center"/>
        <w:outlineLvl w:val="0"/>
        <w:rPr>
          <w:rFonts w:ascii="Arial" w:hAnsi="Arial" w:cs="Arial"/>
          <w:b/>
          <w:bCs/>
          <w:sz w:val="28"/>
          <w:szCs w:val="28"/>
        </w:rPr>
      </w:pPr>
      <w:r w:rsidRPr="00950376">
        <w:rPr>
          <w:rFonts w:ascii="Arial" w:hAnsi="Arial" w:cs="Arial"/>
          <w:b/>
          <w:bCs/>
          <w:sz w:val="28"/>
          <w:szCs w:val="28"/>
        </w:rPr>
        <w:t>Supplemental Online Material:</w:t>
      </w:r>
    </w:p>
    <w:p w14:paraId="765C47CF" w14:textId="60065A11" w:rsidR="00391F32" w:rsidRDefault="00A609C6">
      <w:pPr>
        <w:rPr>
          <w:rFonts w:ascii="Arial" w:eastAsia="Arial" w:hAnsi="Arial" w:cs="Arial"/>
          <w:color w:val="FF0000"/>
          <w:sz w:val="20"/>
          <w:szCs w:val="20"/>
        </w:rPr>
      </w:pPr>
      <w:r>
        <w:rPr>
          <w:rFonts w:ascii="Arial" w:eastAsia="Arial" w:hAnsi="Arial" w:cs="Arial"/>
          <w:b/>
          <w:sz w:val="28"/>
          <w:szCs w:val="28"/>
        </w:rPr>
        <w:t xml:space="preserve">An </w:t>
      </w:r>
      <w:proofErr w:type="gramStart"/>
      <w:r>
        <w:rPr>
          <w:rFonts w:ascii="Arial" w:eastAsia="Arial" w:hAnsi="Arial" w:cs="Arial"/>
          <w:b/>
          <w:sz w:val="28"/>
          <w:szCs w:val="28"/>
        </w:rPr>
        <w:t>in silico</w:t>
      </w:r>
      <w:proofErr w:type="gramEnd"/>
      <w:r>
        <w:rPr>
          <w:rFonts w:ascii="Arial" w:eastAsia="Arial" w:hAnsi="Arial" w:cs="Arial"/>
          <w:b/>
          <w:sz w:val="28"/>
          <w:szCs w:val="28"/>
        </w:rPr>
        <w:t xml:space="preserve"> genome-wide screen for circadian clock strength in human samples</w:t>
      </w:r>
    </w:p>
    <w:p w14:paraId="4D3BCF76" w14:textId="66E688C9" w:rsidR="00391F32" w:rsidRDefault="00A609C6">
      <w:pPr>
        <w:rPr>
          <w:rFonts w:ascii="Arial" w:eastAsia="Arial" w:hAnsi="Arial" w:cs="Arial"/>
          <w:sz w:val="20"/>
          <w:szCs w:val="20"/>
          <w:vertAlign w:val="superscript"/>
        </w:rPr>
      </w:pPr>
      <w:r>
        <w:rPr>
          <w:rFonts w:ascii="Arial" w:eastAsia="Arial" w:hAnsi="Arial" w:cs="Arial"/>
          <w:sz w:val="20"/>
          <w:szCs w:val="20"/>
        </w:rPr>
        <w:t>Gang Wu</w:t>
      </w:r>
      <w:r>
        <w:rPr>
          <w:rFonts w:ascii="Arial" w:eastAsia="Arial" w:hAnsi="Arial" w:cs="Arial"/>
          <w:sz w:val="20"/>
          <w:szCs w:val="20"/>
          <w:vertAlign w:val="superscript"/>
        </w:rPr>
        <w:t>1</w:t>
      </w:r>
      <w:r>
        <w:rPr>
          <w:rFonts w:ascii="Arial" w:eastAsia="Arial" w:hAnsi="Arial" w:cs="Arial"/>
          <w:sz w:val="20"/>
          <w:szCs w:val="20"/>
        </w:rPr>
        <w:t>, Marc D. Ruben</w:t>
      </w:r>
      <w:r>
        <w:rPr>
          <w:rFonts w:ascii="Arial" w:eastAsia="Arial" w:hAnsi="Arial" w:cs="Arial"/>
          <w:sz w:val="20"/>
          <w:szCs w:val="20"/>
          <w:vertAlign w:val="superscript"/>
        </w:rPr>
        <w:t>1</w:t>
      </w:r>
      <w:r>
        <w:rPr>
          <w:rFonts w:ascii="Arial" w:eastAsia="Arial" w:hAnsi="Arial" w:cs="Arial"/>
          <w:sz w:val="20"/>
          <w:szCs w:val="20"/>
        </w:rPr>
        <w:t>, Lauren J. Francey</w:t>
      </w:r>
      <w:r>
        <w:rPr>
          <w:rFonts w:ascii="Arial" w:eastAsia="Arial" w:hAnsi="Arial" w:cs="Arial"/>
          <w:sz w:val="20"/>
          <w:szCs w:val="20"/>
          <w:vertAlign w:val="superscript"/>
        </w:rPr>
        <w:t>1</w:t>
      </w:r>
      <w:r>
        <w:rPr>
          <w:rFonts w:ascii="Arial" w:eastAsia="Arial" w:hAnsi="Arial" w:cs="Arial"/>
          <w:sz w:val="20"/>
          <w:szCs w:val="20"/>
        </w:rPr>
        <w:t xml:space="preserve">, Yin </w:t>
      </w:r>
      <w:proofErr w:type="spellStart"/>
      <w:r>
        <w:rPr>
          <w:rFonts w:ascii="Arial" w:eastAsia="Arial" w:hAnsi="Arial" w:cs="Arial"/>
          <w:sz w:val="20"/>
          <w:szCs w:val="20"/>
        </w:rPr>
        <w:t>Yeng</w:t>
      </w:r>
      <w:proofErr w:type="spellEnd"/>
      <w:r>
        <w:rPr>
          <w:rFonts w:ascii="Arial" w:eastAsia="Arial" w:hAnsi="Arial" w:cs="Arial"/>
          <w:sz w:val="20"/>
          <w:szCs w:val="20"/>
        </w:rPr>
        <w:t xml:space="preserve"> Lee</w:t>
      </w:r>
      <w:r>
        <w:rPr>
          <w:rFonts w:ascii="Arial" w:eastAsia="Arial" w:hAnsi="Arial" w:cs="Arial"/>
          <w:sz w:val="20"/>
          <w:szCs w:val="20"/>
          <w:vertAlign w:val="superscript"/>
        </w:rPr>
        <w:t>1</w:t>
      </w:r>
      <w:r>
        <w:rPr>
          <w:rFonts w:ascii="Arial" w:eastAsia="Arial" w:hAnsi="Arial" w:cs="Arial"/>
          <w:sz w:val="20"/>
          <w:szCs w:val="20"/>
        </w:rPr>
        <w:t>, Ron C. Anafi</w:t>
      </w:r>
      <w:r>
        <w:rPr>
          <w:rFonts w:ascii="Arial" w:eastAsia="Arial" w:hAnsi="Arial" w:cs="Arial"/>
          <w:sz w:val="20"/>
          <w:szCs w:val="20"/>
          <w:vertAlign w:val="superscript"/>
        </w:rPr>
        <w:t>2</w:t>
      </w:r>
      <w:r>
        <w:rPr>
          <w:rFonts w:ascii="Arial" w:eastAsia="Arial" w:hAnsi="Arial" w:cs="Arial"/>
          <w:sz w:val="20"/>
          <w:szCs w:val="20"/>
        </w:rPr>
        <w:t>, John B. Hogenesch</w:t>
      </w:r>
      <w:r>
        <w:rPr>
          <w:rFonts w:ascii="Arial" w:eastAsia="Arial" w:hAnsi="Arial" w:cs="Arial"/>
          <w:sz w:val="20"/>
          <w:szCs w:val="20"/>
          <w:vertAlign w:val="superscript"/>
        </w:rPr>
        <w:t>1*</w:t>
      </w:r>
    </w:p>
    <w:p w14:paraId="20490904" w14:textId="2CEB977A" w:rsidR="00950376" w:rsidRPr="00950376" w:rsidRDefault="00950376">
      <w:pPr>
        <w:rPr>
          <w:rFonts w:ascii="Arial" w:eastAsia="Arial" w:hAnsi="Arial" w:cs="Arial"/>
          <w:sz w:val="20"/>
          <w:szCs w:val="20"/>
          <w:vertAlign w:val="superscript"/>
        </w:rPr>
      </w:pPr>
      <w:r>
        <w:rPr>
          <w:rFonts w:ascii="Arial" w:eastAsia="Arial" w:hAnsi="Arial" w:cs="Arial"/>
          <w:sz w:val="20"/>
          <w:szCs w:val="20"/>
          <w:vertAlign w:val="superscript"/>
        </w:rPr>
        <w:br w:type="page"/>
      </w:r>
    </w:p>
    <w:p w14:paraId="51DA83B8" w14:textId="1DD202FB" w:rsidR="00391F32" w:rsidRDefault="008D32E4">
      <w:pPr>
        <w:spacing w:after="0"/>
        <w:rPr>
          <w:rFonts w:ascii="Arial" w:eastAsia="Arial" w:hAnsi="Arial" w:cs="Arial"/>
          <w:sz w:val="20"/>
          <w:szCs w:val="20"/>
        </w:rPr>
      </w:pPr>
      <w:r>
        <w:rPr>
          <w:rFonts w:ascii="Arial" w:eastAsia="Arial" w:hAnsi="Arial" w:cs="Arial"/>
          <w:noProof/>
          <w:sz w:val="20"/>
          <w:szCs w:val="20"/>
        </w:rPr>
        <w:lastRenderedPageBreak/>
        <w:drawing>
          <wp:inline distT="0" distB="0" distL="0" distR="0" wp14:anchorId="1CC9166D" wp14:editId="05A53B01">
            <wp:extent cx="5731510" cy="5333365"/>
            <wp:effectExtent l="0" t="0" r="0" b="63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5333365"/>
                    </a:xfrm>
                    <a:prstGeom prst="rect">
                      <a:avLst/>
                    </a:prstGeom>
                  </pic:spPr>
                </pic:pic>
              </a:graphicData>
            </a:graphic>
          </wp:inline>
        </w:drawing>
      </w:r>
    </w:p>
    <w:p w14:paraId="46FBFB97" w14:textId="77777777" w:rsidR="00391F32" w:rsidRDefault="00A609C6">
      <w:pPr>
        <w:spacing w:after="0"/>
        <w:rPr>
          <w:rFonts w:ascii="Arial" w:eastAsia="Arial" w:hAnsi="Arial" w:cs="Arial"/>
          <w:sz w:val="20"/>
          <w:szCs w:val="20"/>
        </w:rPr>
      </w:pPr>
      <w:r>
        <w:rPr>
          <w:rFonts w:ascii="Arial" w:eastAsia="Arial" w:hAnsi="Arial" w:cs="Arial"/>
          <w:sz w:val="20"/>
          <w:szCs w:val="20"/>
        </w:rPr>
        <w:t xml:space="preserve">Figure. S1 Stronger clock network properties in human epidermis than dermis. Heatmaps of Spearman’s rho for 17 clock and clock-associated genes in human population epidermis (A) and dermis (B) samples. Red and blue indicate positive and negative Spearman’s ρ, respectively. The </w:t>
      </w:r>
      <w:proofErr w:type="spellStart"/>
      <w:r>
        <w:rPr>
          <w:rFonts w:ascii="Arial" w:eastAsia="Arial" w:hAnsi="Arial" w:cs="Arial"/>
          <w:sz w:val="20"/>
          <w:szCs w:val="20"/>
        </w:rPr>
        <w:t>zstat</w:t>
      </w:r>
      <w:proofErr w:type="spellEnd"/>
      <w:r>
        <w:rPr>
          <w:rFonts w:ascii="Arial" w:eastAsia="Arial" w:hAnsi="Arial" w:cs="Arial"/>
          <w:sz w:val="20"/>
          <w:szCs w:val="20"/>
        </w:rPr>
        <w:t xml:space="preserve"> value is from a Mantel test, using the correlation matrix of clock and clock-associated genes in mouse circadian atlas as the reference. (C) The nCV of 17 clock and clock-associated genes were shown for population epidermis and dermis samples. The point indicates the mean nCV value of 17 genes in each group. The boxes indicate data between the 25th and 75th percentiles with central horizontal lines representing the median values, respectively. The whiskers of boxes show the 5th and 95th percentiles. (D) Number of circadian genes detected in epidermis and dermis samples at a series of ADJ.P values given by CYCLOPS. The data are from Wu G et al., Genome Med, 2020. </w:t>
      </w:r>
    </w:p>
    <w:p w14:paraId="4BEFB036" w14:textId="2D6C47D6" w:rsidR="00391F32" w:rsidRDefault="008D32E4">
      <w:pPr>
        <w:spacing w:after="0"/>
        <w:rPr>
          <w:rFonts w:ascii="Arial" w:eastAsia="Arial" w:hAnsi="Arial" w:cs="Arial"/>
          <w:sz w:val="20"/>
          <w:szCs w:val="20"/>
        </w:rPr>
      </w:pPr>
      <w:r>
        <w:rPr>
          <w:rFonts w:ascii="Arial" w:eastAsia="Arial" w:hAnsi="Arial" w:cs="Arial"/>
          <w:noProof/>
          <w:sz w:val="20"/>
          <w:szCs w:val="20"/>
        </w:rPr>
        <w:lastRenderedPageBreak/>
        <w:drawing>
          <wp:inline distT="0" distB="0" distL="0" distR="0" wp14:anchorId="2E0CAB1E" wp14:editId="076C153E">
            <wp:extent cx="5731510" cy="3186430"/>
            <wp:effectExtent l="0" t="0" r="0" b="1270"/>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3186430"/>
                    </a:xfrm>
                    <a:prstGeom prst="rect">
                      <a:avLst/>
                    </a:prstGeom>
                  </pic:spPr>
                </pic:pic>
              </a:graphicData>
            </a:graphic>
          </wp:inline>
        </w:drawing>
      </w:r>
    </w:p>
    <w:p w14:paraId="4547F816" w14:textId="77777777" w:rsidR="00391F32" w:rsidRDefault="00A609C6">
      <w:pPr>
        <w:spacing w:after="0"/>
        <w:rPr>
          <w:rFonts w:ascii="Arial" w:eastAsia="Arial" w:hAnsi="Arial" w:cs="Arial"/>
          <w:sz w:val="20"/>
          <w:szCs w:val="20"/>
        </w:rPr>
      </w:pPr>
      <w:r>
        <w:rPr>
          <w:rFonts w:ascii="Arial" w:eastAsia="Arial" w:hAnsi="Arial" w:cs="Arial"/>
          <w:sz w:val="20"/>
          <w:szCs w:val="20"/>
        </w:rPr>
        <w:t xml:space="preserve">Figure. S2 Cell cycle genes with higher </w:t>
      </w:r>
      <w:proofErr w:type="spellStart"/>
      <w:r>
        <w:rPr>
          <w:rFonts w:ascii="Arial" w:eastAsia="Arial" w:hAnsi="Arial" w:cs="Arial"/>
          <w:sz w:val="20"/>
          <w:szCs w:val="20"/>
        </w:rPr>
        <w:t>LTMabs</w:t>
      </w:r>
      <w:proofErr w:type="spellEnd"/>
      <w:r>
        <w:rPr>
          <w:rFonts w:ascii="Arial" w:eastAsia="Arial" w:hAnsi="Arial" w:cs="Arial"/>
          <w:sz w:val="20"/>
          <w:szCs w:val="20"/>
        </w:rPr>
        <w:t xml:space="preserve"> values screened from human skin datasets regulate G2 and M phase. (A) Genes regulating cell cycle phases are drawn along the circle. The </w:t>
      </w:r>
      <w:proofErr w:type="spellStart"/>
      <w:r>
        <w:rPr>
          <w:rFonts w:ascii="Arial" w:eastAsia="Arial" w:hAnsi="Arial" w:cs="Arial"/>
          <w:sz w:val="20"/>
          <w:szCs w:val="20"/>
        </w:rPr>
        <w:t>LTMabs</w:t>
      </w:r>
      <w:proofErr w:type="spellEnd"/>
      <w:r>
        <w:rPr>
          <w:rFonts w:ascii="Arial" w:eastAsia="Arial" w:hAnsi="Arial" w:cs="Arial"/>
          <w:sz w:val="20"/>
          <w:szCs w:val="20"/>
        </w:rPr>
        <w:t xml:space="preserve"> value is indicated by text </w:t>
      </w:r>
      <w:proofErr w:type="spellStart"/>
      <w:r>
        <w:rPr>
          <w:rFonts w:ascii="Arial" w:eastAsia="Arial" w:hAnsi="Arial" w:cs="Arial"/>
          <w:sz w:val="20"/>
          <w:szCs w:val="20"/>
        </w:rPr>
        <w:t>color</w:t>
      </w:r>
      <w:proofErr w:type="spellEnd"/>
      <w:r>
        <w:rPr>
          <w:rFonts w:ascii="Arial" w:eastAsia="Arial" w:hAnsi="Arial" w:cs="Arial"/>
          <w:sz w:val="20"/>
          <w:szCs w:val="20"/>
        </w:rPr>
        <w:t xml:space="preserve">. (B) The </w:t>
      </w:r>
      <w:proofErr w:type="spellStart"/>
      <w:r>
        <w:rPr>
          <w:rFonts w:ascii="Arial" w:eastAsia="Arial" w:hAnsi="Arial" w:cs="Arial"/>
          <w:sz w:val="20"/>
          <w:szCs w:val="20"/>
        </w:rPr>
        <w:t>LTMabs</w:t>
      </w:r>
      <w:proofErr w:type="spellEnd"/>
      <w:r>
        <w:rPr>
          <w:rFonts w:ascii="Arial" w:eastAsia="Arial" w:hAnsi="Arial" w:cs="Arial"/>
          <w:sz w:val="20"/>
          <w:szCs w:val="20"/>
        </w:rPr>
        <w:t xml:space="preserve"> value of cell cycle regulators. (C) The normalized </w:t>
      </w:r>
      <w:proofErr w:type="spellStart"/>
      <w:r>
        <w:rPr>
          <w:rFonts w:ascii="Arial" w:eastAsia="Arial" w:hAnsi="Arial" w:cs="Arial"/>
          <w:sz w:val="20"/>
          <w:szCs w:val="20"/>
        </w:rPr>
        <w:t>LTMabs</w:t>
      </w:r>
      <w:proofErr w:type="spellEnd"/>
      <w:r>
        <w:rPr>
          <w:rFonts w:ascii="Arial" w:eastAsia="Arial" w:hAnsi="Arial" w:cs="Arial"/>
          <w:sz w:val="20"/>
          <w:szCs w:val="20"/>
        </w:rPr>
        <w:t xml:space="preserve"> value of cell cycle genes screened from human skin and melanoma datasets. Only those cell cycle genes detected in both healthy skin and melanoma datasets were used. Y-axis is the </w:t>
      </w:r>
      <w:proofErr w:type="spellStart"/>
      <w:r>
        <w:rPr>
          <w:rFonts w:ascii="Arial" w:eastAsia="Arial" w:hAnsi="Arial" w:cs="Arial"/>
          <w:sz w:val="20"/>
          <w:szCs w:val="20"/>
        </w:rPr>
        <w:t>LTMabs</w:t>
      </w:r>
      <w:proofErr w:type="spellEnd"/>
      <w:r>
        <w:rPr>
          <w:rFonts w:ascii="Arial" w:eastAsia="Arial" w:hAnsi="Arial" w:cs="Arial"/>
          <w:sz w:val="20"/>
          <w:szCs w:val="20"/>
        </w:rPr>
        <w:t xml:space="preserve"> value of each cell cycle gene normalized by the </w:t>
      </w:r>
      <w:proofErr w:type="spellStart"/>
      <w:r>
        <w:rPr>
          <w:rFonts w:ascii="Arial" w:eastAsia="Arial" w:hAnsi="Arial" w:cs="Arial"/>
          <w:sz w:val="20"/>
          <w:szCs w:val="20"/>
        </w:rPr>
        <w:t>LTMabs</w:t>
      </w:r>
      <w:proofErr w:type="spellEnd"/>
      <w:r>
        <w:rPr>
          <w:rFonts w:ascii="Arial" w:eastAsia="Arial" w:hAnsi="Arial" w:cs="Arial"/>
          <w:sz w:val="20"/>
          <w:szCs w:val="20"/>
        </w:rPr>
        <w:t xml:space="preserve"> value of randomly selected genes. </w:t>
      </w:r>
    </w:p>
    <w:p w14:paraId="7505301E" w14:textId="651EDF90" w:rsidR="00391F32" w:rsidRDefault="00391F32">
      <w:pPr>
        <w:spacing w:after="0"/>
        <w:rPr>
          <w:rFonts w:ascii="Arial" w:eastAsia="Arial" w:hAnsi="Arial" w:cs="Arial"/>
          <w:sz w:val="20"/>
          <w:szCs w:val="20"/>
        </w:rPr>
      </w:pPr>
    </w:p>
    <w:p w14:paraId="6C7372A6" w14:textId="24023441" w:rsidR="00950376" w:rsidRDefault="00950376">
      <w:pPr>
        <w:spacing w:after="0"/>
        <w:rPr>
          <w:rFonts w:ascii="Arial" w:eastAsia="Arial" w:hAnsi="Arial" w:cs="Arial"/>
          <w:sz w:val="20"/>
          <w:szCs w:val="20"/>
        </w:rPr>
      </w:pPr>
    </w:p>
    <w:p w14:paraId="039B7576" w14:textId="7DF5ED28" w:rsidR="00950376" w:rsidRDefault="00950376">
      <w:pPr>
        <w:spacing w:after="0"/>
        <w:rPr>
          <w:rFonts w:ascii="Arial" w:eastAsia="Arial" w:hAnsi="Arial" w:cs="Arial"/>
          <w:sz w:val="20"/>
          <w:szCs w:val="20"/>
        </w:rPr>
      </w:pPr>
    </w:p>
    <w:p w14:paraId="5E9807B3" w14:textId="096C34B9" w:rsidR="00950376" w:rsidRDefault="00950376">
      <w:pPr>
        <w:spacing w:after="0"/>
        <w:rPr>
          <w:rFonts w:ascii="Arial" w:eastAsia="Arial" w:hAnsi="Arial" w:cs="Arial"/>
          <w:sz w:val="20"/>
          <w:szCs w:val="20"/>
        </w:rPr>
      </w:pPr>
    </w:p>
    <w:p w14:paraId="172F56C1" w14:textId="0E1FF0C6" w:rsidR="00950376" w:rsidRDefault="00950376">
      <w:pPr>
        <w:spacing w:after="0"/>
        <w:rPr>
          <w:rFonts w:ascii="Arial" w:eastAsia="Arial" w:hAnsi="Arial" w:cs="Arial"/>
          <w:sz w:val="20"/>
          <w:szCs w:val="20"/>
        </w:rPr>
      </w:pPr>
    </w:p>
    <w:p w14:paraId="7A649A6B" w14:textId="0084E772" w:rsidR="00950376" w:rsidRDefault="00950376">
      <w:pPr>
        <w:spacing w:after="0"/>
        <w:rPr>
          <w:rFonts w:ascii="Arial" w:eastAsia="Arial" w:hAnsi="Arial" w:cs="Arial"/>
          <w:sz w:val="20"/>
          <w:szCs w:val="20"/>
        </w:rPr>
      </w:pPr>
    </w:p>
    <w:p w14:paraId="05AFBB89" w14:textId="41BA364F" w:rsidR="00950376" w:rsidRDefault="00950376">
      <w:pPr>
        <w:spacing w:after="0"/>
        <w:rPr>
          <w:rFonts w:ascii="Arial" w:eastAsia="Arial" w:hAnsi="Arial" w:cs="Arial"/>
          <w:sz w:val="20"/>
          <w:szCs w:val="20"/>
        </w:rPr>
      </w:pPr>
    </w:p>
    <w:p w14:paraId="1FC25B3C" w14:textId="7E32E1E9" w:rsidR="00950376" w:rsidRDefault="00950376">
      <w:pPr>
        <w:spacing w:after="0"/>
        <w:rPr>
          <w:rFonts w:ascii="Arial" w:eastAsia="Arial" w:hAnsi="Arial" w:cs="Arial"/>
          <w:sz w:val="20"/>
          <w:szCs w:val="20"/>
        </w:rPr>
      </w:pPr>
    </w:p>
    <w:p w14:paraId="0111B50A" w14:textId="1F5AEAD2" w:rsidR="00950376" w:rsidRDefault="00950376">
      <w:pPr>
        <w:spacing w:after="0"/>
        <w:rPr>
          <w:rFonts w:ascii="Arial" w:eastAsia="Arial" w:hAnsi="Arial" w:cs="Arial"/>
          <w:sz w:val="20"/>
          <w:szCs w:val="20"/>
        </w:rPr>
      </w:pPr>
    </w:p>
    <w:p w14:paraId="7DEF37E1" w14:textId="5D3FA3EB" w:rsidR="00950376" w:rsidRDefault="00950376">
      <w:pPr>
        <w:spacing w:after="0"/>
        <w:rPr>
          <w:rFonts w:ascii="Arial" w:eastAsia="Arial" w:hAnsi="Arial" w:cs="Arial"/>
          <w:sz w:val="20"/>
          <w:szCs w:val="20"/>
        </w:rPr>
      </w:pPr>
    </w:p>
    <w:p w14:paraId="6D804343" w14:textId="6CA159D2" w:rsidR="00950376" w:rsidRDefault="00950376">
      <w:pPr>
        <w:spacing w:after="0"/>
        <w:rPr>
          <w:rFonts w:ascii="Arial" w:eastAsia="Arial" w:hAnsi="Arial" w:cs="Arial"/>
          <w:sz w:val="20"/>
          <w:szCs w:val="20"/>
        </w:rPr>
      </w:pPr>
    </w:p>
    <w:p w14:paraId="04FFD07E" w14:textId="64EE2758" w:rsidR="00950376" w:rsidRDefault="00950376">
      <w:pPr>
        <w:spacing w:after="0"/>
        <w:rPr>
          <w:rFonts w:ascii="Arial" w:eastAsia="Arial" w:hAnsi="Arial" w:cs="Arial"/>
          <w:sz w:val="20"/>
          <w:szCs w:val="20"/>
        </w:rPr>
      </w:pPr>
    </w:p>
    <w:p w14:paraId="1F68564E" w14:textId="00C3A111" w:rsidR="00950376" w:rsidRDefault="00950376">
      <w:pPr>
        <w:spacing w:after="0"/>
        <w:rPr>
          <w:rFonts w:ascii="Arial" w:eastAsia="Arial" w:hAnsi="Arial" w:cs="Arial"/>
          <w:sz w:val="20"/>
          <w:szCs w:val="20"/>
        </w:rPr>
      </w:pPr>
    </w:p>
    <w:p w14:paraId="6C06BB86" w14:textId="59550648" w:rsidR="00950376" w:rsidRDefault="00950376">
      <w:pPr>
        <w:spacing w:after="0"/>
        <w:rPr>
          <w:rFonts w:ascii="Arial" w:eastAsia="Arial" w:hAnsi="Arial" w:cs="Arial"/>
          <w:sz w:val="20"/>
          <w:szCs w:val="20"/>
        </w:rPr>
      </w:pPr>
    </w:p>
    <w:p w14:paraId="2DDECE40" w14:textId="579B3BC6" w:rsidR="00950376" w:rsidRDefault="00950376">
      <w:pPr>
        <w:spacing w:after="0"/>
        <w:rPr>
          <w:rFonts w:ascii="Arial" w:eastAsia="Arial" w:hAnsi="Arial" w:cs="Arial"/>
          <w:sz w:val="20"/>
          <w:szCs w:val="20"/>
        </w:rPr>
      </w:pPr>
    </w:p>
    <w:p w14:paraId="7951028D" w14:textId="33DBE372" w:rsidR="00950376" w:rsidRDefault="00950376">
      <w:pPr>
        <w:spacing w:after="0"/>
        <w:rPr>
          <w:rFonts w:ascii="Arial" w:eastAsia="Arial" w:hAnsi="Arial" w:cs="Arial"/>
          <w:sz w:val="20"/>
          <w:szCs w:val="20"/>
        </w:rPr>
      </w:pPr>
    </w:p>
    <w:p w14:paraId="15B14896" w14:textId="4D3A507F" w:rsidR="00950376" w:rsidRDefault="00950376">
      <w:pPr>
        <w:spacing w:after="0"/>
        <w:rPr>
          <w:rFonts w:ascii="Arial" w:eastAsia="Arial" w:hAnsi="Arial" w:cs="Arial"/>
          <w:sz w:val="20"/>
          <w:szCs w:val="20"/>
        </w:rPr>
      </w:pPr>
    </w:p>
    <w:p w14:paraId="512F0635" w14:textId="140DF294" w:rsidR="00950376" w:rsidRDefault="00950376">
      <w:pPr>
        <w:spacing w:after="0"/>
        <w:rPr>
          <w:rFonts w:ascii="Arial" w:eastAsia="Arial" w:hAnsi="Arial" w:cs="Arial"/>
          <w:sz w:val="20"/>
          <w:szCs w:val="20"/>
        </w:rPr>
      </w:pPr>
    </w:p>
    <w:p w14:paraId="761FCAA4" w14:textId="3CADDC3B" w:rsidR="00950376" w:rsidRDefault="00950376">
      <w:pPr>
        <w:spacing w:after="0"/>
        <w:rPr>
          <w:rFonts w:ascii="Arial" w:eastAsia="Arial" w:hAnsi="Arial" w:cs="Arial"/>
          <w:sz w:val="20"/>
          <w:szCs w:val="20"/>
        </w:rPr>
      </w:pPr>
    </w:p>
    <w:p w14:paraId="74E69793" w14:textId="4D51E1EE" w:rsidR="00950376" w:rsidRDefault="00950376">
      <w:pPr>
        <w:spacing w:after="0"/>
        <w:rPr>
          <w:rFonts w:ascii="Arial" w:eastAsia="Arial" w:hAnsi="Arial" w:cs="Arial"/>
          <w:sz w:val="20"/>
          <w:szCs w:val="20"/>
        </w:rPr>
      </w:pPr>
    </w:p>
    <w:p w14:paraId="5955474B" w14:textId="379CEE4D" w:rsidR="00950376" w:rsidRDefault="00950376">
      <w:pPr>
        <w:spacing w:after="0"/>
        <w:rPr>
          <w:rFonts w:ascii="Arial" w:eastAsia="Arial" w:hAnsi="Arial" w:cs="Arial"/>
          <w:sz w:val="20"/>
          <w:szCs w:val="20"/>
        </w:rPr>
      </w:pPr>
    </w:p>
    <w:p w14:paraId="1A6EC296" w14:textId="262BBA54" w:rsidR="00950376" w:rsidRDefault="00950376">
      <w:pPr>
        <w:spacing w:after="0"/>
        <w:rPr>
          <w:rFonts w:ascii="Arial" w:eastAsia="Arial" w:hAnsi="Arial" w:cs="Arial"/>
          <w:sz w:val="20"/>
          <w:szCs w:val="20"/>
        </w:rPr>
      </w:pPr>
    </w:p>
    <w:p w14:paraId="7697E714" w14:textId="3C88DDCE" w:rsidR="00950376" w:rsidRDefault="00950376">
      <w:pPr>
        <w:spacing w:after="0"/>
        <w:rPr>
          <w:rFonts w:ascii="Arial" w:eastAsia="Arial" w:hAnsi="Arial" w:cs="Arial"/>
          <w:sz w:val="20"/>
          <w:szCs w:val="20"/>
        </w:rPr>
      </w:pPr>
    </w:p>
    <w:p w14:paraId="69B20545" w14:textId="6D81154F" w:rsidR="00950376" w:rsidRDefault="00950376">
      <w:pPr>
        <w:spacing w:after="0"/>
        <w:rPr>
          <w:rFonts w:ascii="Arial" w:eastAsia="Arial" w:hAnsi="Arial" w:cs="Arial"/>
          <w:sz w:val="20"/>
          <w:szCs w:val="20"/>
        </w:rPr>
      </w:pPr>
    </w:p>
    <w:p w14:paraId="0C1B7176" w14:textId="13DC75CA" w:rsidR="00950376" w:rsidRDefault="00950376">
      <w:pPr>
        <w:spacing w:after="0"/>
        <w:rPr>
          <w:rFonts w:ascii="Arial" w:eastAsia="Arial" w:hAnsi="Arial" w:cs="Arial"/>
          <w:sz w:val="20"/>
          <w:szCs w:val="20"/>
        </w:rPr>
      </w:pPr>
    </w:p>
    <w:p w14:paraId="0B9F8986" w14:textId="026B8392" w:rsidR="00950376" w:rsidRDefault="00950376">
      <w:pPr>
        <w:spacing w:after="0"/>
        <w:rPr>
          <w:rFonts w:ascii="Arial" w:eastAsia="Arial" w:hAnsi="Arial" w:cs="Arial"/>
          <w:sz w:val="20"/>
          <w:szCs w:val="20"/>
        </w:rPr>
      </w:pPr>
    </w:p>
    <w:p w14:paraId="7A5E3A6D" w14:textId="77777777" w:rsidR="00950376" w:rsidRDefault="00950376">
      <w:pPr>
        <w:spacing w:after="0"/>
        <w:rPr>
          <w:rFonts w:ascii="Arial" w:eastAsia="Arial" w:hAnsi="Arial" w:cs="Arial"/>
          <w:sz w:val="20"/>
          <w:szCs w:val="20"/>
        </w:rPr>
      </w:pPr>
    </w:p>
    <w:p w14:paraId="6313DDB7" w14:textId="77777777" w:rsidR="00391F32" w:rsidRDefault="00A609C6">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S1. List of datasets used in this study</w:t>
      </w:r>
    </w:p>
    <w:tbl>
      <w:tblPr>
        <w:tblStyle w:val="a"/>
        <w:tblW w:w="8790" w:type="dxa"/>
        <w:tblBorders>
          <w:top w:val="nil"/>
          <w:left w:val="nil"/>
          <w:bottom w:val="nil"/>
          <w:right w:val="nil"/>
          <w:insideH w:val="nil"/>
          <w:insideV w:val="nil"/>
        </w:tblBorders>
        <w:tblLayout w:type="fixed"/>
        <w:tblLook w:val="0600" w:firstRow="0" w:lastRow="0" w:firstColumn="0" w:lastColumn="0" w:noHBand="1" w:noVBand="1"/>
      </w:tblPr>
      <w:tblGrid>
        <w:gridCol w:w="1875"/>
        <w:gridCol w:w="945"/>
        <w:gridCol w:w="4365"/>
        <w:gridCol w:w="1605"/>
      </w:tblGrid>
      <w:tr w:rsidR="00391F32" w14:paraId="42079D26" w14:textId="77777777">
        <w:trPr>
          <w:trHeight w:val="425"/>
        </w:trPr>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2DA833" w14:textId="77777777" w:rsidR="00391F32" w:rsidRDefault="00A609C6">
            <w:pPr>
              <w:spacing w:after="0" w:line="36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Datasets</w:t>
            </w:r>
          </w:p>
        </w:tc>
        <w:tc>
          <w:tcPr>
            <w:tcW w:w="9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E9A6386" w14:textId="77777777" w:rsidR="00391F32" w:rsidRDefault="00A609C6">
            <w:pPr>
              <w:spacing w:after="0" w:line="36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#Samples</w:t>
            </w:r>
          </w:p>
        </w:tc>
        <w:tc>
          <w:tcPr>
            <w:tcW w:w="43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3E8F1F6" w14:textId="77777777" w:rsidR="00391F32" w:rsidRDefault="00A609C6">
            <w:pPr>
              <w:spacing w:after="0" w:line="36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Experimental design</w:t>
            </w:r>
          </w:p>
        </w:tc>
        <w:tc>
          <w:tcPr>
            <w:tcW w:w="16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971B85" w14:textId="77777777" w:rsidR="00391F32" w:rsidRDefault="00A609C6">
            <w:pPr>
              <w:spacing w:after="0" w:line="36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Reference</w:t>
            </w:r>
          </w:p>
        </w:tc>
      </w:tr>
      <w:tr w:rsidR="00391F32" w14:paraId="27A55783" w14:textId="77777777">
        <w:trPr>
          <w:trHeight w:val="1484"/>
        </w:trPr>
        <w:tc>
          <w:tcPr>
            <w:tcW w:w="1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24A0DC" w14:textId="77777777" w:rsidR="00391F32" w:rsidRDefault="00A609C6">
            <w:pPr>
              <w:spacing w:after="0"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Epidermal skin (PG)</w:t>
            </w:r>
          </w:p>
        </w:tc>
        <w:tc>
          <w:tcPr>
            <w:tcW w:w="945" w:type="dxa"/>
            <w:tcBorders>
              <w:top w:val="nil"/>
              <w:left w:val="nil"/>
              <w:bottom w:val="single" w:sz="8" w:space="0" w:color="000000"/>
              <w:right w:val="single" w:sz="8" w:space="0" w:color="000000"/>
            </w:tcBorders>
            <w:tcMar>
              <w:top w:w="100" w:type="dxa"/>
              <w:left w:w="100" w:type="dxa"/>
              <w:bottom w:w="100" w:type="dxa"/>
              <w:right w:w="100" w:type="dxa"/>
            </w:tcMar>
          </w:tcPr>
          <w:p w14:paraId="4D3BDA88" w14:textId="77777777" w:rsidR="00391F32" w:rsidRDefault="00A609C6">
            <w:pPr>
              <w:spacing w:after="0"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298</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0C3B7F9B" w14:textId="77777777" w:rsidR="00391F32" w:rsidRDefault="00A609C6">
            <w:pPr>
              <w:spacing w:after="0" w:line="360" w:lineRule="auto"/>
              <w:ind w:left="8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This dataset includes 79 and 219 samples collected from the longitudinal and population group, respectively. The longitudinal group includes 20 Caucasian male subjects. The population group includes 152 Caucasian female subjects and 67 </w:t>
            </w:r>
            <w:proofErr w:type="gramStart"/>
            <w:r>
              <w:rPr>
                <w:rFonts w:ascii="Times New Roman" w:eastAsia="Times New Roman" w:hAnsi="Times New Roman" w:cs="Times New Roman"/>
                <w:sz w:val="16"/>
                <w:szCs w:val="16"/>
              </w:rPr>
              <w:t>African-Americans</w:t>
            </w:r>
            <w:proofErr w:type="gramEnd"/>
            <w:r>
              <w:rPr>
                <w:rFonts w:ascii="Times New Roman" w:eastAsia="Times New Roman" w:hAnsi="Times New Roman" w:cs="Times New Roman"/>
                <w:sz w:val="16"/>
                <w:szCs w:val="16"/>
              </w:rPr>
              <w:t xml:space="preserve"> female subjects. </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619B1BDF" w14:textId="77777777" w:rsidR="00391F32" w:rsidRDefault="00A609C6">
            <w:pPr>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Wu G., et al., 2018, PNAS.</w:t>
            </w:r>
          </w:p>
          <w:p w14:paraId="16892D8E" w14:textId="77777777" w:rsidR="00391F32" w:rsidRDefault="00A609C6">
            <w:pPr>
              <w:spacing w:after="0"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GSE112660</w:t>
            </w:r>
          </w:p>
        </w:tc>
      </w:tr>
      <w:tr w:rsidR="00391F32" w14:paraId="30668D84" w14:textId="77777777">
        <w:trPr>
          <w:trHeight w:val="930"/>
        </w:trPr>
        <w:tc>
          <w:tcPr>
            <w:tcW w:w="1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1AF58A" w14:textId="77777777" w:rsidR="00391F32" w:rsidRDefault="00A609C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Sun exposed whole skin samples (</w:t>
            </w:r>
            <w:proofErr w:type="spellStart"/>
            <w:r>
              <w:rPr>
                <w:rFonts w:ascii="Times New Roman" w:eastAsia="Times New Roman" w:hAnsi="Times New Roman" w:cs="Times New Roman"/>
                <w:sz w:val="16"/>
                <w:szCs w:val="16"/>
              </w:rPr>
              <w:t>GTExSE</w:t>
            </w:r>
            <w:proofErr w:type="spellEnd"/>
            <w:r>
              <w:rPr>
                <w:rFonts w:ascii="Times New Roman" w:eastAsia="Times New Roman" w:hAnsi="Times New Roman" w:cs="Times New Roman"/>
                <w:sz w:val="16"/>
                <w:szCs w:val="16"/>
              </w:rPr>
              <w:t>)</w:t>
            </w:r>
          </w:p>
        </w:tc>
        <w:tc>
          <w:tcPr>
            <w:tcW w:w="945" w:type="dxa"/>
            <w:tcBorders>
              <w:top w:val="nil"/>
              <w:left w:val="nil"/>
              <w:bottom w:val="single" w:sz="8" w:space="0" w:color="000000"/>
              <w:right w:val="single" w:sz="8" w:space="0" w:color="000000"/>
            </w:tcBorders>
            <w:tcMar>
              <w:top w:w="100" w:type="dxa"/>
              <w:left w:w="100" w:type="dxa"/>
              <w:bottom w:w="100" w:type="dxa"/>
              <w:right w:w="100" w:type="dxa"/>
            </w:tcMar>
          </w:tcPr>
          <w:p w14:paraId="5E4A6468" w14:textId="77777777" w:rsidR="00391F32" w:rsidRDefault="00A609C6">
            <w:pPr>
              <w:spacing w:after="0"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601</w:t>
            </w:r>
          </w:p>
        </w:tc>
        <w:tc>
          <w:tcPr>
            <w:tcW w:w="4365" w:type="dxa"/>
            <w:vMerge w:val="restart"/>
            <w:tcBorders>
              <w:top w:val="nil"/>
              <w:left w:val="nil"/>
              <w:bottom w:val="single" w:sz="8" w:space="0" w:color="000000"/>
              <w:right w:val="single" w:sz="8" w:space="0" w:color="000000"/>
            </w:tcBorders>
            <w:tcMar>
              <w:top w:w="100" w:type="dxa"/>
              <w:left w:w="100" w:type="dxa"/>
              <w:bottom w:w="100" w:type="dxa"/>
              <w:right w:w="100" w:type="dxa"/>
            </w:tcMar>
          </w:tcPr>
          <w:p w14:paraId="66FAC93D" w14:textId="77777777" w:rsidR="00391F32" w:rsidRDefault="00A609C6">
            <w:pPr>
              <w:spacing w:after="0" w:line="360" w:lineRule="auto"/>
              <w:ind w:left="80"/>
              <w:rPr>
                <w:rFonts w:ascii="Times New Roman" w:eastAsia="Times New Roman" w:hAnsi="Times New Roman" w:cs="Times New Roman"/>
                <w:sz w:val="16"/>
                <w:szCs w:val="16"/>
              </w:rPr>
            </w:pPr>
            <w:r>
              <w:rPr>
                <w:rFonts w:ascii="Times New Roman" w:eastAsia="Times New Roman" w:hAnsi="Times New Roman" w:cs="Times New Roman"/>
                <w:sz w:val="16"/>
                <w:szCs w:val="16"/>
              </w:rPr>
              <w:t>The Genotype-Tissue Expression (</w:t>
            </w:r>
            <w:proofErr w:type="spellStart"/>
            <w:r>
              <w:rPr>
                <w:rFonts w:ascii="Times New Roman" w:eastAsia="Times New Roman" w:hAnsi="Times New Roman" w:cs="Times New Roman"/>
                <w:sz w:val="16"/>
                <w:szCs w:val="16"/>
              </w:rPr>
              <w:t>GTEx</w:t>
            </w:r>
            <w:proofErr w:type="spellEnd"/>
            <w:r>
              <w:rPr>
                <w:rFonts w:ascii="Times New Roman" w:eastAsia="Times New Roman" w:hAnsi="Times New Roman" w:cs="Times New Roman"/>
                <w:sz w:val="16"/>
                <w:szCs w:val="16"/>
              </w:rPr>
              <w:t xml:space="preserve">) project is to study tissue-specific gene expression and regulation. Samples were collected from 54 non-diseased tissue sites across nearly 1000 individuals. This study uses the version 8 of </w:t>
            </w:r>
            <w:proofErr w:type="spellStart"/>
            <w:r>
              <w:rPr>
                <w:rFonts w:ascii="Times New Roman" w:eastAsia="Times New Roman" w:hAnsi="Times New Roman" w:cs="Times New Roman"/>
                <w:sz w:val="16"/>
                <w:szCs w:val="16"/>
              </w:rPr>
              <w:t>RNAseq</w:t>
            </w:r>
            <w:proofErr w:type="spellEnd"/>
            <w:r>
              <w:rPr>
                <w:rFonts w:ascii="Times New Roman" w:eastAsia="Times New Roman" w:hAnsi="Times New Roman" w:cs="Times New Roman"/>
                <w:sz w:val="16"/>
                <w:szCs w:val="16"/>
              </w:rPr>
              <w:t xml:space="preserve"> expression profiles in two skin sites. Those skin samples with RIN value less than 6.5 were filtered out in this study. </w:t>
            </w:r>
          </w:p>
        </w:tc>
        <w:tc>
          <w:tcPr>
            <w:tcW w:w="1605" w:type="dxa"/>
            <w:vMerge w:val="restart"/>
            <w:tcBorders>
              <w:top w:val="nil"/>
              <w:left w:val="nil"/>
              <w:bottom w:val="single" w:sz="8" w:space="0" w:color="000000"/>
              <w:right w:val="single" w:sz="8" w:space="0" w:color="000000"/>
            </w:tcBorders>
            <w:tcMar>
              <w:top w:w="100" w:type="dxa"/>
              <w:left w:w="100" w:type="dxa"/>
              <w:bottom w:w="100" w:type="dxa"/>
              <w:right w:w="100" w:type="dxa"/>
            </w:tcMar>
          </w:tcPr>
          <w:p w14:paraId="3E0712BC" w14:textId="77777777" w:rsidR="00391F32" w:rsidRDefault="00A609C6">
            <w:pPr>
              <w:spacing w:after="0"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https://gtexportal.org/home/datasets</w:t>
            </w:r>
          </w:p>
        </w:tc>
      </w:tr>
      <w:tr w:rsidR="00391F32" w14:paraId="72F7F3AE" w14:textId="77777777">
        <w:trPr>
          <w:trHeight w:val="770"/>
        </w:trPr>
        <w:tc>
          <w:tcPr>
            <w:tcW w:w="1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4FC4E9" w14:textId="77777777" w:rsidR="00391F32" w:rsidRDefault="00A609C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Not sun exposed whole skin (</w:t>
            </w:r>
            <w:proofErr w:type="spellStart"/>
            <w:r>
              <w:rPr>
                <w:rFonts w:ascii="Times New Roman" w:eastAsia="Times New Roman" w:hAnsi="Times New Roman" w:cs="Times New Roman"/>
                <w:sz w:val="16"/>
                <w:szCs w:val="16"/>
              </w:rPr>
              <w:t>GTExNSE</w:t>
            </w:r>
            <w:proofErr w:type="spellEnd"/>
            <w:r>
              <w:rPr>
                <w:rFonts w:ascii="Times New Roman" w:eastAsia="Times New Roman" w:hAnsi="Times New Roman" w:cs="Times New Roman"/>
                <w:sz w:val="16"/>
                <w:szCs w:val="16"/>
              </w:rPr>
              <w:t>)</w:t>
            </w:r>
          </w:p>
        </w:tc>
        <w:tc>
          <w:tcPr>
            <w:tcW w:w="945" w:type="dxa"/>
            <w:tcBorders>
              <w:top w:val="nil"/>
              <w:left w:val="nil"/>
              <w:bottom w:val="single" w:sz="8" w:space="0" w:color="000000"/>
              <w:right w:val="single" w:sz="8" w:space="0" w:color="000000"/>
            </w:tcBorders>
            <w:tcMar>
              <w:top w:w="100" w:type="dxa"/>
              <w:left w:w="100" w:type="dxa"/>
              <w:bottom w:w="100" w:type="dxa"/>
              <w:right w:w="100" w:type="dxa"/>
            </w:tcMar>
          </w:tcPr>
          <w:p w14:paraId="3442152F" w14:textId="77777777" w:rsidR="00391F32" w:rsidRDefault="00A609C6">
            <w:pPr>
              <w:spacing w:after="0"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479</w:t>
            </w:r>
          </w:p>
        </w:tc>
        <w:tc>
          <w:tcPr>
            <w:tcW w:w="4365" w:type="dxa"/>
            <w:vMerge/>
            <w:tcBorders>
              <w:top w:val="nil"/>
              <w:left w:val="nil"/>
              <w:bottom w:val="single" w:sz="8" w:space="0" w:color="000000"/>
              <w:right w:val="single" w:sz="8" w:space="0" w:color="000000"/>
            </w:tcBorders>
            <w:tcMar>
              <w:top w:w="100" w:type="dxa"/>
              <w:left w:w="100" w:type="dxa"/>
              <w:bottom w:w="100" w:type="dxa"/>
              <w:right w:w="100" w:type="dxa"/>
            </w:tcMar>
          </w:tcPr>
          <w:p w14:paraId="66336D2F" w14:textId="77777777" w:rsidR="00391F32" w:rsidRDefault="00391F32">
            <w:pPr>
              <w:spacing w:after="0" w:line="240" w:lineRule="auto"/>
              <w:rPr>
                <w:rFonts w:ascii="Times New Roman" w:eastAsia="Times New Roman" w:hAnsi="Times New Roman" w:cs="Times New Roman"/>
                <w:sz w:val="16"/>
                <w:szCs w:val="16"/>
              </w:rPr>
            </w:pPr>
          </w:p>
        </w:tc>
        <w:tc>
          <w:tcPr>
            <w:tcW w:w="1605" w:type="dxa"/>
            <w:vMerge/>
            <w:tcBorders>
              <w:top w:val="nil"/>
              <w:left w:val="nil"/>
              <w:bottom w:val="single" w:sz="8" w:space="0" w:color="000000"/>
              <w:right w:val="single" w:sz="8" w:space="0" w:color="000000"/>
            </w:tcBorders>
            <w:tcMar>
              <w:top w:w="100" w:type="dxa"/>
              <w:left w:w="100" w:type="dxa"/>
              <w:bottom w:w="100" w:type="dxa"/>
              <w:right w:w="100" w:type="dxa"/>
            </w:tcMar>
          </w:tcPr>
          <w:p w14:paraId="5DF09E5B" w14:textId="77777777" w:rsidR="00391F32" w:rsidRDefault="00391F32">
            <w:pPr>
              <w:spacing w:after="0" w:line="240" w:lineRule="auto"/>
              <w:rPr>
                <w:rFonts w:ascii="Times New Roman" w:eastAsia="Times New Roman" w:hAnsi="Times New Roman" w:cs="Times New Roman"/>
                <w:sz w:val="16"/>
                <w:szCs w:val="16"/>
              </w:rPr>
            </w:pPr>
          </w:p>
        </w:tc>
      </w:tr>
      <w:tr w:rsidR="00391F32" w14:paraId="55E11775" w14:textId="77777777">
        <w:trPr>
          <w:trHeight w:val="457"/>
        </w:trPr>
        <w:tc>
          <w:tcPr>
            <w:tcW w:w="1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4C4642" w14:textId="77777777" w:rsidR="00391F32" w:rsidRDefault="00A609C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CYCLOPS ordered epidermal and dermal skin </w:t>
            </w:r>
          </w:p>
        </w:tc>
        <w:tc>
          <w:tcPr>
            <w:tcW w:w="945" w:type="dxa"/>
            <w:tcBorders>
              <w:top w:val="nil"/>
              <w:left w:val="nil"/>
              <w:bottom w:val="single" w:sz="8" w:space="0" w:color="000000"/>
              <w:right w:val="single" w:sz="8" w:space="0" w:color="000000"/>
            </w:tcBorders>
            <w:tcMar>
              <w:top w:w="100" w:type="dxa"/>
              <w:left w:w="100" w:type="dxa"/>
              <w:bottom w:w="100" w:type="dxa"/>
              <w:right w:w="100" w:type="dxa"/>
            </w:tcMar>
          </w:tcPr>
          <w:p w14:paraId="6230291E" w14:textId="77777777" w:rsidR="00391F32" w:rsidRDefault="00A609C6">
            <w:pPr>
              <w:spacing w:after="0"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489</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6CA64740" w14:textId="77777777" w:rsidR="00391F32" w:rsidRDefault="00A609C6">
            <w:pPr>
              <w:spacing w:after="0" w:line="360" w:lineRule="auto"/>
              <w:ind w:left="8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489 matched epidermal and dermal skin samples were selected from 519 CYCLOPS ordered epidermal skin samples and 506 CYCLOPS ordered dermal skin samples. </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42085CE8" w14:textId="77777777" w:rsidR="00391F32" w:rsidRDefault="00A609C6">
            <w:pPr>
              <w:spacing w:after="0"/>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Wu G., et al., 2020, Genome Medicine. </w:t>
            </w:r>
          </w:p>
        </w:tc>
      </w:tr>
      <w:tr w:rsidR="00391F32" w14:paraId="394D9D0D" w14:textId="77777777">
        <w:trPr>
          <w:trHeight w:val="457"/>
        </w:trPr>
        <w:tc>
          <w:tcPr>
            <w:tcW w:w="1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4DC1EA" w14:textId="77777777" w:rsidR="00391F32" w:rsidRDefault="00A609C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Urothelial bladder carcinoma (BLCA)</w:t>
            </w:r>
          </w:p>
        </w:tc>
        <w:tc>
          <w:tcPr>
            <w:tcW w:w="945" w:type="dxa"/>
            <w:tcBorders>
              <w:top w:val="nil"/>
              <w:left w:val="nil"/>
              <w:bottom w:val="single" w:sz="8" w:space="0" w:color="000000"/>
              <w:right w:val="single" w:sz="8" w:space="0" w:color="000000"/>
            </w:tcBorders>
            <w:tcMar>
              <w:top w:w="100" w:type="dxa"/>
              <w:left w:w="100" w:type="dxa"/>
              <w:bottom w:w="100" w:type="dxa"/>
              <w:right w:w="100" w:type="dxa"/>
            </w:tcMar>
          </w:tcPr>
          <w:p w14:paraId="3D1502C1" w14:textId="77777777" w:rsidR="00391F32" w:rsidRDefault="00A609C6">
            <w:pPr>
              <w:spacing w:after="0"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408</w:t>
            </w:r>
          </w:p>
        </w:tc>
        <w:tc>
          <w:tcPr>
            <w:tcW w:w="4365" w:type="dxa"/>
            <w:vMerge w:val="restart"/>
            <w:tcBorders>
              <w:top w:val="nil"/>
              <w:left w:val="nil"/>
              <w:bottom w:val="single" w:sz="8" w:space="0" w:color="000000"/>
              <w:right w:val="single" w:sz="8" w:space="0" w:color="000000"/>
            </w:tcBorders>
            <w:tcMar>
              <w:top w:w="100" w:type="dxa"/>
              <w:left w:w="100" w:type="dxa"/>
              <w:bottom w:w="100" w:type="dxa"/>
              <w:right w:w="100" w:type="dxa"/>
            </w:tcMar>
          </w:tcPr>
          <w:p w14:paraId="6A176A4C" w14:textId="77777777" w:rsidR="00391F32" w:rsidRDefault="00A609C6">
            <w:pPr>
              <w:spacing w:after="0" w:line="360" w:lineRule="auto"/>
              <w:ind w:left="8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The Cancer Genome Atlas (TCGA) characterized over 20,000 primary cancers and matched normal samples spanning 33 cancer types. This study only used </w:t>
            </w:r>
            <w:proofErr w:type="spellStart"/>
            <w:r>
              <w:rPr>
                <w:rFonts w:ascii="Times New Roman" w:eastAsia="Times New Roman" w:hAnsi="Times New Roman" w:cs="Times New Roman"/>
                <w:sz w:val="16"/>
                <w:szCs w:val="16"/>
              </w:rPr>
              <w:t>tumor</w:t>
            </w:r>
            <w:proofErr w:type="spellEnd"/>
            <w:r>
              <w:rPr>
                <w:rFonts w:ascii="Times New Roman" w:eastAsia="Times New Roman" w:hAnsi="Times New Roman" w:cs="Times New Roman"/>
                <w:sz w:val="16"/>
                <w:szCs w:val="16"/>
              </w:rPr>
              <w:t xml:space="preserve"> samples from 11 cancer types. Each cancer type contains over 400 </w:t>
            </w:r>
            <w:proofErr w:type="spellStart"/>
            <w:r>
              <w:rPr>
                <w:rFonts w:ascii="Times New Roman" w:eastAsia="Times New Roman" w:hAnsi="Times New Roman" w:cs="Times New Roman"/>
                <w:sz w:val="16"/>
                <w:szCs w:val="16"/>
              </w:rPr>
              <w:t>tumor</w:t>
            </w:r>
            <w:proofErr w:type="spellEnd"/>
            <w:r>
              <w:rPr>
                <w:rFonts w:ascii="Times New Roman" w:eastAsia="Times New Roman" w:hAnsi="Times New Roman" w:cs="Times New Roman"/>
                <w:sz w:val="16"/>
                <w:szCs w:val="16"/>
              </w:rPr>
              <w:t xml:space="preserve"> samples. </w:t>
            </w:r>
          </w:p>
        </w:tc>
        <w:tc>
          <w:tcPr>
            <w:tcW w:w="1605" w:type="dxa"/>
            <w:vMerge w:val="restart"/>
            <w:tcBorders>
              <w:top w:val="nil"/>
              <w:left w:val="nil"/>
              <w:bottom w:val="single" w:sz="8" w:space="0" w:color="000000"/>
              <w:right w:val="single" w:sz="8" w:space="0" w:color="000000"/>
            </w:tcBorders>
            <w:tcMar>
              <w:top w:w="100" w:type="dxa"/>
              <w:left w:w="100" w:type="dxa"/>
              <w:bottom w:w="100" w:type="dxa"/>
              <w:right w:w="100" w:type="dxa"/>
            </w:tcMar>
          </w:tcPr>
          <w:p w14:paraId="1F55CAB1" w14:textId="77777777" w:rsidR="00391F32" w:rsidRDefault="00A609C6">
            <w:pPr>
              <w:spacing w:after="0"/>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http://firebrowse.org/</w:t>
            </w:r>
          </w:p>
        </w:tc>
      </w:tr>
      <w:tr w:rsidR="00391F32" w14:paraId="7C34956C" w14:textId="77777777">
        <w:trPr>
          <w:trHeight w:val="367"/>
        </w:trPr>
        <w:tc>
          <w:tcPr>
            <w:tcW w:w="1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8ED0C3" w14:textId="77777777" w:rsidR="00391F32" w:rsidRDefault="00A609C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Breast invasive carcinoma (BRCA)</w:t>
            </w:r>
          </w:p>
        </w:tc>
        <w:tc>
          <w:tcPr>
            <w:tcW w:w="945" w:type="dxa"/>
            <w:tcBorders>
              <w:top w:val="nil"/>
              <w:left w:val="nil"/>
              <w:bottom w:val="single" w:sz="8" w:space="0" w:color="000000"/>
              <w:right w:val="single" w:sz="8" w:space="0" w:color="000000"/>
            </w:tcBorders>
            <w:tcMar>
              <w:top w:w="100" w:type="dxa"/>
              <w:left w:w="100" w:type="dxa"/>
              <w:bottom w:w="100" w:type="dxa"/>
              <w:right w:w="100" w:type="dxa"/>
            </w:tcMar>
          </w:tcPr>
          <w:p w14:paraId="0EEBCF44" w14:textId="77777777" w:rsidR="00391F32" w:rsidRDefault="00A609C6">
            <w:pPr>
              <w:spacing w:after="0"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1100</w:t>
            </w:r>
          </w:p>
        </w:tc>
        <w:tc>
          <w:tcPr>
            <w:tcW w:w="4365" w:type="dxa"/>
            <w:vMerge/>
            <w:tcBorders>
              <w:top w:val="nil"/>
              <w:left w:val="nil"/>
              <w:bottom w:val="single" w:sz="8" w:space="0" w:color="000000"/>
              <w:right w:val="single" w:sz="8" w:space="0" w:color="000000"/>
            </w:tcBorders>
            <w:tcMar>
              <w:top w:w="100" w:type="dxa"/>
              <w:left w:w="100" w:type="dxa"/>
              <w:bottom w:w="100" w:type="dxa"/>
              <w:right w:w="100" w:type="dxa"/>
            </w:tcMar>
          </w:tcPr>
          <w:p w14:paraId="077B1216" w14:textId="77777777" w:rsidR="00391F32" w:rsidRDefault="00391F32">
            <w:pPr>
              <w:spacing w:after="0" w:line="240" w:lineRule="auto"/>
              <w:rPr>
                <w:rFonts w:ascii="Times New Roman" w:eastAsia="Times New Roman" w:hAnsi="Times New Roman" w:cs="Times New Roman"/>
                <w:sz w:val="16"/>
                <w:szCs w:val="16"/>
              </w:rPr>
            </w:pPr>
          </w:p>
        </w:tc>
        <w:tc>
          <w:tcPr>
            <w:tcW w:w="1605" w:type="dxa"/>
            <w:vMerge/>
            <w:tcBorders>
              <w:top w:val="nil"/>
              <w:left w:val="nil"/>
              <w:bottom w:val="single" w:sz="8" w:space="0" w:color="000000"/>
              <w:right w:val="single" w:sz="8" w:space="0" w:color="000000"/>
            </w:tcBorders>
            <w:tcMar>
              <w:top w:w="100" w:type="dxa"/>
              <w:left w:w="100" w:type="dxa"/>
              <w:bottom w:w="100" w:type="dxa"/>
              <w:right w:w="100" w:type="dxa"/>
            </w:tcMar>
          </w:tcPr>
          <w:p w14:paraId="17719A2E" w14:textId="77777777" w:rsidR="00391F32" w:rsidRDefault="00391F32">
            <w:pPr>
              <w:spacing w:after="0" w:line="240" w:lineRule="auto"/>
              <w:rPr>
                <w:rFonts w:ascii="Times New Roman" w:eastAsia="Times New Roman" w:hAnsi="Times New Roman" w:cs="Times New Roman"/>
                <w:sz w:val="16"/>
                <w:szCs w:val="16"/>
              </w:rPr>
            </w:pPr>
          </w:p>
        </w:tc>
      </w:tr>
      <w:tr w:rsidR="00391F32" w14:paraId="78065768" w14:textId="77777777">
        <w:trPr>
          <w:trHeight w:val="382"/>
        </w:trPr>
        <w:tc>
          <w:tcPr>
            <w:tcW w:w="1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5551B7" w14:textId="77777777" w:rsidR="00391F32" w:rsidRDefault="00A609C6">
            <w:pPr>
              <w:spacing w:after="0" w:line="240" w:lineRule="auto"/>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Head-neck squamous cell carcinoma (HNSC)</w:t>
            </w:r>
          </w:p>
        </w:tc>
        <w:tc>
          <w:tcPr>
            <w:tcW w:w="945" w:type="dxa"/>
            <w:tcBorders>
              <w:top w:val="nil"/>
              <w:left w:val="nil"/>
              <w:bottom w:val="single" w:sz="8" w:space="0" w:color="000000"/>
              <w:right w:val="single" w:sz="8" w:space="0" w:color="000000"/>
            </w:tcBorders>
            <w:tcMar>
              <w:top w:w="100" w:type="dxa"/>
              <w:left w:w="100" w:type="dxa"/>
              <w:bottom w:w="100" w:type="dxa"/>
              <w:right w:w="100" w:type="dxa"/>
            </w:tcMar>
          </w:tcPr>
          <w:p w14:paraId="4C2C8829" w14:textId="77777777" w:rsidR="00391F32" w:rsidRDefault="00A609C6">
            <w:pPr>
              <w:spacing w:after="0"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522</w:t>
            </w:r>
          </w:p>
        </w:tc>
        <w:tc>
          <w:tcPr>
            <w:tcW w:w="4365" w:type="dxa"/>
            <w:vMerge/>
            <w:tcBorders>
              <w:top w:val="nil"/>
              <w:left w:val="nil"/>
              <w:bottom w:val="single" w:sz="8" w:space="0" w:color="000000"/>
              <w:right w:val="single" w:sz="8" w:space="0" w:color="000000"/>
            </w:tcBorders>
            <w:tcMar>
              <w:top w:w="100" w:type="dxa"/>
              <w:left w:w="100" w:type="dxa"/>
              <w:bottom w:w="100" w:type="dxa"/>
              <w:right w:w="100" w:type="dxa"/>
            </w:tcMar>
          </w:tcPr>
          <w:p w14:paraId="63706CF3" w14:textId="77777777" w:rsidR="00391F32" w:rsidRDefault="00391F32">
            <w:pPr>
              <w:spacing w:after="0" w:line="240" w:lineRule="auto"/>
              <w:rPr>
                <w:rFonts w:ascii="Times New Roman" w:eastAsia="Times New Roman" w:hAnsi="Times New Roman" w:cs="Times New Roman"/>
                <w:sz w:val="16"/>
                <w:szCs w:val="16"/>
              </w:rPr>
            </w:pPr>
          </w:p>
        </w:tc>
        <w:tc>
          <w:tcPr>
            <w:tcW w:w="1605" w:type="dxa"/>
            <w:vMerge/>
            <w:tcBorders>
              <w:top w:val="nil"/>
              <w:left w:val="nil"/>
              <w:bottom w:val="single" w:sz="8" w:space="0" w:color="000000"/>
              <w:right w:val="single" w:sz="8" w:space="0" w:color="000000"/>
            </w:tcBorders>
            <w:tcMar>
              <w:top w:w="100" w:type="dxa"/>
              <w:left w:w="100" w:type="dxa"/>
              <w:bottom w:w="100" w:type="dxa"/>
              <w:right w:w="100" w:type="dxa"/>
            </w:tcMar>
          </w:tcPr>
          <w:p w14:paraId="6B10A13B" w14:textId="77777777" w:rsidR="00391F32" w:rsidRDefault="00391F32">
            <w:pPr>
              <w:spacing w:after="0" w:line="240" w:lineRule="auto"/>
              <w:rPr>
                <w:rFonts w:ascii="Times New Roman" w:eastAsia="Times New Roman" w:hAnsi="Times New Roman" w:cs="Times New Roman"/>
                <w:sz w:val="16"/>
                <w:szCs w:val="16"/>
              </w:rPr>
            </w:pPr>
          </w:p>
        </w:tc>
      </w:tr>
      <w:tr w:rsidR="00391F32" w14:paraId="053DFFA7" w14:textId="77777777">
        <w:trPr>
          <w:trHeight w:val="442"/>
        </w:trPr>
        <w:tc>
          <w:tcPr>
            <w:tcW w:w="1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541E1B" w14:textId="77777777" w:rsidR="00391F32" w:rsidRDefault="00A609C6">
            <w:pPr>
              <w:spacing w:after="0" w:line="240" w:lineRule="auto"/>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Clear cell renal cell carcinoma (KIRC)</w:t>
            </w:r>
          </w:p>
        </w:tc>
        <w:tc>
          <w:tcPr>
            <w:tcW w:w="945" w:type="dxa"/>
            <w:tcBorders>
              <w:top w:val="nil"/>
              <w:left w:val="nil"/>
              <w:bottom w:val="single" w:sz="8" w:space="0" w:color="000000"/>
              <w:right w:val="single" w:sz="8" w:space="0" w:color="000000"/>
            </w:tcBorders>
            <w:tcMar>
              <w:top w:w="100" w:type="dxa"/>
              <w:left w:w="100" w:type="dxa"/>
              <w:bottom w:w="100" w:type="dxa"/>
              <w:right w:w="100" w:type="dxa"/>
            </w:tcMar>
          </w:tcPr>
          <w:p w14:paraId="0413A5E3" w14:textId="77777777" w:rsidR="00391F32" w:rsidRDefault="00A609C6">
            <w:pPr>
              <w:spacing w:after="0"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534</w:t>
            </w:r>
          </w:p>
        </w:tc>
        <w:tc>
          <w:tcPr>
            <w:tcW w:w="4365" w:type="dxa"/>
            <w:vMerge/>
            <w:tcBorders>
              <w:top w:val="nil"/>
              <w:left w:val="nil"/>
              <w:bottom w:val="single" w:sz="8" w:space="0" w:color="000000"/>
              <w:right w:val="single" w:sz="8" w:space="0" w:color="000000"/>
            </w:tcBorders>
            <w:tcMar>
              <w:top w:w="100" w:type="dxa"/>
              <w:left w:w="100" w:type="dxa"/>
              <w:bottom w:w="100" w:type="dxa"/>
              <w:right w:w="100" w:type="dxa"/>
            </w:tcMar>
          </w:tcPr>
          <w:p w14:paraId="00CFB229" w14:textId="77777777" w:rsidR="00391F32" w:rsidRDefault="00391F32">
            <w:pPr>
              <w:spacing w:after="0" w:line="240" w:lineRule="auto"/>
              <w:rPr>
                <w:rFonts w:ascii="Times New Roman" w:eastAsia="Times New Roman" w:hAnsi="Times New Roman" w:cs="Times New Roman"/>
                <w:sz w:val="16"/>
                <w:szCs w:val="16"/>
              </w:rPr>
            </w:pPr>
          </w:p>
        </w:tc>
        <w:tc>
          <w:tcPr>
            <w:tcW w:w="1605" w:type="dxa"/>
            <w:vMerge/>
            <w:tcBorders>
              <w:top w:val="nil"/>
              <w:left w:val="nil"/>
              <w:bottom w:val="single" w:sz="8" w:space="0" w:color="000000"/>
              <w:right w:val="single" w:sz="8" w:space="0" w:color="000000"/>
            </w:tcBorders>
            <w:tcMar>
              <w:top w:w="100" w:type="dxa"/>
              <w:left w:w="100" w:type="dxa"/>
              <w:bottom w:w="100" w:type="dxa"/>
              <w:right w:w="100" w:type="dxa"/>
            </w:tcMar>
          </w:tcPr>
          <w:p w14:paraId="3AF28751" w14:textId="77777777" w:rsidR="00391F32" w:rsidRDefault="00391F32">
            <w:pPr>
              <w:spacing w:after="0" w:line="240" w:lineRule="auto"/>
              <w:rPr>
                <w:rFonts w:ascii="Times New Roman" w:eastAsia="Times New Roman" w:hAnsi="Times New Roman" w:cs="Times New Roman"/>
                <w:sz w:val="16"/>
                <w:szCs w:val="16"/>
              </w:rPr>
            </w:pPr>
          </w:p>
        </w:tc>
      </w:tr>
      <w:tr w:rsidR="00391F32" w14:paraId="1844352D" w14:textId="77777777">
        <w:trPr>
          <w:trHeight w:val="185"/>
        </w:trPr>
        <w:tc>
          <w:tcPr>
            <w:tcW w:w="1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8564B6" w14:textId="77777777" w:rsidR="00391F32" w:rsidRDefault="00A609C6">
            <w:pPr>
              <w:spacing w:after="0" w:line="240" w:lineRule="auto"/>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Low grade glioma (LGG)</w:t>
            </w:r>
          </w:p>
        </w:tc>
        <w:tc>
          <w:tcPr>
            <w:tcW w:w="945" w:type="dxa"/>
            <w:tcBorders>
              <w:top w:val="nil"/>
              <w:left w:val="nil"/>
              <w:bottom w:val="single" w:sz="8" w:space="0" w:color="000000"/>
              <w:right w:val="single" w:sz="8" w:space="0" w:color="000000"/>
            </w:tcBorders>
            <w:tcMar>
              <w:top w:w="100" w:type="dxa"/>
              <w:left w:w="100" w:type="dxa"/>
              <w:bottom w:w="100" w:type="dxa"/>
              <w:right w:w="100" w:type="dxa"/>
            </w:tcMar>
          </w:tcPr>
          <w:p w14:paraId="3675790D" w14:textId="77777777" w:rsidR="00391F32" w:rsidRDefault="00A609C6">
            <w:pPr>
              <w:spacing w:after="0"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530</w:t>
            </w:r>
          </w:p>
        </w:tc>
        <w:tc>
          <w:tcPr>
            <w:tcW w:w="4365" w:type="dxa"/>
            <w:vMerge/>
            <w:tcBorders>
              <w:top w:val="nil"/>
              <w:left w:val="nil"/>
              <w:bottom w:val="single" w:sz="8" w:space="0" w:color="000000"/>
              <w:right w:val="single" w:sz="8" w:space="0" w:color="000000"/>
            </w:tcBorders>
            <w:tcMar>
              <w:top w:w="100" w:type="dxa"/>
              <w:left w:w="100" w:type="dxa"/>
              <w:bottom w:w="100" w:type="dxa"/>
              <w:right w:w="100" w:type="dxa"/>
            </w:tcMar>
          </w:tcPr>
          <w:p w14:paraId="53B1C6E1" w14:textId="77777777" w:rsidR="00391F32" w:rsidRDefault="00391F32">
            <w:pPr>
              <w:spacing w:after="0" w:line="240" w:lineRule="auto"/>
              <w:rPr>
                <w:rFonts w:ascii="Times New Roman" w:eastAsia="Times New Roman" w:hAnsi="Times New Roman" w:cs="Times New Roman"/>
                <w:sz w:val="16"/>
                <w:szCs w:val="16"/>
              </w:rPr>
            </w:pPr>
          </w:p>
        </w:tc>
        <w:tc>
          <w:tcPr>
            <w:tcW w:w="1605" w:type="dxa"/>
            <w:vMerge/>
            <w:tcBorders>
              <w:top w:val="nil"/>
              <w:left w:val="nil"/>
              <w:bottom w:val="single" w:sz="8" w:space="0" w:color="000000"/>
              <w:right w:val="single" w:sz="8" w:space="0" w:color="000000"/>
            </w:tcBorders>
            <w:tcMar>
              <w:top w:w="100" w:type="dxa"/>
              <w:left w:w="100" w:type="dxa"/>
              <w:bottom w:w="100" w:type="dxa"/>
              <w:right w:w="100" w:type="dxa"/>
            </w:tcMar>
          </w:tcPr>
          <w:p w14:paraId="662799CD" w14:textId="77777777" w:rsidR="00391F32" w:rsidRDefault="00391F32">
            <w:pPr>
              <w:spacing w:after="0" w:line="240" w:lineRule="auto"/>
              <w:rPr>
                <w:rFonts w:ascii="Times New Roman" w:eastAsia="Times New Roman" w:hAnsi="Times New Roman" w:cs="Times New Roman"/>
                <w:sz w:val="16"/>
                <w:szCs w:val="16"/>
              </w:rPr>
            </w:pPr>
          </w:p>
        </w:tc>
      </w:tr>
      <w:tr w:rsidR="00391F32" w14:paraId="3B9973C2" w14:textId="77777777">
        <w:trPr>
          <w:trHeight w:val="217"/>
        </w:trPr>
        <w:tc>
          <w:tcPr>
            <w:tcW w:w="1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B8C1D0" w14:textId="77777777" w:rsidR="00391F32" w:rsidRDefault="00A609C6">
            <w:pPr>
              <w:spacing w:after="0" w:line="240" w:lineRule="auto"/>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Lung adenocarcinoma (LUAD)</w:t>
            </w:r>
          </w:p>
        </w:tc>
        <w:tc>
          <w:tcPr>
            <w:tcW w:w="945" w:type="dxa"/>
            <w:tcBorders>
              <w:top w:val="nil"/>
              <w:left w:val="nil"/>
              <w:bottom w:val="single" w:sz="8" w:space="0" w:color="000000"/>
              <w:right w:val="single" w:sz="8" w:space="0" w:color="000000"/>
            </w:tcBorders>
            <w:tcMar>
              <w:top w:w="100" w:type="dxa"/>
              <w:left w:w="100" w:type="dxa"/>
              <w:bottom w:w="100" w:type="dxa"/>
              <w:right w:w="100" w:type="dxa"/>
            </w:tcMar>
          </w:tcPr>
          <w:p w14:paraId="49F00075" w14:textId="77777777" w:rsidR="00391F32" w:rsidRDefault="00A609C6">
            <w:pPr>
              <w:spacing w:after="0"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517</w:t>
            </w:r>
          </w:p>
        </w:tc>
        <w:tc>
          <w:tcPr>
            <w:tcW w:w="4365" w:type="dxa"/>
            <w:vMerge/>
            <w:tcBorders>
              <w:top w:val="nil"/>
              <w:left w:val="nil"/>
              <w:bottom w:val="single" w:sz="8" w:space="0" w:color="000000"/>
              <w:right w:val="single" w:sz="8" w:space="0" w:color="000000"/>
            </w:tcBorders>
            <w:tcMar>
              <w:top w:w="100" w:type="dxa"/>
              <w:left w:w="100" w:type="dxa"/>
              <w:bottom w:w="100" w:type="dxa"/>
              <w:right w:w="100" w:type="dxa"/>
            </w:tcMar>
          </w:tcPr>
          <w:p w14:paraId="174E75AD" w14:textId="77777777" w:rsidR="00391F32" w:rsidRDefault="00391F32">
            <w:pPr>
              <w:spacing w:after="0" w:line="240" w:lineRule="auto"/>
              <w:rPr>
                <w:rFonts w:ascii="Times New Roman" w:eastAsia="Times New Roman" w:hAnsi="Times New Roman" w:cs="Times New Roman"/>
                <w:sz w:val="16"/>
                <w:szCs w:val="16"/>
              </w:rPr>
            </w:pPr>
          </w:p>
        </w:tc>
        <w:tc>
          <w:tcPr>
            <w:tcW w:w="1605" w:type="dxa"/>
            <w:vMerge/>
            <w:tcBorders>
              <w:top w:val="nil"/>
              <w:left w:val="nil"/>
              <w:bottom w:val="single" w:sz="8" w:space="0" w:color="000000"/>
              <w:right w:val="single" w:sz="8" w:space="0" w:color="000000"/>
            </w:tcBorders>
            <w:tcMar>
              <w:top w:w="100" w:type="dxa"/>
              <w:left w:w="100" w:type="dxa"/>
              <w:bottom w:w="100" w:type="dxa"/>
              <w:right w:w="100" w:type="dxa"/>
            </w:tcMar>
          </w:tcPr>
          <w:p w14:paraId="38053A46" w14:textId="77777777" w:rsidR="00391F32" w:rsidRDefault="00391F32">
            <w:pPr>
              <w:spacing w:after="0" w:line="240" w:lineRule="auto"/>
              <w:rPr>
                <w:rFonts w:ascii="Times New Roman" w:eastAsia="Times New Roman" w:hAnsi="Times New Roman" w:cs="Times New Roman"/>
                <w:sz w:val="16"/>
                <w:szCs w:val="16"/>
              </w:rPr>
            </w:pPr>
          </w:p>
        </w:tc>
      </w:tr>
      <w:tr w:rsidR="00391F32" w14:paraId="5D83ACC9" w14:textId="77777777">
        <w:trPr>
          <w:trHeight w:val="352"/>
        </w:trPr>
        <w:tc>
          <w:tcPr>
            <w:tcW w:w="1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FABBA3" w14:textId="77777777" w:rsidR="00391F32" w:rsidRDefault="00A609C6">
            <w:pPr>
              <w:spacing w:after="0" w:line="240" w:lineRule="auto"/>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Lung squamous cell carcinoma (LUSC)</w:t>
            </w:r>
          </w:p>
        </w:tc>
        <w:tc>
          <w:tcPr>
            <w:tcW w:w="945" w:type="dxa"/>
            <w:tcBorders>
              <w:top w:val="nil"/>
              <w:left w:val="nil"/>
              <w:bottom w:val="single" w:sz="8" w:space="0" w:color="000000"/>
              <w:right w:val="single" w:sz="8" w:space="0" w:color="000000"/>
            </w:tcBorders>
            <w:tcMar>
              <w:top w:w="100" w:type="dxa"/>
              <w:left w:w="100" w:type="dxa"/>
              <w:bottom w:w="100" w:type="dxa"/>
              <w:right w:w="100" w:type="dxa"/>
            </w:tcMar>
          </w:tcPr>
          <w:p w14:paraId="15FD0DBF" w14:textId="77777777" w:rsidR="00391F32" w:rsidRDefault="00A609C6">
            <w:pPr>
              <w:spacing w:after="0"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501</w:t>
            </w:r>
          </w:p>
        </w:tc>
        <w:tc>
          <w:tcPr>
            <w:tcW w:w="4365" w:type="dxa"/>
            <w:vMerge/>
            <w:tcBorders>
              <w:top w:val="nil"/>
              <w:left w:val="nil"/>
              <w:bottom w:val="single" w:sz="8" w:space="0" w:color="000000"/>
              <w:right w:val="single" w:sz="8" w:space="0" w:color="000000"/>
            </w:tcBorders>
            <w:tcMar>
              <w:top w:w="100" w:type="dxa"/>
              <w:left w:w="100" w:type="dxa"/>
              <w:bottom w:w="100" w:type="dxa"/>
              <w:right w:w="100" w:type="dxa"/>
            </w:tcMar>
          </w:tcPr>
          <w:p w14:paraId="28050E56" w14:textId="77777777" w:rsidR="00391F32" w:rsidRDefault="00391F32">
            <w:pPr>
              <w:spacing w:after="0" w:line="240" w:lineRule="auto"/>
              <w:rPr>
                <w:rFonts w:ascii="Times New Roman" w:eastAsia="Times New Roman" w:hAnsi="Times New Roman" w:cs="Times New Roman"/>
                <w:sz w:val="16"/>
                <w:szCs w:val="16"/>
              </w:rPr>
            </w:pPr>
          </w:p>
        </w:tc>
        <w:tc>
          <w:tcPr>
            <w:tcW w:w="1605" w:type="dxa"/>
            <w:vMerge/>
            <w:tcBorders>
              <w:top w:val="nil"/>
              <w:left w:val="nil"/>
              <w:bottom w:val="single" w:sz="8" w:space="0" w:color="000000"/>
              <w:right w:val="single" w:sz="8" w:space="0" w:color="000000"/>
            </w:tcBorders>
            <w:tcMar>
              <w:top w:w="100" w:type="dxa"/>
              <w:left w:w="100" w:type="dxa"/>
              <w:bottom w:w="100" w:type="dxa"/>
              <w:right w:w="100" w:type="dxa"/>
            </w:tcMar>
          </w:tcPr>
          <w:p w14:paraId="6503CAB0" w14:textId="77777777" w:rsidR="00391F32" w:rsidRDefault="00391F32">
            <w:pPr>
              <w:spacing w:after="0" w:line="240" w:lineRule="auto"/>
              <w:rPr>
                <w:rFonts w:ascii="Times New Roman" w:eastAsia="Times New Roman" w:hAnsi="Times New Roman" w:cs="Times New Roman"/>
                <w:sz w:val="16"/>
                <w:szCs w:val="16"/>
              </w:rPr>
            </w:pPr>
          </w:p>
        </w:tc>
      </w:tr>
      <w:tr w:rsidR="00391F32" w14:paraId="3188A400" w14:textId="77777777">
        <w:trPr>
          <w:trHeight w:val="367"/>
        </w:trPr>
        <w:tc>
          <w:tcPr>
            <w:tcW w:w="1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88759C" w14:textId="77777777" w:rsidR="00391F32" w:rsidRDefault="00A609C6">
            <w:pPr>
              <w:spacing w:after="0" w:line="240" w:lineRule="auto"/>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Prostate adenocarcinoma (PRAD) </w:t>
            </w:r>
          </w:p>
        </w:tc>
        <w:tc>
          <w:tcPr>
            <w:tcW w:w="945" w:type="dxa"/>
            <w:tcBorders>
              <w:top w:val="nil"/>
              <w:left w:val="nil"/>
              <w:bottom w:val="single" w:sz="8" w:space="0" w:color="000000"/>
              <w:right w:val="single" w:sz="8" w:space="0" w:color="000000"/>
            </w:tcBorders>
            <w:tcMar>
              <w:top w:w="100" w:type="dxa"/>
              <w:left w:w="100" w:type="dxa"/>
              <w:bottom w:w="100" w:type="dxa"/>
              <w:right w:w="100" w:type="dxa"/>
            </w:tcMar>
          </w:tcPr>
          <w:p w14:paraId="5114AC4D" w14:textId="77777777" w:rsidR="00391F32" w:rsidRDefault="00A609C6">
            <w:pPr>
              <w:spacing w:after="0"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498</w:t>
            </w:r>
          </w:p>
        </w:tc>
        <w:tc>
          <w:tcPr>
            <w:tcW w:w="4365" w:type="dxa"/>
            <w:vMerge/>
            <w:tcBorders>
              <w:top w:val="nil"/>
              <w:left w:val="nil"/>
              <w:bottom w:val="single" w:sz="8" w:space="0" w:color="000000"/>
              <w:right w:val="single" w:sz="8" w:space="0" w:color="000000"/>
            </w:tcBorders>
            <w:tcMar>
              <w:top w:w="100" w:type="dxa"/>
              <w:left w:w="100" w:type="dxa"/>
              <w:bottom w:w="100" w:type="dxa"/>
              <w:right w:w="100" w:type="dxa"/>
            </w:tcMar>
          </w:tcPr>
          <w:p w14:paraId="2122DC84" w14:textId="77777777" w:rsidR="00391F32" w:rsidRDefault="00391F32">
            <w:pPr>
              <w:spacing w:after="0" w:line="240" w:lineRule="auto"/>
              <w:rPr>
                <w:rFonts w:ascii="Times New Roman" w:eastAsia="Times New Roman" w:hAnsi="Times New Roman" w:cs="Times New Roman"/>
                <w:sz w:val="16"/>
                <w:szCs w:val="16"/>
              </w:rPr>
            </w:pPr>
          </w:p>
        </w:tc>
        <w:tc>
          <w:tcPr>
            <w:tcW w:w="1605" w:type="dxa"/>
            <w:vMerge/>
            <w:tcBorders>
              <w:top w:val="nil"/>
              <w:left w:val="nil"/>
              <w:bottom w:val="single" w:sz="8" w:space="0" w:color="000000"/>
              <w:right w:val="single" w:sz="8" w:space="0" w:color="000000"/>
            </w:tcBorders>
            <w:tcMar>
              <w:top w:w="100" w:type="dxa"/>
              <w:left w:w="100" w:type="dxa"/>
              <w:bottom w:w="100" w:type="dxa"/>
              <w:right w:w="100" w:type="dxa"/>
            </w:tcMar>
          </w:tcPr>
          <w:p w14:paraId="517285ED" w14:textId="77777777" w:rsidR="00391F32" w:rsidRDefault="00391F32">
            <w:pPr>
              <w:spacing w:after="0" w:line="240" w:lineRule="auto"/>
              <w:rPr>
                <w:rFonts w:ascii="Times New Roman" w:eastAsia="Times New Roman" w:hAnsi="Times New Roman" w:cs="Times New Roman"/>
                <w:sz w:val="16"/>
                <w:szCs w:val="16"/>
              </w:rPr>
            </w:pPr>
          </w:p>
        </w:tc>
      </w:tr>
      <w:tr w:rsidR="00391F32" w14:paraId="2631C098" w14:textId="77777777">
        <w:trPr>
          <w:trHeight w:val="570"/>
        </w:trPr>
        <w:tc>
          <w:tcPr>
            <w:tcW w:w="1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851BD" w14:textId="77777777" w:rsidR="00391F32" w:rsidRDefault="00A609C6">
            <w:pPr>
              <w:spacing w:after="0" w:line="240" w:lineRule="auto"/>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Skin cutaneous melanoma (SKCM)</w:t>
            </w:r>
          </w:p>
        </w:tc>
        <w:tc>
          <w:tcPr>
            <w:tcW w:w="945" w:type="dxa"/>
            <w:tcBorders>
              <w:top w:val="nil"/>
              <w:left w:val="nil"/>
              <w:bottom w:val="single" w:sz="8" w:space="0" w:color="000000"/>
              <w:right w:val="single" w:sz="8" w:space="0" w:color="000000"/>
            </w:tcBorders>
            <w:tcMar>
              <w:top w:w="100" w:type="dxa"/>
              <w:left w:w="100" w:type="dxa"/>
              <w:bottom w:w="100" w:type="dxa"/>
              <w:right w:w="100" w:type="dxa"/>
            </w:tcMar>
          </w:tcPr>
          <w:p w14:paraId="7434B346" w14:textId="77777777" w:rsidR="00391F32" w:rsidRDefault="00A609C6">
            <w:pPr>
              <w:spacing w:after="0"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472</w:t>
            </w:r>
          </w:p>
        </w:tc>
        <w:tc>
          <w:tcPr>
            <w:tcW w:w="4365" w:type="dxa"/>
            <w:vMerge/>
            <w:tcBorders>
              <w:top w:val="nil"/>
              <w:left w:val="nil"/>
              <w:bottom w:val="single" w:sz="8" w:space="0" w:color="000000"/>
              <w:right w:val="single" w:sz="8" w:space="0" w:color="000000"/>
            </w:tcBorders>
            <w:tcMar>
              <w:top w:w="100" w:type="dxa"/>
              <w:left w:w="100" w:type="dxa"/>
              <w:bottom w:w="100" w:type="dxa"/>
              <w:right w:w="100" w:type="dxa"/>
            </w:tcMar>
          </w:tcPr>
          <w:p w14:paraId="24CE68B0" w14:textId="77777777" w:rsidR="00391F32" w:rsidRDefault="00391F32">
            <w:pPr>
              <w:spacing w:after="0" w:line="240" w:lineRule="auto"/>
              <w:rPr>
                <w:rFonts w:ascii="Times New Roman" w:eastAsia="Times New Roman" w:hAnsi="Times New Roman" w:cs="Times New Roman"/>
                <w:sz w:val="16"/>
                <w:szCs w:val="16"/>
              </w:rPr>
            </w:pPr>
          </w:p>
        </w:tc>
        <w:tc>
          <w:tcPr>
            <w:tcW w:w="1605" w:type="dxa"/>
            <w:vMerge/>
            <w:tcBorders>
              <w:top w:val="nil"/>
              <w:left w:val="nil"/>
              <w:bottom w:val="single" w:sz="8" w:space="0" w:color="000000"/>
              <w:right w:val="single" w:sz="8" w:space="0" w:color="000000"/>
            </w:tcBorders>
            <w:tcMar>
              <w:top w:w="100" w:type="dxa"/>
              <w:left w:w="100" w:type="dxa"/>
              <w:bottom w:w="100" w:type="dxa"/>
              <w:right w:w="100" w:type="dxa"/>
            </w:tcMar>
          </w:tcPr>
          <w:p w14:paraId="1D92DCEA" w14:textId="77777777" w:rsidR="00391F32" w:rsidRDefault="00391F32">
            <w:pPr>
              <w:spacing w:after="0" w:line="240" w:lineRule="auto"/>
              <w:rPr>
                <w:rFonts w:ascii="Times New Roman" w:eastAsia="Times New Roman" w:hAnsi="Times New Roman" w:cs="Times New Roman"/>
                <w:sz w:val="16"/>
                <w:szCs w:val="16"/>
              </w:rPr>
            </w:pPr>
          </w:p>
        </w:tc>
      </w:tr>
      <w:tr w:rsidR="00391F32" w14:paraId="752198D5" w14:textId="77777777">
        <w:trPr>
          <w:trHeight w:val="570"/>
        </w:trPr>
        <w:tc>
          <w:tcPr>
            <w:tcW w:w="1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B65AEA" w14:textId="77777777" w:rsidR="00391F32" w:rsidRDefault="00A609C6">
            <w:pPr>
              <w:spacing w:after="0" w:line="240" w:lineRule="auto"/>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Stomach adenocarcinoma (STAD)</w:t>
            </w:r>
          </w:p>
        </w:tc>
        <w:tc>
          <w:tcPr>
            <w:tcW w:w="945" w:type="dxa"/>
            <w:tcBorders>
              <w:top w:val="nil"/>
              <w:left w:val="nil"/>
              <w:bottom w:val="single" w:sz="8" w:space="0" w:color="000000"/>
              <w:right w:val="single" w:sz="8" w:space="0" w:color="000000"/>
            </w:tcBorders>
            <w:tcMar>
              <w:top w:w="100" w:type="dxa"/>
              <w:left w:w="100" w:type="dxa"/>
              <w:bottom w:w="100" w:type="dxa"/>
              <w:right w:w="100" w:type="dxa"/>
            </w:tcMar>
          </w:tcPr>
          <w:p w14:paraId="37CA98BA" w14:textId="77777777" w:rsidR="00391F32" w:rsidRDefault="00A609C6">
            <w:pPr>
              <w:spacing w:after="0"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415</w:t>
            </w:r>
          </w:p>
        </w:tc>
        <w:tc>
          <w:tcPr>
            <w:tcW w:w="4365" w:type="dxa"/>
            <w:vMerge/>
            <w:tcBorders>
              <w:top w:val="nil"/>
              <w:left w:val="nil"/>
              <w:bottom w:val="single" w:sz="8" w:space="0" w:color="000000"/>
              <w:right w:val="single" w:sz="8" w:space="0" w:color="000000"/>
            </w:tcBorders>
            <w:tcMar>
              <w:top w:w="100" w:type="dxa"/>
              <w:left w:w="100" w:type="dxa"/>
              <w:bottom w:w="100" w:type="dxa"/>
              <w:right w:w="100" w:type="dxa"/>
            </w:tcMar>
          </w:tcPr>
          <w:p w14:paraId="7251E99D" w14:textId="77777777" w:rsidR="00391F32" w:rsidRDefault="00391F32">
            <w:pPr>
              <w:spacing w:after="0" w:line="240" w:lineRule="auto"/>
              <w:rPr>
                <w:rFonts w:ascii="Times New Roman" w:eastAsia="Times New Roman" w:hAnsi="Times New Roman" w:cs="Times New Roman"/>
                <w:sz w:val="16"/>
                <w:szCs w:val="16"/>
              </w:rPr>
            </w:pPr>
          </w:p>
        </w:tc>
        <w:tc>
          <w:tcPr>
            <w:tcW w:w="1605" w:type="dxa"/>
            <w:vMerge/>
            <w:tcBorders>
              <w:top w:val="nil"/>
              <w:left w:val="nil"/>
              <w:bottom w:val="single" w:sz="8" w:space="0" w:color="000000"/>
              <w:right w:val="single" w:sz="8" w:space="0" w:color="000000"/>
            </w:tcBorders>
            <w:tcMar>
              <w:top w:w="100" w:type="dxa"/>
              <w:left w:w="100" w:type="dxa"/>
              <w:bottom w:w="100" w:type="dxa"/>
              <w:right w:w="100" w:type="dxa"/>
            </w:tcMar>
          </w:tcPr>
          <w:p w14:paraId="4B7C2844" w14:textId="77777777" w:rsidR="00391F32" w:rsidRDefault="00391F32">
            <w:pPr>
              <w:spacing w:after="0" w:line="240" w:lineRule="auto"/>
              <w:rPr>
                <w:rFonts w:ascii="Times New Roman" w:eastAsia="Times New Roman" w:hAnsi="Times New Roman" w:cs="Times New Roman"/>
                <w:sz w:val="16"/>
                <w:szCs w:val="16"/>
              </w:rPr>
            </w:pPr>
          </w:p>
        </w:tc>
      </w:tr>
      <w:tr w:rsidR="00391F32" w14:paraId="22AF483D" w14:textId="77777777">
        <w:trPr>
          <w:trHeight w:val="570"/>
        </w:trPr>
        <w:tc>
          <w:tcPr>
            <w:tcW w:w="1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F1254E" w14:textId="77777777" w:rsidR="00391F32" w:rsidRDefault="00A609C6">
            <w:pPr>
              <w:spacing w:after="0" w:line="240" w:lineRule="auto"/>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Thyroid carcinoma (THCA) </w:t>
            </w:r>
          </w:p>
        </w:tc>
        <w:tc>
          <w:tcPr>
            <w:tcW w:w="945" w:type="dxa"/>
            <w:tcBorders>
              <w:top w:val="nil"/>
              <w:left w:val="nil"/>
              <w:bottom w:val="single" w:sz="8" w:space="0" w:color="000000"/>
              <w:right w:val="single" w:sz="8" w:space="0" w:color="000000"/>
            </w:tcBorders>
            <w:tcMar>
              <w:top w:w="100" w:type="dxa"/>
              <w:left w:w="100" w:type="dxa"/>
              <w:bottom w:w="100" w:type="dxa"/>
              <w:right w:w="100" w:type="dxa"/>
            </w:tcMar>
          </w:tcPr>
          <w:p w14:paraId="5230F9FA" w14:textId="77777777" w:rsidR="00391F32" w:rsidRDefault="00A609C6">
            <w:pPr>
              <w:spacing w:after="0"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509</w:t>
            </w:r>
          </w:p>
        </w:tc>
        <w:tc>
          <w:tcPr>
            <w:tcW w:w="4365" w:type="dxa"/>
            <w:vMerge/>
            <w:tcBorders>
              <w:top w:val="nil"/>
              <w:left w:val="nil"/>
              <w:bottom w:val="single" w:sz="8" w:space="0" w:color="000000"/>
              <w:right w:val="single" w:sz="8" w:space="0" w:color="000000"/>
            </w:tcBorders>
            <w:tcMar>
              <w:top w:w="100" w:type="dxa"/>
              <w:left w:w="100" w:type="dxa"/>
              <w:bottom w:w="100" w:type="dxa"/>
              <w:right w:w="100" w:type="dxa"/>
            </w:tcMar>
          </w:tcPr>
          <w:p w14:paraId="3BF2C117" w14:textId="77777777" w:rsidR="00391F32" w:rsidRDefault="00391F32">
            <w:pPr>
              <w:spacing w:after="0" w:line="240" w:lineRule="auto"/>
              <w:rPr>
                <w:rFonts w:ascii="Times New Roman" w:eastAsia="Times New Roman" w:hAnsi="Times New Roman" w:cs="Times New Roman"/>
                <w:sz w:val="16"/>
                <w:szCs w:val="16"/>
              </w:rPr>
            </w:pPr>
          </w:p>
        </w:tc>
        <w:tc>
          <w:tcPr>
            <w:tcW w:w="1605" w:type="dxa"/>
            <w:vMerge/>
            <w:tcBorders>
              <w:top w:val="nil"/>
              <w:left w:val="nil"/>
              <w:bottom w:val="single" w:sz="8" w:space="0" w:color="000000"/>
              <w:right w:val="single" w:sz="8" w:space="0" w:color="000000"/>
            </w:tcBorders>
            <w:tcMar>
              <w:top w:w="100" w:type="dxa"/>
              <w:left w:w="100" w:type="dxa"/>
              <w:bottom w:w="100" w:type="dxa"/>
              <w:right w:w="100" w:type="dxa"/>
            </w:tcMar>
          </w:tcPr>
          <w:p w14:paraId="6AE65DF4" w14:textId="77777777" w:rsidR="00391F32" w:rsidRDefault="00391F32">
            <w:pPr>
              <w:spacing w:after="0" w:line="240" w:lineRule="auto"/>
              <w:rPr>
                <w:rFonts w:ascii="Times New Roman" w:eastAsia="Times New Roman" w:hAnsi="Times New Roman" w:cs="Times New Roman"/>
                <w:sz w:val="16"/>
                <w:szCs w:val="16"/>
              </w:rPr>
            </w:pPr>
          </w:p>
        </w:tc>
      </w:tr>
    </w:tbl>
    <w:p w14:paraId="39730388" w14:textId="77777777" w:rsidR="00391F32" w:rsidRDefault="00391F32">
      <w:pPr>
        <w:spacing w:after="0"/>
        <w:rPr>
          <w:rFonts w:ascii="Arial" w:eastAsia="Arial" w:hAnsi="Arial" w:cs="Arial"/>
          <w:b/>
          <w:sz w:val="24"/>
          <w:szCs w:val="24"/>
        </w:rPr>
      </w:pPr>
    </w:p>
    <w:p w14:paraId="00EABD99" w14:textId="77777777" w:rsidR="00950376" w:rsidRDefault="00950376">
      <w:pPr>
        <w:rPr>
          <w:rFonts w:ascii="Times New Roman" w:eastAsia="Times New Roman" w:hAnsi="Times New Roman" w:cs="Times New Roman"/>
          <w:b/>
          <w:sz w:val="24"/>
          <w:szCs w:val="24"/>
        </w:rPr>
      </w:pPr>
    </w:p>
    <w:p w14:paraId="0C5B5B2A" w14:textId="6AF62B5F" w:rsidR="00391F32" w:rsidRDefault="00A609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S2. The setting of key parameters of LTMR functions in this study</w:t>
      </w:r>
    </w:p>
    <w:tbl>
      <w:tblPr>
        <w:tblStyle w:val="a0"/>
        <w:tblW w:w="8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1425"/>
        <w:gridCol w:w="1440"/>
        <w:gridCol w:w="1470"/>
        <w:gridCol w:w="2610"/>
      </w:tblGrid>
      <w:tr w:rsidR="00391F32" w14:paraId="38F192C7" w14:textId="77777777">
        <w:tc>
          <w:tcPr>
            <w:tcW w:w="1845" w:type="dxa"/>
            <w:shd w:val="clear" w:color="auto" w:fill="auto"/>
            <w:tcMar>
              <w:top w:w="100" w:type="dxa"/>
              <w:left w:w="100" w:type="dxa"/>
              <w:bottom w:w="100" w:type="dxa"/>
              <w:right w:w="100" w:type="dxa"/>
            </w:tcMar>
          </w:tcPr>
          <w:p w14:paraId="27C51D2C" w14:textId="77777777" w:rsidR="00391F32" w:rsidRDefault="00A609C6">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Function name</w:t>
            </w:r>
          </w:p>
        </w:tc>
        <w:tc>
          <w:tcPr>
            <w:tcW w:w="1425" w:type="dxa"/>
            <w:shd w:val="clear" w:color="auto" w:fill="auto"/>
            <w:tcMar>
              <w:top w:w="100" w:type="dxa"/>
              <w:left w:w="100" w:type="dxa"/>
              <w:bottom w:w="100" w:type="dxa"/>
              <w:right w:w="100" w:type="dxa"/>
            </w:tcMar>
          </w:tcPr>
          <w:p w14:paraId="4FFCDC54" w14:textId="77777777" w:rsidR="00391F32" w:rsidRDefault="00A609C6">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PG</w:t>
            </w:r>
          </w:p>
        </w:tc>
        <w:tc>
          <w:tcPr>
            <w:tcW w:w="1440" w:type="dxa"/>
            <w:shd w:val="clear" w:color="auto" w:fill="auto"/>
            <w:tcMar>
              <w:top w:w="100" w:type="dxa"/>
              <w:left w:w="100" w:type="dxa"/>
              <w:bottom w:w="100" w:type="dxa"/>
              <w:right w:w="100" w:type="dxa"/>
            </w:tcMar>
          </w:tcPr>
          <w:p w14:paraId="329D56F6" w14:textId="77777777" w:rsidR="00391F32" w:rsidRDefault="00A609C6">
            <w:pPr>
              <w:widowControl w:val="0"/>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GTExSE</w:t>
            </w:r>
            <w:proofErr w:type="spellEnd"/>
          </w:p>
        </w:tc>
        <w:tc>
          <w:tcPr>
            <w:tcW w:w="1470" w:type="dxa"/>
            <w:shd w:val="clear" w:color="auto" w:fill="auto"/>
            <w:tcMar>
              <w:top w:w="100" w:type="dxa"/>
              <w:left w:w="100" w:type="dxa"/>
              <w:bottom w:w="100" w:type="dxa"/>
              <w:right w:w="100" w:type="dxa"/>
            </w:tcMar>
          </w:tcPr>
          <w:p w14:paraId="591DEA0A" w14:textId="77777777" w:rsidR="00391F32" w:rsidRDefault="00A609C6">
            <w:pPr>
              <w:widowControl w:val="0"/>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GTExNSE</w:t>
            </w:r>
            <w:proofErr w:type="spellEnd"/>
          </w:p>
        </w:tc>
        <w:tc>
          <w:tcPr>
            <w:tcW w:w="2610" w:type="dxa"/>
            <w:shd w:val="clear" w:color="auto" w:fill="auto"/>
            <w:tcMar>
              <w:top w:w="100" w:type="dxa"/>
              <w:left w:w="100" w:type="dxa"/>
              <w:bottom w:w="100" w:type="dxa"/>
              <w:right w:w="100" w:type="dxa"/>
            </w:tcMar>
          </w:tcPr>
          <w:p w14:paraId="6BA87731" w14:textId="77777777" w:rsidR="00391F32" w:rsidRDefault="00A609C6">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11 TCGA cancer types</w:t>
            </w:r>
          </w:p>
        </w:tc>
      </w:tr>
      <w:tr w:rsidR="00391F32" w14:paraId="10407E3C" w14:textId="77777777">
        <w:trPr>
          <w:trHeight w:val="400"/>
        </w:trPr>
        <w:tc>
          <w:tcPr>
            <w:tcW w:w="1845" w:type="dxa"/>
            <w:shd w:val="clear" w:color="auto" w:fill="auto"/>
            <w:tcMar>
              <w:top w:w="100" w:type="dxa"/>
              <w:left w:w="100" w:type="dxa"/>
              <w:bottom w:w="100" w:type="dxa"/>
              <w:right w:w="100" w:type="dxa"/>
            </w:tcMar>
          </w:tcPr>
          <w:p w14:paraId="2698BF6D" w14:textId="77777777" w:rsidR="00391F32" w:rsidRDefault="00A609C6">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LTMprep</w:t>
            </w:r>
            <w:proofErr w:type="spellEnd"/>
          </w:p>
        </w:tc>
        <w:tc>
          <w:tcPr>
            <w:tcW w:w="4335" w:type="dxa"/>
            <w:gridSpan w:val="3"/>
            <w:shd w:val="clear" w:color="auto" w:fill="auto"/>
            <w:tcMar>
              <w:top w:w="100" w:type="dxa"/>
              <w:left w:w="100" w:type="dxa"/>
              <w:bottom w:w="100" w:type="dxa"/>
              <w:right w:w="100" w:type="dxa"/>
            </w:tcMar>
          </w:tcPr>
          <w:p w14:paraId="4CF477FD" w14:textId="77777777" w:rsidR="00391F32" w:rsidRDefault="00A609C6">
            <w:pPr>
              <w:widowControl w:val="0"/>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quantNorm</w:t>
            </w:r>
            <w:proofErr w:type="spellEnd"/>
            <w:r>
              <w:rPr>
                <w:rFonts w:ascii="Times New Roman" w:eastAsia="Times New Roman" w:hAnsi="Times New Roman" w:cs="Times New Roman"/>
                <w:sz w:val="20"/>
                <w:szCs w:val="20"/>
              </w:rPr>
              <w:t xml:space="preserve"> = TRUE,</w:t>
            </w:r>
          </w:p>
          <w:p w14:paraId="59ABF203" w14:textId="77777777" w:rsidR="00391F32" w:rsidRDefault="00A609C6">
            <w:pPr>
              <w:widowControl w:val="0"/>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uniStyle</w:t>
            </w:r>
            <w:proofErr w:type="spellEnd"/>
            <w:r>
              <w:rPr>
                <w:rFonts w:ascii="Times New Roman" w:eastAsia="Times New Roman" w:hAnsi="Times New Roman" w:cs="Times New Roman"/>
                <w:sz w:val="20"/>
                <w:szCs w:val="20"/>
              </w:rPr>
              <w:t xml:space="preserve"> = "mad", </w:t>
            </w:r>
          </w:p>
          <w:p w14:paraId="34703369" w14:textId="77777777" w:rsidR="00391F32" w:rsidRDefault="00A609C6">
            <w:pPr>
              <w:widowControl w:val="0"/>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removeLowQuant</w:t>
            </w:r>
            <w:proofErr w:type="spellEnd"/>
            <w:r>
              <w:rPr>
                <w:rFonts w:ascii="Times New Roman" w:eastAsia="Times New Roman" w:hAnsi="Times New Roman" w:cs="Times New Roman"/>
                <w:sz w:val="20"/>
                <w:szCs w:val="20"/>
              </w:rPr>
              <w:t xml:space="preserve"> = 0.1, </w:t>
            </w:r>
          </w:p>
          <w:p w14:paraId="4F710036" w14:textId="77777777" w:rsidR="00391F32" w:rsidRDefault="00A609C6">
            <w:pPr>
              <w:widowControl w:val="0"/>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bluntLowQuant</w:t>
            </w:r>
            <w:proofErr w:type="spellEnd"/>
            <w:r>
              <w:rPr>
                <w:rFonts w:ascii="Times New Roman" w:eastAsia="Times New Roman" w:hAnsi="Times New Roman" w:cs="Times New Roman"/>
                <w:sz w:val="20"/>
                <w:szCs w:val="20"/>
              </w:rPr>
              <w:t xml:space="preserve"> = 0.025, </w:t>
            </w:r>
          </w:p>
          <w:p w14:paraId="3D21F2E1" w14:textId="77777777" w:rsidR="00391F32" w:rsidRDefault="00A609C6">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sz w:val="20"/>
                <w:szCs w:val="20"/>
              </w:rPr>
              <w:t>bluntHighQuant</w:t>
            </w:r>
            <w:proofErr w:type="spellEnd"/>
            <w:r>
              <w:rPr>
                <w:rFonts w:ascii="Times New Roman" w:eastAsia="Times New Roman" w:hAnsi="Times New Roman" w:cs="Times New Roman"/>
                <w:sz w:val="20"/>
                <w:szCs w:val="20"/>
              </w:rPr>
              <w:t xml:space="preserve"> = 0.975</w:t>
            </w:r>
          </w:p>
        </w:tc>
        <w:tc>
          <w:tcPr>
            <w:tcW w:w="2610" w:type="dxa"/>
            <w:shd w:val="clear" w:color="auto" w:fill="auto"/>
            <w:tcMar>
              <w:top w:w="100" w:type="dxa"/>
              <w:left w:w="100" w:type="dxa"/>
              <w:bottom w:w="100" w:type="dxa"/>
              <w:right w:w="100" w:type="dxa"/>
            </w:tcMar>
          </w:tcPr>
          <w:p w14:paraId="5A6F84B8" w14:textId="77777777" w:rsidR="00391F32" w:rsidRDefault="00A609C6">
            <w:pPr>
              <w:widowControl w:val="0"/>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quantNorm</w:t>
            </w:r>
            <w:proofErr w:type="spellEnd"/>
            <w:r>
              <w:rPr>
                <w:rFonts w:ascii="Times New Roman" w:eastAsia="Times New Roman" w:hAnsi="Times New Roman" w:cs="Times New Roman"/>
                <w:sz w:val="20"/>
                <w:szCs w:val="20"/>
              </w:rPr>
              <w:t xml:space="preserve"> = TRUE,</w:t>
            </w:r>
          </w:p>
          <w:p w14:paraId="03435EAA" w14:textId="77777777" w:rsidR="00391F32" w:rsidRDefault="00A609C6">
            <w:pPr>
              <w:widowControl w:val="0"/>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uniStyle</w:t>
            </w:r>
            <w:proofErr w:type="spellEnd"/>
            <w:r>
              <w:rPr>
                <w:rFonts w:ascii="Times New Roman" w:eastAsia="Times New Roman" w:hAnsi="Times New Roman" w:cs="Times New Roman"/>
                <w:sz w:val="20"/>
                <w:szCs w:val="20"/>
              </w:rPr>
              <w:t xml:space="preserve"> = "mad", </w:t>
            </w:r>
            <w:proofErr w:type="spellStart"/>
            <w:r>
              <w:rPr>
                <w:rFonts w:ascii="Times New Roman" w:eastAsia="Times New Roman" w:hAnsi="Times New Roman" w:cs="Times New Roman"/>
                <w:sz w:val="20"/>
                <w:szCs w:val="20"/>
              </w:rPr>
              <w:t>removeLowQuant</w:t>
            </w:r>
            <w:proofErr w:type="spellEnd"/>
            <w:r>
              <w:rPr>
                <w:rFonts w:ascii="Times New Roman" w:eastAsia="Times New Roman" w:hAnsi="Times New Roman" w:cs="Times New Roman"/>
                <w:sz w:val="20"/>
                <w:szCs w:val="20"/>
              </w:rPr>
              <w:t xml:space="preserve"> = 0.25, </w:t>
            </w:r>
          </w:p>
          <w:p w14:paraId="4A934EBD" w14:textId="77777777" w:rsidR="00391F32" w:rsidRDefault="00A609C6">
            <w:pPr>
              <w:widowControl w:val="0"/>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bluntLowQuant</w:t>
            </w:r>
            <w:proofErr w:type="spellEnd"/>
            <w:r>
              <w:rPr>
                <w:rFonts w:ascii="Times New Roman" w:eastAsia="Times New Roman" w:hAnsi="Times New Roman" w:cs="Times New Roman"/>
                <w:sz w:val="20"/>
                <w:szCs w:val="20"/>
              </w:rPr>
              <w:t xml:space="preserve"> = 0.01, </w:t>
            </w:r>
            <w:proofErr w:type="spellStart"/>
            <w:r>
              <w:rPr>
                <w:rFonts w:ascii="Times New Roman" w:eastAsia="Times New Roman" w:hAnsi="Times New Roman" w:cs="Times New Roman"/>
                <w:sz w:val="20"/>
                <w:szCs w:val="20"/>
              </w:rPr>
              <w:t>bluntHighQuant</w:t>
            </w:r>
            <w:proofErr w:type="spellEnd"/>
            <w:r>
              <w:rPr>
                <w:rFonts w:ascii="Times New Roman" w:eastAsia="Times New Roman" w:hAnsi="Times New Roman" w:cs="Times New Roman"/>
                <w:sz w:val="20"/>
                <w:szCs w:val="20"/>
              </w:rPr>
              <w:t xml:space="preserve"> = 0.99</w:t>
            </w:r>
          </w:p>
        </w:tc>
      </w:tr>
      <w:tr w:rsidR="00391F32" w14:paraId="63AB3A38" w14:textId="77777777">
        <w:tc>
          <w:tcPr>
            <w:tcW w:w="1845" w:type="dxa"/>
            <w:shd w:val="clear" w:color="auto" w:fill="auto"/>
            <w:tcMar>
              <w:top w:w="100" w:type="dxa"/>
              <w:left w:w="100" w:type="dxa"/>
              <w:bottom w:w="100" w:type="dxa"/>
              <w:right w:w="100" w:type="dxa"/>
            </w:tcMar>
          </w:tcPr>
          <w:p w14:paraId="1537788D" w14:textId="77777777" w:rsidR="00391F32" w:rsidRDefault="00A609C6">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LTMcut</w:t>
            </w:r>
            <w:proofErr w:type="spellEnd"/>
          </w:p>
        </w:tc>
        <w:tc>
          <w:tcPr>
            <w:tcW w:w="1425" w:type="dxa"/>
            <w:shd w:val="clear" w:color="auto" w:fill="auto"/>
            <w:tcMar>
              <w:top w:w="100" w:type="dxa"/>
              <w:left w:w="100" w:type="dxa"/>
              <w:bottom w:w="100" w:type="dxa"/>
              <w:right w:w="100" w:type="dxa"/>
            </w:tcMar>
          </w:tcPr>
          <w:p w14:paraId="0C1867E8" w14:textId="77777777" w:rsidR="00391F32" w:rsidRDefault="00A609C6">
            <w:pPr>
              <w:widowControl w:val="0"/>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minExp</w:t>
            </w:r>
            <w:proofErr w:type="spellEnd"/>
            <w:r>
              <w:rPr>
                <w:rFonts w:ascii="Times New Roman" w:eastAsia="Times New Roman" w:hAnsi="Times New Roman" w:cs="Times New Roman"/>
                <w:sz w:val="20"/>
                <w:szCs w:val="20"/>
              </w:rPr>
              <w:t xml:space="preserve"> = 8</w:t>
            </w:r>
          </w:p>
        </w:tc>
        <w:tc>
          <w:tcPr>
            <w:tcW w:w="1440" w:type="dxa"/>
            <w:shd w:val="clear" w:color="auto" w:fill="auto"/>
            <w:tcMar>
              <w:top w:w="100" w:type="dxa"/>
              <w:left w:w="100" w:type="dxa"/>
              <w:bottom w:w="100" w:type="dxa"/>
              <w:right w:w="100" w:type="dxa"/>
            </w:tcMar>
          </w:tcPr>
          <w:p w14:paraId="1F56E8FA" w14:textId="77777777" w:rsidR="00391F32" w:rsidRDefault="00A609C6">
            <w:pPr>
              <w:widowControl w:val="0"/>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minExp</w:t>
            </w:r>
            <w:proofErr w:type="spellEnd"/>
            <w:r>
              <w:rPr>
                <w:rFonts w:ascii="Times New Roman" w:eastAsia="Times New Roman" w:hAnsi="Times New Roman" w:cs="Times New Roman"/>
                <w:sz w:val="20"/>
                <w:szCs w:val="20"/>
              </w:rPr>
              <w:t xml:space="preserve"> = 1</w:t>
            </w:r>
          </w:p>
        </w:tc>
        <w:tc>
          <w:tcPr>
            <w:tcW w:w="1470" w:type="dxa"/>
            <w:shd w:val="clear" w:color="auto" w:fill="auto"/>
            <w:tcMar>
              <w:top w:w="100" w:type="dxa"/>
              <w:left w:w="100" w:type="dxa"/>
              <w:bottom w:w="100" w:type="dxa"/>
              <w:right w:w="100" w:type="dxa"/>
            </w:tcMar>
          </w:tcPr>
          <w:p w14:paraId="6434936A" w14:textId="77777777" w:rsidR="00391F32" w:rsidRDefault="00A609C6">
            <w:pPr>
              <w:widowControl w:val="0"/>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minExp</w:t>
            </w:r>
            <w:proofErr w:type="spellEnd"/>
            <w:r>
              <w:rPr>
                <w:rFonts w:ascii="Times New Roman" w:eastAsia="Times New Roman" w:hAnsi="Times New Roman" w:cs="Times New Roman"/>
                <w:sz w:val="20"/>
                <w:szCs w:val="20"/>
              </w:rPr>
              <w:t xml:space="preserve"> = 1</w:t>
            </w:r>
          </w:p>
        </w:tc>
        <w:tc>
          <w:tcPr>
            <w:tcW w:w="2610" w:type="dxa"/>
            <w:shd w:val="clear" w:color="auto" w:fill="auto"/>
            <w:tcMar>
              <w:top w:w="100" w:type="dxa"/>
              <w:left w:w="100" w:type="dxa"/>
              <w:bottom w:w="100" w:type="dxa"/>
              <w:right w:w="100" w:type="dxa"/>
            </w:tcMar>
          </w:tcPr>
          <w:p w14:paraId="5008261E" w14:textId="77777777" w:rsidR="00391F32" w:rsidRDefault="00A609C6">
            <w:pPr>
              <w:widowControl w:val="0"/>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minExp</w:t>
            </w:r>
            <w:proofErr w:type="spellEnd"/>
            <w:r>
              <w:rPr>
                <w:rFonts w:ascii="Times New Roman" w:eastAsia="Times New Roman" w:hAnsi="Times New Roman" w:cs="Times New Roman"/>
                <w:sz w:val="20"/>
                <w:szCs w:val="20"/>
              </w:rPr>
              <w:t xml:space="preserve"> = 5</w:t>
            </w:r>
          </w:p>
        </w:tc>
      </w:tr>
      <w:tr w:rsidR="00391F32" w14:paraId="22111A03" w14:textId="77777777">
        <w:trPr>
          <w:trHeight w:val="400"/>
        </w:trPr>
        <w:tc>
          <w:tcPr>
            <w:tcW w:w="1845" w:type="dxa"/>
            <w:shd w:val="clear" w:color="auto" w:fill="auto"/>
            <w:tcMar>
              <w:top w:w="100" w:type="dxa"/>
              <w:left w:w="100" w:type="dxa"/>
              <w:bottom w:w="100" w:type="dxa"/>
              <w:right w:w="100" w:type="dxa"/>
            </w:tcMar>
          </w:tcPr>
          <w:p w14:paraId="3AE550B5" w14:textId="77777777" w:rsidR="00391F32" w:rsidRDefault="00A609C6">
            <w:pPr>
              <w:widowControl w:val="0"/>
              <w:spacing w:after="0" w:line="240" w:lineRule="auto"/>
              <w:rPr>
                <w:rFonts w:ascii="Times New Roman" w:eastAsia="Times New Roman" w:hAnsi="Times New Roman" w:cs="Times New Roman"/>
                <w:b/>
                <w:sz w:val="26"/>
                <w:szCs w:val="26"/>
              </w:rPr>
            </w:pPr>
            <w:proofErr w:type="spellStart"/>
            <w:r>
              <w:rPr>
                <w:rFonts w:ascii="Times New Roman" w:eastAsia="Times New Roman" w:hAnsi="Times New Roman" w:cs="Times New Roman"/>
              </w:rPr>
              <w:t>LTMheat</w:t>
            </w:r>
            <w:proofErr w:type="spellEnd"/>
          </w:p>
        </w:tc>
        <w:tc>
          <w:tcPr>
            <w:tcW w:w="6945" w:type="dxa"/>
            <w:gridSpan w:val="4"/>
            <w:shd w:val="clear" w:color="auto" w:fill="auto"/>
            <w:tcMar>
              <w:top w:w="100" w:type="dxa"/>
              <w:left w:w="100" w:type="dxa"/>
              <w:bottom w:w="100" w:type="dxa"/>
              <w:right w:w="100" w:type="dxa"/>
            </w:tcMar>
          </w:tcPr>
          <w:p w14:paraId="0A560BD8" w14:textId="77777777" w:rsidR="00391F32" w:rsidRDefault="00A609C6">
            <w:pPr>
              <w:widowControl w:val="0"/>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qnum</w:t>
            </w:r>
            <w:proofErr w:type="spellEnd"/>
            <w:r>
              <w:rPr>
                <w:rFonts w:ascii="Times New Roman" w:eastAsia="Times New Roman" w:hAnsi="Times New Roman" w:cs="Times New Roman"/>
                <w:sz w:val="20"/>
                <w:szCs w:val="20"/>
              </w:rPr>
              <w:t xml:space="preserve"> = 4; </w:t>
            </w:r>
            <w:proofErr w:type="spellStart"/>
            <w:r>
              <w:rPr>
                <w:rFonts w:ascii="Times New Roman" w:eastAsia="Times New Roman" w:hAnsi="Times New Roman" w:cs="Times New Roman"/>
                <w:sz w:val="20"/>
                <w:szCs w:val="20"/>
              </w:rPr>
              <w:t>qnum</w:t>
            </w:r>
            <w:proofErr w:type="spellEnd"/>
            <w:r>
              <w:rPr>
                <w:rFonts w:ascii="Times New Roman" w:eastAsia="Times New Roman" w:hAnsi="Times New Roman" w:cs="Times New Roman"/>
                <w:sz w:val="20"/>
                <w:szCs w:val="20"/>
              </w:rPr>
              <w:t xml:space="preserve"> = 7; </w:t>
            </w:r>
            <w:proofErr w:type="spellStart"/>
            <w:r>
              <w:rPr>
                <w:rFonts w:ascii="Times New Roman" w:eastAsia="Times New Roman" w:hAnsi="Times New Roman" w:cs="Times New Roman"/>
                <w:sz w:val="20"/>
                <w:szCs w:val="20"/>
              </w:rPr>
              <w:t>qunum</w:t>
            </w:r>
            <w:proofErr w:type="spellEnd"/>
            <w:r>
              <w:rPr>
                <w:rFonts w:ascii="Times New Roman" w:eastAsia="Times New Roman" w:hAnsi="Times New Roman" w:cs="Times New Roman"/>
                <w:sz w:val="20"/>
                <w:szCs w:val="20"/>
              </w:rPr>
              <w:t xml:space="preserve"> = 10</w:t>
            </w:r>
          </w:p>
        </w:tc>
      </w:tr>
      <w:tr w:rsidR="00391F32" w14:paraId="344788DD" w14:textId="77777777">
        <w:trPr>
          <w:trHeight w:val="380"/>
        </w:trPr>
        <w:tc>
          <w:tcPr>
            <w:tcW w:w="1845" w:type="dxa"/>
            <w:shd w:val="clear" w:color="auto" w:fill="auto"/>
            <w:tcMar>
              <w:top w:w="100" w:type="dxa"/>
              <w:left w:w="100" w:type="dxa"/>
              <w:bottom w:w="100" w:type="dxa"/>
              <w:right w:w="100" w:type="dxa"/>
            </w:tcMar>
          </w:tcPr>
          <w:p w14:paraId="051FB5F1" w14:textId="77777777" w:rsidR="00391F32" w:rsidRDefault="00A609C6">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LTMcook</w:t>
            </w:r>
            <w:proofErr w:type="spellEnd"/>
          </w:p>
        </w:tc>
        <w:tc>
          <w:tcPr>
            <w:tcW w:w="6945" w:type="dxa"/>
            <w:gridSpan w:val="4"/>
            <w:shd w:val="clear" w:color="auto" w:fill="auto"/>
            <w:tcMar>
              <w:top w:w="100" w:type="dxa"/>
              <w:left w:w="100" w:type="dxa"/>
              <w:bottom w:w="100" w:type="dxa"/>
              <w:right w:w="100" w:type="dxa"/>
            </w:tcMar>
          </w:tcPr>
          <w:p w14:paraId="2C9391A7" w14:textId="77777777" w:rsidR="00391F32" w:rsidRDefault="00A609C6">
            <w:pPr>
              <w:widowControl w:val="0"/>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corMethod</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pearson</w:t>
            </w:r>
            <w:proofErr w:type="spellEnd"/>
            <w:r>
              <w:rPr>
                <w:rFonts w:ascii="Times New Roman" w:eastAsia="Times New Roman" w:hAnsi="Times New Roman" w:cs="Times New Roman"/>
                <w:sz w:val="20"/>
                <w:szCs w:val="20"/>
              </w:rPr>
              <w:t>"</w:t>
            </w:r>
          </w:p>
        </w:tc>
      </w:tr>
      <w:tr w:rsidR="00391F32" w14:paraId="2FCB2292" w14:textId="77777777">
        <w:trPr>
          <w:trHeight w:val="380"/>
        </w:trPr>
        <w:tc>
          <w:tcPr>
            <w:tcW w:w="1845" w:type="dxa"/>
            <w:shd w:val="clear" w:color="auto" w:fill="auto"/>
            <w:tcMar>
              <w:top w:w="100" w:type="dxa"/>
              <w:left w:w="100" w:type="dxa"/>
              <w:bottom w:w="100" w:type="dxa"/>
              <w:right w:w="100" w:type="dxa"/>
            </w:tcMar>
          </w:tcPr>
          <w:p w14:paraId="375A4DEB" w14:textId="77777777" w:rsidR="00391F32" w:rsidRDefault="00A609C6">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LTMdish</w:t>
            </w:r>
            <w:proofErr w:type="spellEnd"/>
          </w:p>
        </w:tc>
        <w:tc>
          <w:tcPr>
            <w:tcW w:w="6945" w:type="dxa"/>
            <w:gridSpan w:val="4"/>
            <w:shd w:val="clear" w:color="auto" w:fill="auto"/>
            <w:tcMar>
              <w:top w:w="100" w:type="dxa"/>
              <w:left w:w="100" w:type="dxa"/>
              <w:bottom w:w="100" w:type="dxa"/>
              <w:right w:w="100" w:type="dxa"/>
            </w:tcMar>
          </w:tcPr>
          <w:p w14:paraId="1E6BFCBA" w14:textId="77777777" w:rsidR="00391F32" w:rsidRDefault="00A609C6">
            <w:pPr>
              <w:widowControl w:val="0"/>
              <w:spacing w:after="0" w:line="240" w:lineRule="auto"/>
              <w:rPr>
                <w:rFonts w:ascii="Times New Roman" w:eastAsia="Times New Roman" w:hAnsi="Times New Roman" w:cs="Times New Roman"/>
                <w:sz w:val="18"/>
                <w:szCs w:val="18"/>
              </w:rPr>
            </w:pPr>
            <w:proofErr w:type="spellStart"/>
            <w:r>
              <w:rPr>
                <w:rFonts w:ascii="Times New Roman" w:eastAsia="Times New Roman" w:hAnsi="Times New Roman" w:cs="Times New Roman"/>
                <w:sz w:val="20"/>
                <w:szCs w:val="20"/>
              </w:rPr>
              <w:t>targetMeasures</w:t>
            </w:r>
            <w:proofErr w:type="spellEnd"/>
            <w:r>
              <w:rPr>
                <w:rFonts w:ascii="Times New Roman" w:eastAsia="Times New Roman" w:hAnsi="Times New Roman" w:cs="Times New Roman"/>
                <w:sz w:val="20"/>
                <w:szCs w:val="20"/>
              </w:rPr>
              <w:t xml:space="preserve"> = </w:t>
            </w:r>
            <w:proofErr w:type="gramStart"/>
            <w:r>
              <w:rPr>
                <w:rFonts w:ascii="Times New Roman" w:eastAsia="Times New Roman" w:hAnsi="Times New Roman" w:cs="Times New Roman"/>
                <w:sz w:val="20"/>
                <w:szCs w:val="20"/>
              </w:rPr>
              <w:t>c(</w:t>
            </w:r>
            <w:proofErr w:type="gram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zmantel</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zncv</w:t>
            </w:r>
            <w:proofErr w:type="spellEnd"/>
            <w:r>
              <w:rPr>
                <w:rFonts w:ascii="Times New Roman" w:eastAsia="Times New Roman" w:hAnsi="Times New Roman" w:cs="Times New Roman"/>
                <w:sz w:val="20"/>
                <w:szCs w:val="20"/>
              </w:rPr>
              <w:t>")</w:t>
            </w:r>
          </w:p>
        </w:tc>
      </w:tr>
    </w:tbl>
    <w:p w14:paraId="1EF9FAF5" w14:textId="77777777" w:rsidR="00391F32" w:rsidRDefault="00391F32">
      <w:pPr>
        <w:spacing w:after="0"/>
        <w:rPr>
          <w:rFonts w:ascii="Arial" w:eastAsia="Arial" w:hAnsi="Arial" w:cs="Arial"/>
          <w:sz w:val="20"/>
          <w:szCs w:val="20"/>
        </w:rPr>
      </w:pPr>
    </w:p>
    <w:p w14:paraId="771D3A27" w14:textId="77777777" w:rsidR="00391F32" w:rsidRDefault="00391F32">
      <w:pPr>
        <w:spacing w:line="360" w:lineRule="auto"/>
        <w:rPr>
          <w:rFonts w:ascii="Arial" w:eastAsia="Arial" w:hAnsi="Arial" w:cs="Arial"/>
          <w:sz w:val="20"/>
          <w:szCs w:val="20"/>
        </w:rPr>
      </w:pPr>
    </w:p>
    <w:p w14:paraId="374CF05E" w14:textId="77777777" w:rsidR="00391F32" w:rsidRDefault="00391F32">
      <w:pPr>
        <w:spacing w:after="0"/>
        <w:rPr>
          <w:rFonts w:ascii="Arial" w:eastAsia="Arial" w:hAnsi="Arial" w:cs="Arial"/>
          <w:b/>
          <w:sz w:val="24"/>
          <w:szCs w:val="24"/>
        </w:rPr>
      </w:pPr>
    </w:p>
    <w:p w14:paraId="1DAE05EA" w14:textId="77777777" w:rsidR="00391F32" w:rsidRDefault="00391F32">
      <w:pPr>
        <w:spacing w:line="360" w:lineRule="auto"/>
        <w:rPr>
          <w:rFonts w:ascii="Arial" w:eastAsia="Arial" w:hAnsi="Arial" w:cs="Arial"/>
          <w:sz w:val="20"/>
          <w:szCs w:val="20"/>
        </w:rPr>
      </w:pPr>
    </w:p>
    <w:p w14:paraId="3825AB97" w14:textId="77777777" w:rsidR="00391F32" w:rsidRDefault="00391F32">
      <w:pPr>
        <w:spacing w:line="360" w:lineRule="auto"/>
        <w:rPr>
          <w:rFonts w:ascii="Arial" w:eastAsia="Arial" w:hAnsi="Arial" w:cs="Arial"/>
          <w:sz w:val="20"/>
          <w:szCs w:val="20"/>
        </w:rPr>
      </w:pPr>
    </w:p>
    <w:sectPr w:rsidR="00391F32">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7612B"/>
    <w:multiLevelType w:val="multilevel"/>
    <w:tmpl w:val="1478BF20"/>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56964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F32"/>
    <w:rsid w:val="00391F32"/>
    <w:rsid w:val="008D32E4"/>
    <w:rsid w:val="00950376"/>
    <w:rsid w:val="00A60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5DCE6D5"/>
  <w15:docId w15:val="{2415657F-3A7A-DF4E-B8A5-DF998196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line="240" w:lineRule="auto"/>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616</Words>
  <Characters>3513</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Wu, Gang</cp:lastModifiedBy>
  <cp:revision>4</cp:revision>
  <dcterms:created xsi:type="dcterms:W3CDTF">2022-06-09T15:49:00Z</dcterms:created>
  <dcterms:modified xsi:type="dcterms:W3CDTF">2022-06-09T16:05:00Z</dcterms:modified>
</cp:coreProperties>
</file>