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4AA4" w14:textId="5F8C6253" w:rsidR="00316BC4" w:rsidRDefault="00316BC4" w:rsidP="00316BC4">
      <w:pPr>
        <w:jc w:val="left"/>
      </w:pPr>
      <w:r w:rsidRPr="00316BC4">
        <w:rPr>
          <w:b/>
          <w:bCs/>
        </w:rPr>
        <w:t>Supplemental 1</w:t>
      </w:r>
      <w:r w:rsidR="002B3D6F">
        <w:rPr>
          <w:b/>
          <w:bCs/>
        </w:rPr>
        <w:t>.</w:t>
      </w:r>
      <w:r>
        <w:rPr>
          <w:b/>
          <w:bCs/>
        </w:rPr>
        <w:t xml:space="preserve"> </w:t>
      </w:r>
      <w:bookmarkStart w:id="0" w:name="_Hlk178321707"/>
      <w:r w:rsidRPr="00316BC4">
        <w:t>In total, we included 232 single cell transcriptome samples (normal = 31; adjacent = 54; tumor = 148) from 12 articles for pan</w:t>
      </w:r>
      <w:r w:rsidR="004537CB">
        <w:t>-</w:t>
      </w:r>
      <w:r w:rsidRPr="00316BC4">
        <w:t xml:space="preserve">cancer's analysis. Of these, 31 GSM samples were derived from GSE134355; 11 GSM samples were related to GSE141445; 49 samples were derived from the </w:t>
      </w:r>
      <w:proofErr w:type="spellStart"/>
      <w:r w:rsidRPr="00316BC4">
        <w:t>ArrayExpress</w:t>
      </w:r>
      <w:proofErr w:type="spellEnd"/>
      <w:r w:rsidRPr="00316BC4">
        <w:t xml:space="preserve"> database at EMBL-EBI (www.ebi.ac.uk/arrayexpress) under accession number E-MTAB-8107; 2 GSM samples were associated with GSE157703; 22 GSM samples were derived from GSE131907; 7 GSM samples were derived from GSE138709; 31 samples were derived from the </w:t>
      </w:r>
      <w:proofErr w:type="spellStart"/>
      <w:r w:rsidRPr="00316BC4">
        <w:t>ArrayExpress</w:t>
      </w:r>
      <w:proofErr w:type="spellEnd"/>
      <w:r w:rsidRPr="00316BC4">
        <w:t xml:space="preserve"> database at EMBL-EBI (www.ebi.ac.uk/arrayexpress) under accession number E-MTAB-6149 and E-MTAB-6653; 32 CRR samples were related to GSA database under accession number CRA001160; 10 GSM samples were related to GSE154778; 7 HRR samples were available in GSA-Human under the accession code HRA000212; 10 thyroid samples were derived from GSA-Human database under accession number HRA000686; 20 gastric samples were download from </w:t>
      </w:r>
      <w:hyperlink r:id="rId7" w:history="1">
        <w:r w:rsidRPr="00CA66AC">
          <w:rPr>
            <w:rStyle w:val="a7"/>
          </w:rPr>
          <w:t>http://dna-discovery.stanford.edu/download/1401/</w:t>
        </w:r>
      </w:hyperlink>
      <w:bookmarkEnd w:id="0"/>
    </w:p>
    <w:p w14:paraId="5A42171B" w14:textId="77777777" w:rsidR="00316BC4" w:rsidRDefault="00316BC4" w:rsidP="00316BC4">
      <w:pPr>
        <w:jc w:val="left"/>
      </w:pPr>
    </w:p>
    <w:p w14:paraId="639CD688" w14:textId="11279E2F" w:rsidR="00670513" w:rsidRPr="00670513" w:rsidRDefault="00316BC4" w:rsidP="00316BC4">
      <w:pPr>
        <w:jc w:val="left"/>
        <w:rPr>
          <w:rFonts w:ascii="Segoe UI" w:eastAsia="宋体" w:hAnsi="Segoe UI" w:cs="Segoe UI"/>
          <w:spacing w:val="2"/>
          <w:kern w:val="0"/>
          <w:sz w:val="24"/>
          <w:szCs w:val="24"/>
        </w:rPr>
      </w:pPr>
      <w:r w:rsidRPr="00C227B6">
        <w:rPr>
          <w:b/>
          <w:bCs/>
        </w:rPr>
        <w:t>S</w:t>
      </w:r>
      <w:r w:rsidRPr="00C227B6">
        <w:rPr>
          <w:rFonts w:hint="eastAsia"/>
          <w:b/>
          <w:bCs/>
        </w:rPr>
        <w:t>upplemental</w:t>
      </w:r>
      <w:r w:rsidRPr="00C227B6">
        <w:rPr>
          <w:b/>
          <w:bCs/>
        </w:rPr>
        <w:t xml:space="preserve"> 2</w:t>
      </w:r>
      <w:r w:rsidR="002B3D6F">
        <w:rPr>
          <w:b/>
          <w:bCs/>
        </w:rPr>
        <w:t xml:space="preserve">. </w:t>
      </w:r>
      <w:r w:rsidR="00456D59" w:rsidRPr="00456D59">
        <w:rPr>
          <w:rFonts w:ascii="Segoe UI" w:eastAsia="宋体" w:hAnsi="Segoe UI" w:cs="Segoe UI"/>
          <w:spacing w:val="2"/>
          <w:kern w:val="0"/>
          <w:sz w:val="19"/>
          <w:szCs w:val="19"/>
          <w:bdr w:val="none" w:sz="0" w:space="0" w:color="auto" w:frame="1"/>
        </w:rPr>
        <w:t>The immune phenotype score (IPS) was used to calculate the scores of four different immune phenotypes (antigen presentation, effector cells, suppressor cells, checkpoint). The IPS z-score is the integration of the four, and the higher the IPS z-score, the stronger the sample immunogenicity.</w:t>
      </w:r>
    </w:p>
    <w:p w14:paraId="02FD845D" w14:textId="506C6A99" w:rsidR="009628B3" w:rsidRDefault="009628B3" w:rsidP="00316BC4">
      <w:pPr>
        <w:jc w:val="left"/>
      </w:pPr>
    </w:p>
    <w:p w14:paraId="0347CD69" w14:textId="7A513ABC" w:rsidR="009A5402" w:rsidRDefault="00D57903" w:rsidP="00316BC4">
      <w:pPr>
        <w:jc w:val="left"/>
        <w:rPr>
          <w:b/>
          <w:bCs/>
        </w:rPr>
      </w:pPr>
      <w:r w:rsidRPr="009A5402">
        <w:rPr>
          <w:b/>
          <w:bCs/>
        </w:rPr>
        <w:t>S</w:t>
      </w:r>
      <w:r w:rsidRPr="009A5402">
        <w:rPr>
          <w:rFonts w:hint="eastAsia"/>
          <w:b/>
          <w:bCs/>
        </w:rPr>
        <w:t>upplemental</w:t>
      </w:r>
      <w:r w:rsidRPr="009A5402">
        <w:rPr>
          <w:b/>
          <w:bCs/>
        </w:rPr>
        <w:t>3</w:t>
      </w:r>
      <w:r w:rsidR="002B3D6F">
        <w:rPr>
          <w:rFonts w:hint="eastAsia"/>
          <w:b/>
          <w:bCs/>
        </w:rPr>
        <w:t>.</w:t>
      </w:r>
      <w:r w:rsidR="002F1020">
        <w:rPr>
          <w:noProof/>
        </w:rPr>
        <w:drawing>
          <wp:inline distT="0" distB="0" distL="0" distR="0" wp14:anchorId="6B47EEA9" wp14:editId="67A3ABFB">
            <wp:extent cx="5274310" cy="3772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6D6F4" w14:textId="44F6DDD8" w:rsidR="009A5402" w:rsidRPr="002F1020" w:rsidRDefault="002F1020" w:rsidP="002F1020">
      <w:pPr>
        <w:jc w:val="center"/>
        <w:rPr>
          <w:sz w:val="24"/>
          <w:szCs w:val="28"/>
        </w:rPr>
      </w:pPr>
      <w:r w:rsidRPr="002F1020">
        <w:rPr>
          <w:sz w:val="24"/>
          <w:szCs w:val="28"/>
        </w:rPr>
        <w:t>High and low expression of pan</w:t>
      </w:r>
      <w:r w:rsidRPr="002F1020">
        <w:rPr>
          <w:sz w:val="24"/>
          <w:szCs w:val="28"/>
        </w:rPr>
        <w:t>-</w:t>
      </w:r>
      <w:r w:rsidRPr="002F1020">
        <w:rPr>
          <w:sz w:val="24"/>
          <w:szCs w:val="28"/>
        </w:rPr>
        <w:t xml:space="preserve">cancer FOXK2 OS in </w:t>
      </w:r>
      <w:proofErr w:type="spellStart"/>
      <w:r>
        <w:rPr>
          <w:sz w:val="24"/>
          <w:szCs w:val="28"/>
        </w:rPr>
        <w:t>GTEx</w:t>
      </w:r>
      <w:proofErr w:type="spellEnd"/>
      <w:r w:rsidRPr="002F1020">
        <w:rPr>
          <w:sz w:val="24"/>
          <w:szCs w:val="28"/>
        </w:rPr>
        <w:t xml:space="preserve"> database</w:t>
      </w:r>
    </w:p>
    <w:p w14:paraId="261A372C" w14:textId="77777777" w:rsidR="009A5402" w:rsidRDefault="009A5402" w:rsidP="00316BC4">
      <w:pPr>
        <w:jc w:val="left"/>
        <w:rPr>
          <w:b/>
          <w:bCs/>
        </w:rPr>
      </w:pPr>
    </w:p>
    <w:p w14:paraId="6A4260CC" w14:textId="53094937" w:rsidR="00C227B6" w:rsidRDefault="002F1020" w:rsidP="00316BC4">
      <w:pPr>
        <w:jc w:val="left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4BEE168" wp14:editId="326475D5">
            <wp:extent cx="5274310" cy="34359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BFAEC" w14:textId="4EA5CD0B" w:rsidR="002F1020" w:rsidRPr="002F1020" w:rsidRDefault="002F1020" w:rsidP="002F1020">
      <w:pPr>
        <w:jc w:val="center"/>
        <w:rPr>
          <w:sz w:val="24"/>
          <w:szCs w:val="28"/>
        </w:rPr>
      </w:pPr>
      <w:r w:rsidRPr="002F1020">
        <w:rPr>
          <w:sz w:val="24"/>
          <w:szCs w:val="28"/>
        </w:rPr>
        <w:t xml:space="preserve">High and low expression of pan-cancer FOXK2 OS in </w:t>
      </w:r>
      <w:r>
        <w:rPr>
          <w:rFonts w:hint="eastAsia"/>
        </w:rPr>
        <w:t>I</w:t>
      </w:r>
      <w:r>
        <w:t>GCG</w:t>
      </w:r>
      <w:r>
        <w:t xml:space="preserve"> </w:t>
      </w:r>
      <w:r w:rsidRPr="002F1020">
        <w:rPr>
          <w:sz w:val="24"/>
          <w:szCs w:val="28"/>
        </w:rPr>
        <w:t>database</w:t>
      </w:r>
    </w:p>
    <w:p w14:paraId="264A9ED8" w14:textId="5248D12D" w:rsidR="002F1020" w:rsidRPr="002F1020" w:rsidRDefault="002F1020" w:rsidP="00316BC4">
      <w:pPr>
        <w:jc w:val="left"/>
        <w:rPr>
          <w:b/>
          <w:bCs/>
        </w:rPr>
      </w:pPr>
    </w:p>
    <w:p w14:paraId="4E8D8B1B" w14:textId="2B8C99FC" w:rsidR="002F1020" w:rsidRDefault="002F1020" w:rsidP="00316BC4">
      <w:pPr>
        <w:jc w:val="left"/>
        <w:rPr>
          <w:b/>
          <w:bCs/>
        </w:rPr>
      </w:pPr>
      <w:r>
        <w:rPr>
          <w:noProof/>
        </w:rPr>
        <w:drawing>
          <wp:inline distT="0" distB="0" distL="0" distR="0" wp14:anchorId="4BFC1191" wp14:editId="7C52A042">
            <wp:extent cx="5274310" cy="367411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5632B" w14:textId="0100F43F" w:rsidR="002F1020" w:rsidRPr="002F1020" w:rsidRDefault="002F1020" w:rsidP="002F1020">
      <w:pPr>
        <w:jc w:val="center"/>
        <w:rPr>
          <w:sz w:val="24"/>
          <w:szCs w:val="28"/>
        </w:rPr>
      </w:pPr>
      <w:r w:rsidRPr="002F1020">
        <w:rPr>
          <w:sz w:val="24"/>
          <w:szCs w:val="28"/>
        </w:rPr>
        <w:t xml:space="preserve">High and low expression of pan-cancer FOXK2 OS in </w:t>
      </w:r>
      <w:r>
        <w:rPr>
          <w:rFonts w:hint="eastAsia"/>
        </w:rPr>
        <w:t>C</w:t>
      </w:r>
      <w:r>
        <w:t>GGA</w:t>
      </w:r>
      <w:r>
        <w:t xml:space="preserve"> </w:t>
      </w:r>
      <w:r w:rsidRPr="002F1020">
        <w:rPr>
          <w:sz w:val="24"/>
          <w:szCs w:val="28"/>
        </w:rPr>
        <w:t>database</w:t>
      </w:r>
    </w:p>
    <w:p w14:paraId="54D13CEC" w14:textId="45186B93" w:rsidR="002F1020" w:rsidRPr="002F1020" w:rsidRDefault="002B3D6F" w:rsidP="00316BC4">
      <w:pPr>
        <w:jc w:val="left"/>
        <w:rPr>
          <w:b/>
          <w:bCs/>
        </w:rPr>
      </w:pPr>
      <w:r>
        <w:rPr>
          <w:b/>
          <w:bCs/>
        </w:rPr>
        <w:t>Supplemental 4.</w:t>
      </w:r>
      <w:r w:rsidRPr="002B3D6F">
        <w:t xml:space="preserve"> </w:t>
      </w:r>
      <w:r>
        <w:t xml:space="preserve">GEPIA2 is a web server for analyzing the RNA sequencing expression data of 9,736 tumors and 8,587 normal samples from the TCGA and the </w:t>
      </w:r>
      <w:proofErr w:type="spellStart"/>
      <w:r>
        <w:t>GTEx</w:t>
      </w:r>
      <w:proofErr w:type="spellEnd"/>
      <w:r>
        <w:t xml:space="preserve"> projects, using a </w:t>
      </w:r>
      <w:r>
        <w:lastRenderedPageBreak/>
        <w:t>standard processing pipeline.</w:t>
      </w:r>
      <w:r w:rsidR="00E8153C" w:rsidRPr="00E8153C">
        <w:t xml:space="preserve"> </w:t>
      </w:r>
      <w:r w:rsidR="00E8153C" w:rsidRPr="00E8153C">
        <w:t>The data matrix information has been converted to log2 (TPM+0.001)</w:t>
      </w:r>
      <w:r w:rsidR="00E8153C">
        <w:t>.</w:t>
      </w:r>
    </w:p>
    <w:p w14:paraId="7C16D108" w14:textId="125E2834" w:rsidR="002F1020" w:rsidRDefault="002F1020" w:rsidP="00316BC4">
      <w:pPr>
        <w:jc w:val="left"/>
        <w:rPr>
          <w:b/>
          <w:bCs/>
        </w:rPr>
      </w:pPr>
    </w:p>
    <w:p w14:paraId="413915F4" w14:textId="77777777" w:rsidR="002F1020" w:rsidRPr="009A5402" w:rsidRDefault="002F1020" w:rsidP="00316BC4">
      <w:pPr>
        <w:jc w:val="left"/>
        <w:rPr>
          <w:rFonts w:hint="eastAsia"/>
          <w:b/>
          <w:bCs/>
        </w:rPr>
      </w:pPr>
    </w:p>
    <w:sectPr w:rsidR="002F1020" w:rsidRPr="009A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1AE7" w14:textId="77777777" w:rsidR="00B147E6" w:rsidRDefault="00B147E6" w:rsidP="009628B3">
      <w:r>
        <w:separator/>
      </w:r>
    </w:p>
  </w:endnote>
  <w:endnote w:type="continuationSeparator" w:id="0">
    <w:p w14:paraId="29B39DBB" w14:textId="77777777" w:rsidR="00B147E6" w:rsidRDefault="00B147E6" w:rsidP="0096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E6F5" w14:textId="77777777" w:rsidR="00B147E6" w:rsidRDefault="00B147E6" w:rsidP="009628B3">
      <w:r>
        <w:separator/>
      </w:r>
    </w:p>
  </w:footnote>
  <w:footnote w:type="continuationSeparator" w:id="0">
    <w:p w14:paraId="5E70D7D6" w14:textId="77777777" w:rsidR="00B147E6" w:rsidRDefault="00B147E6" w:rsidP="0096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711E"/>
    <w:multiLevelType w:val="hybridMultilevel"/>
    <w:tmpl w:val="6CC8A372"/>
    <w:lvl w:ilvl="0" w:tplc="A2341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7A79EF"/>
    <w:multiLevelType w:val="multilevel"/>
    <w:tmpl w:val="4B42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64"/>
    <w:rsid w:val="00014522"/>
    <w:rsid w:val="000B7B4A"/>
    <w:rsid w:val="000D4483"/>
    <w:rsid w:val="002B3D6F"/>
    <w:rsid w:val="002F1020"/>
    <w:rsid w:val="00316BC4"/>
    <w:rsid w:val="004537CB"/>
    <w:rsid w:val="00456D59"/>
    <w:rsid w:val="00670513"/>
    <w:rsid w:val="00700964"/>
    <w:rsid w:val="00716944"/>
    <w:rsid w:val="009628B3"/>
    <w:rsid w:val="009A5402"/>
    <w:rsid w:val="00A72389"/>
    <w:rsid w:val="00A84D3E"/>
    <w:rsid w:val="00B147E6"/>
    <w:rsid w:val="00C227B6"/>
    <w:rsid w:val="00D57903"/>
    <w:rsid w:val="00D813A0"/>
    <w:rsid w:val="00E8153C"/>
    <w:rsid w:val="00FC1E94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04721"/>
  <w15:chartTrackingRefBased/>
  <w15:docId w15:val="{B475E296-0E05-4076-8C2B-2CB4418F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8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2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8B3"/>
    <w:rPr>
      <w:sz w:val="18"/>
      <w:szCs w:val="18"/>
    </w:rPr>
  </w:style>
  <w:style w:type="character" w:styleId="a7">
    <w:name w:val="Hyperlink"/>
    <w:basedOn w:val="a0"/>
    <w:uiPriority w:val="99"/>
    <w:unhideWhenUsed/>
    <w:rsid w:val="009628B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628B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628B3"/>
    <w:pPr>
      <w:ind w:firstLineChars="200" w:firstLine="420"/>
    </w:pPr>
  </w:style>
  <w:style w:type="character" w:customStyle="1" w:styleId="datapages-moduledescriptionnromz">
    <w:name w:val="datapages-module__description___nromz"/>
    <w:basedOn w:val="a0"/>
    <w:rsid w:val="0067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dna-discovery.stanford.edu/download/140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2024-09-21T18:04:00Z</dcterms:created>
  <dcterms:modified xsi:type="dcterms:W3CDTF">2024-09-28T07:00:00Z</dcterms:modified>
</cp:coreProperties>
</file>