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07" w:rsidRPr="003017D7" w:rsidRDefault="005549CB" w:rsidP="00270B1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3017D7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3017D7">
        <w:rPr>
          <w:rFonts w:ascii="Times New Roman" w:hAnsi="Times New Roman" w:cs="Times New Roman"/>
          <w:b/>
          <w:bCs/>
        </w:rPr>
        <w:t xml:space="preserve"> </w:t>
      </w:r>
      <w:r w:rsidRPr="003017D7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r w:rsidRPr="003017D7">
        <w:rPr>
          <w:rFonts w:ascii="Times New Roman" w:hAnsi="Times New Roman" w:cs="Times New Roman"/>
          <w:b/>
          <w:bCs/>
        </w:rPr>
        <w:t xml:space="preserve"> </w:t>
      </w:r>
    </w:p>
    <w:p w:rsidR="00531F7B" w:rsidRDefault="00531F7B" w:rsidP="00270B1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:rsidR="005549CB" w:rsidRPr="003017D7" w:rsidRDefault="00C51C83" w:rsidP="00270B1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3017D7">
        <w:rPr>
          <w:rFonts w:ascii="Times New Roman" w:hAnsi="Times New Roman" w:cs="Times New Roman"/>
          <w:b/>
          <w:bCs/>
        </w:rPr>
        <w:t>S1</w:t>
      </w:r>
      <w:r w:rsidR="00EC3D6B" w:rsidRPr="003017D7">
        <w:rPr>
          <w:rFonts w:ascii="Times New Roman" w:hAnsi="Times New Roman" w:cs="Times New Roman"/>
          <w:b/>
          <w:bCs/>
        </w:rPr>
        <w:t xml:space="preserve">: </w:t>
      </w:r>
      <w:r w:rsidRPr="003017D7">
        <w:rPr>
          <w:rFonts w:ascii="Times New Roman" w:hAnsi="Times New Roman" w:cs="Times New Roman"/>
          <w:b/>
          <w:bCs/>
        </w:rPr>
        <w:t>Extended details on LC-MS/MS method validation</w:t>
      </w:r>
      <w:r w:rsidR="00EC3D6B" w:rsidRPr="003017D7">
        <w:rPr>
          <w:rFonts w:ascii="Times New Roman" w:hAnsi="Times New Roman" w:cs="Times New Roman"/>
          <w:b/>
          <w:bCs/>
        </w:rPr>
        <w:t xml:space="preserve"> procedures</w:t>
      </w:r>
    </w:p>
    <w:p w:rsidR="00071E2A" w:rsidRPr="003017D7" w:rsidRDefault="00071E2A" w:rsidP="00270B1C">
      <w:pPr>
        <w:spacing w:line="480" w:lineRule="auto"/>
        <w:jc w:val="both"/>
        <w:rPr>
          <w:rFonts w:ascii="Times New Roman" w:hAnsi="Times New Roman" w:cs="Times New Roman"/>
          <w:b/>
          <w:i/>
          <w:iCs/>
          <w:lang w:val="en-US"/>
        </w:rPr>
      </w:pPr>
      <w:r w:rsidRPr="003017D7">
        <w:rPr>
          <w:rFonts w:ascii="Times New Roman" w:hAnsi="Times New Roman" w:cs="Times New Roman"/>
          <w:b/>
          <w:i/>
          <w:iCs/>
          <w:lang w:val="en-US"/>
        </w:rPr>
        <w:t>Instrument sensitivity and linearity</w:t>
      </w:r>
    </w:p>
    <w:p w:rsidR="000478AA" w:rsidRPr="003017D7" w:rsidRDefault="000478AA" w:rsidP="00270B1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3017D7">
        <w:rPr>
          <w:rFonts w:ascii="Times New Roman" w:hAnsi="Times New Roman" w:cs="Times New Roman"/>
          <w:lang w:val="en-US"/>
        </w:rPr>
        <w:t xml:space="preserve">The </w:t>
      </w:r>
      <w:r w:rsidR="00270B1C" w:rsidRPr="003017D7">
        <w:rPr>
          <w:rFonts w:ascii="Times New Roman" w:hAnsi="Times New Roman" w:cs="Times New Roman"/>
          <w:lang w:val="en-US"/>
        </w:rPr>
        <w:t>limit of detection (</w:t>
      </w:r>
      <w:r w:rsidRPr="003017D7">
        <w:rPr>
          <w:rFonts w:ascii="Times New Roman" w:hAnsi="Times New Roman" w:cs="Times New Roman"/>
          <w:lang w:val="en-US"/>
        </w:rPr>
        <w:t>LOD</w:t>
      </w:r>
      <w:r w:rsidR="00270B1C" w:rsidRPr="003017D7">
        <w:rPr>
          <w:rFonts w:ascii="Times New Roman" w:hAnsi="Times New Roman" w:cs="Times New Roman"/>
          <w:lang w:val="en-US"/>
        </w:rPr>
        <w:t>)</w:t>
      </w:r>
      <w:r w:rsidRPr="003017D7">
        <w:rPr>
          <w:rFonts w:ascii="Times New Roman" w:hAnsi="Times New Roman" w:cs="Times New Roman"/>
          <w:lang w:val="en-US"/>
        </w:rPr>
        <w:t xml:space="preserve"> was defined as the lowest concentration of analyte whose signal can be reliably differentiated from background noise (S/N value ≥ 3). The </w:t>
      </w:r>
      <w:r w:rsidR="00270B1C" w:rsidRPr="003017D7">
        <w:rPr>
          <w:rFonts w:ascii="Times New Roman" w:hAnsi="Times New Roman" w:cs="Times New Roman"/>
          <w:lang w:val="en-US"/>
        </w:rPr>
        <w:t>lower limit of quanti</w:t>
      </w:r>
      <w:r w:rsidR="001C2C51" w:rsidRPr="003017D7">
        <w:rPr>
          <w:rFonts w:ascii="Times New Roman" w:hAnsi="Times New Roman" w:cs="Times New Roman"/>
          <w:lang w:val="en-US"/>
        </w:rPr>
        <w:t>fication (</w:t>
      </w:r>
      <w:r w:rsidRPr="003017D7">
        <w:rPr>
          <w:rFonts w:ascii="Times New Roman" w:hAnsi="Times New Roman" w:cs="Times New Roman"/>
          <w:lang w:val="en-US"/>
        </w:rPr>
        <w:t>LLOQ</w:t>
      </w:r>
      <w:r w:rsidR="001C2C51" w:rsidRPr="003017D7">
        <w:rPr>
          <w:rFonts w:ascii="Times New Roman" w:hAnsi="Times New Roman" w:cs="Times New Roman"/>
          <w:lang w:val="en-US"/>
        </w:rPr>
        <w:t>)</w:t>
      </w:r>
      <w:r w:rsidRPr="003017D7">
        <w:rPr>
          <w:rFonts w:ascii="Times New Roman" w:hAnsi="Times New Roman" w:cs="Times New Roman"/>
          <w:lang w:val="en-US"/>
        </w:rPr>
        <w:t xml:space="preserve"> was defined at the lowest concentration that can be quantitatively determined with suitable precision and accuracy, S/N ≥ 10).</w:t>
      </w:r>
      <w:r w:rsidR="00BD4806" w:rsidRPr="003017D7">
        <w:rPr>
          <w:rFonts w:ascii="Times New Roman" w:hAnsi="Times New Roman" w:cs="Times New Roman"/>
          <w:lang w:val="en-US"/>
        </w:rPr>
        <w:t xml:space="preserve"> </w:t>
      </w:r>
      <w:r w:rsidRPr="003017D7">
        <w:rPr>
          <w:rFonts w:ascii="Times New Roman" w:hAnsi="Times New Roman" w:cs="Times New Roman"/>
          <w:lang w:val="en-US"/>
        </w:rPr>
        <w:t>Linearity of calibration curves were deemed suitable if the concentration</w:t>
      </w:r>
      <w:r w:rsidR="00160A26" w:rsidRPr="003017D7">
        <w:rPr>
          <w:rFonts w:ascii="Times New Roman" w:hAnsi="Times New Roman" w:cs="Times New Roman"/>
          <w:lang w:val="en-US"/>
        </w:rPr>
        <w:t>s</w:t>
      </w:r>
      <w:r w:rsidRPr="003017D7">
        <w:rPr>
          <w:rFonts w:ascii="Times New Roman" w:hAnsi="Times New Roman" w:cs="Times New Roman"/>
          <w:lang w:val="en-US"/>
        </w:rPr>
        <w:t xml:space="preserve"> for each calibrator did not deviate by more than 15% from the stated value (20% for the LLOQ) and maintained a coefficient of determination (R</w:t>
      </w:r>
      <w:r w:rsidRPr="003017D7">
        <w:rPr>
          <w:rFonts w:ascii="Times New Roman" w:hAnsi="Times New Roman" w:cs="Times New Roman"/>
          <w:vertAlign w:val="superscript"/>
          <w:lang w:val="en-US"/>
        </w:rPr>
        <w:t>2</w:t>
      </w:r>
      <w:r w:rsidRPr="003017D7">
        <w:rPr>
          <w:rFonts w:ascii="Times New Roman" w:hAnsi="Times New Roman" w:cs="Times New Roman"/>
          <w:lang w:val="en-US"/>
        </w:rPr>
        <w:t>) &gt; 0.99.</w:t>
      </w:r>
    </w:p>
    <w:p w:rsidR="00FB6149" w:rsidRPr="003017D7" w:rsidRDefault="00FB6149" w:rsidP="00270B1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FB6149" w:rsidRPr="003017D7" w:rsidRDefault="00FB6149" w:rsidP="00270B1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3017D7">
        <w:rPr>
          <w:rFonts w:ascii="Times New Roman" w:hAnsi="Times New Roman" w:cs="Times New Roman"/>
          <w:b/>
          <w:bCs/>
          <w:i/>
          <w:iCs/>
          <w:lang w:val="en-US"/>
        </w:rPr>
        <w:t>Accuracy and Precision</w:t>
      </w:r>
    </w:p>
    <w:p w:rsidR="00FB6149" w:rsidRPr="003017D7" w:rsidRDefault="00FB6149" w:rsidP="00270B1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3017D7">
        <w:rPr>
          <w:rFonts w:ascii="Times New Roman" w:hAnsi="Times New Roman" w:cs="Times New Roman"/>
          <w:lang w:val="en-US"/>
        </w:rPr>
        <w:t xml:space="preserve">Accuracy was reported as percentage relative error for the measured mean </w:t>
      </w:r>
      <w:r w:rsidR="00E3017F" w:rsidRPr="003017D7">
        <w:rPr>
          <w:rFonts w:ascii="Times New Roman" w:hAnsi="Times New Roman" w:cs="Times New Roman"/>
          <w:lang w:val="en-US"/>
        </w:rPr>
        <w:t>from</w:t>
      </w:r>
      <w:r w:rsidRPr="003017D7">
        <w:rPr>
          <w:rFonts w:ascii="Times New Roman" w:hAnsi="Times New Roman" w:cs="Times New Roman"/>
          <w:lang w:val="en-US"/>
        </w:rPr>
        <w:t xml:space="preserve"> spiked QCs against their nominal target value. Precision was calculated as the percentage of relative standard from repeated QC measurements.</w:t>
      </w:r>
    </w:p>
    <w:p w:rsidR="00FB6149" w:rsidRPr="003017D7" w:rsidRDefault="00FB6149" w:rsidP="00270B1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FB6149" w:rsidRPr="003017D7" w:rsidRDefault="00FB6149" w:rsidP="00270B1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3017D7">
        <w:rPr>
          <w:rFonts w:ascii="Times New Roman" w:hAnsi="Times New Roman" w:cs="Times New Roman"/>
          <w:b/>
          <w:bCs/>
          <w:i/>
          <w:iCs/>
          <w:lang w:val="en-US"/>
        </w:rPr>
        <w:t>Stability</w:t>
      </w:r>
    </w:p>
    <w:p w:rsidR="00FB6149" w:rsidRPr="003017D7" w:rsidRDefault="00FB6149" w:rsidP="00270B1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3017D7">
        <w:rPr>
          <w:rFonts w:ascii="Times New Roman" w:hAnsi="Times New Roman" w:cs="Times New Roman"/>
          <w:lang w:val="en-US"/>
        </w:rPr>
        <w:t xml:space="preserve">Stability values were expressed as a percentage coefficient of the deviation between condition and reference value against the mean. Reported values were deemed acceptable if they did not deviate more than 15% from the expected value. </w:t>
      </w:r>
    </w:p>
    <w:p w:rsidR="003A2D07" w:rsidRPr="003017D7" w:rsidRDefault="003A2D07" w:rsidP="00270B1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885E57" w:rsidRPr="003017D7" w:rsidRDefault="00885E57" w:rsidP="00270B1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3017D7">
        <w:rPr>
          <w:rFonts w:ascii="Times New Roman" w:hAnsi="Times New Roman" w:cs="Times New Roman"/>
          <w:b/>
          <w:bCs/>
          <w:i/>
          <w:iCs/>
          <w:lang w:val="en-US"/>
        </w:rPr>
        <w:t xml:space="preserve">Matrix Effects </w:t>
      </w:r>
    </w:p>
    <w:p w:rsidR="00F25F10" w:rsidRPr="003017D7" w:rsidRDefault="00F36F18" w:rsidP="00270B1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3017D7">
        <w:rPr>
          <w:rFonts w:ascii="Times New Roman" w:hAnsi="Times New Roman" w:cs="Times New Roman"/>
          <w:lang w:val="en-US"/>
        </w:rPr>
        <w:t xml:space="preserve">Matrix effect was calculated as the % difference between peak area of serum spiked with analytes post-extraction, against analytes spiked directly in methanol. Triplicate </w:t>
      </w:r>
      <w:r w:rsidR="00F25F10" w:rsidRPr="003017D7">
        <w:rPr>
          <w:rFonts w:ascii="Times New Roman" w:hAnsi="Times New Roman" w:cs="Times New Roman"/>
          <w:lang w:val="en-US"/>
        </w:rPr>
        <w:t xml:space="preserve">analyses </w:t>
      </w:r>
      <w:r w:rsidR="00F25F10" w:rsidRPr="003017D7">
        <w:rPr>
          <w:rFonts w:ascii="Times New Roman" w:hAnsi="Times New Roman" w:cs="Times New Roman"/>
          <w:lang w:val="en-US"/>
        </w:rPr>
        <w:lastRenderedPageBreak/>
        <w:t>were performed with analytes using concentrations at QCs 1, 2</w:t>
      </w:r>
      <w:r w:rsidR="004F1C8E">
        <w:rPr>
          <w:rFonts w:ascii="Times New Roman" w:hAnsi="Times New Roman" w:cs="Times New Roman"/>
          <w:lang w:val="en-US"/>
        </w:rPr>
        <w:t>,</w:t>
      </w:r>
      <w:r w:rsidR="00F25F10" w:rsidRPr="003017D7">
        <w:rPr>
          <w:rFonts w:ascii="Times New Roman" w:hAnsi="Times New Roman" w:cs="Times New Roman"/>
          <w:lang w:val="en-US"/>
        </w:rPr>
        <w:t xml:space="preserve"> and 3 as reference. In addition</w:t>
      </w:r>
      <w:r w:rsidR="002C6F57" w:rsidRPr="003017D7">
        <w:rPr>
          <w:rFonts w:ascii="Times New Roman" w:hAnsi="Times New Roman" w:cs="Times New Roman"/>
          <w:lang w:val="en-US"/>
        </w:rPr>
        <w:t>,</w:t>
      </w:r>
      <w:r w:rsidR="00F25F10" w:rsidRPr="003017D7">
        <w:rPr>
          <w:rFonts w:ascii="Times New Roman" w:hAnsi="Times New Roman" w:cs="Times New Roman"/>
          <w:lang w:val="en-US"/>
        </w:rPr>
        <w:t xml:space="preserve"> the normalized matrix effects </w:t>
      </w:r>
      <w:r w:rsidR="008932CD">
        <w:rPr>
          <w:rFonts w:ascii="Times New Roman" w:hAnsi="Times New Roman" w:cs="Times New Roman"/>
          <w:lang w:val="en-US"/>
        </w:rPr>
        <w:t>were</w:t>
      </w:r>
      <w:r w:rsidR="00F25F10" w:rsidRPr="003017D7">
        <w:rPr>
          <w:rFonts w:ascii="Times New Roman" w:hAnsi="Times New Roman" w:cs="Times New Roman"/>
          <w:lang w:val="en-US"/>
        </w:rPr>
        <w:t xml:space="preserve"> also examined, </w:t>
      </w:r>
      <w:r w:rsidR="00910BAA" w:rsidRPr="003017D7">
        <w:rPr>
          <w:rFonts w:ascii="Times New Roman" w:hAnsi="Times New Roman" w:cs="Times New Roman"/>
          <w:lang w:val="en-US"/>
        </w:rPr>
        <w:t>defined</w:t>
      </w:r>
      <w:r w:rsidR="00F25F10" w:rsidRPr="003017D7">
        <w:rPr>
          <w:rFonts w:ascii="Times New Roman" w:hAnsi="Times New Roman" w:cs="Times New Roman"/>
          <w:lang w:val="en-US"/>
        </w:rPr>
        <w:t xml:space="preserve"> </w:t>
      </w:r>
      <w:r w:rsidR="00910BAA" w:rsidRPr="003017D7">
        <w:rPr>
          <w:rFonts w:ascii="Times New Roman" w:hAnsi="Times New Roman" w:cs="Times New Roman"/>
          <w:lang w:val="en-US"/>
        </w:rPr>
        <w:t>as</w:t>
      </w:r>
      <w:r w:rsidR="00F25F10" w:rsidRPr="003017D7">
        <w:rPr>
          <w:rFonts w:ascii="Times New Roman" w:hAnsi="Times New Roman" w:cs="Times New Roman"/>
          <w:lang w:val="en-US"/>
        </w:rPr>
        <w:t xml:space="preserve"> the observed </w:t>
      </w:r>
      <w:r w:rsidR="00910BAA" w:rsidRPr="003017D7">
        <w:rPr>
          <w:rFonts w:ascii="Times New Roman" w:hAnsi="Times New Roman" w:cs="Times New Roman"/>
          <w:lang w:val="en-US"/>
        </w:rPr>
        <w:t>variability</w:t>
      </w:r>
      <w:r w:rsidR="00F25F10" w:rsidRPr="003017D7">
        <w:rPr>
          <w:rFonts w:ascii="Times New Roman" w:hAnsi="Times New Roman" w:cs="Times New Roman"/>
          <w:lang w:val="en-US"/>
        </w:rPr>
        <w:t xml:space="preserve"> between the two conditions </w:t>
      </w:r>
      <w:r w:rsidR="00910BAA" w:rsidRPr="003017D7">
        <w:rPr>
          <w:rFonts w:ascii="Times New Roman" w:hAnsi="Times New Roman" w:cs="Times New Roman"/>
          <w:lang w:val="en-US"/>
        </w:rPr>
        <w:t xml:space="preserve">(post-extraction and neat solvent) </w:t>
      </w:r>
      <w:r w:rsidR="00F25F10" w:rsidRPr="003017D7">
        <w:rPr>
          <w:rFonts w:ascii="Times New Roman" w:hAnsi="Times New Roman" w:cs="Times New Roman"/>
          <w:lang w:val="en-US"/>
        </w:rPr>
        <w:t xml:space="preserve">when analytes </w:t>
      </w:r>
      <w:r w:rsidR="00910BAA" w:rsidRPr="003017D7">
        <w:rPr>
          <w:rFonts w:ascii="Times New Roman" w:hAnsi="Times New Roman" w:cs="Times New Roman"/>
          <w:lang w:val="en-US"/>
        </w:rPr>
        <w:t>are</w:t>
      </w:r>
      <w:r w:rsidR="00F25F10" w:rsidRPr="003017D7">
        <w:rPr>
          <w:rFonts w:ascii="Times New Roman" w:hAnsi="Times New Roman" w:cs="Times New Roman"/>
          <w:lang w:val="en-US"/>
        </w:rPr>
        <w:t xml:space="preserve"> normalized to their respective </w:t>
      </w:r>
      <w:proofErr w:type="spellStart"/>
      <w:r w:rsidR="00F25F10" w:rsidRPr="003017D7">
        <w:rPr>
          <w:rFonts w:ascii="Times New Roman" w:hAnsi="Times New Roman" w:cs="Times New Roman"/>
          <w:lang w:val="en-US"/>
        </w:rPr>
        <w:t>deuterated</w:t>
      </w:r>
      <w:proofErr w:type="spellEnd"/>
      <w:r w:rsidR="00F25F10" w:rsidRPr="003017D7">
        <w:rPr>
          <w:rFonts w:ascii="Times New Roman" w:hAnsi="Times New Roman" w:cs="Times New Roman"/>
          <w:lang w:val="en-US"/>
        </w:rPr>
        <w:t xml:space="preserve"> standard</w:t>
      </w:r>
      <w:r w:rsidR="00936BAC">
        <w:rPr>
          <w:rFonts w:ascii="Times New Roman" w:hAnsi="Times New Roman" w:cs="Times New Roman"/>
          <w:lang w:val="en-US"/>
        </w:rPr>
        <w:t>.</w:t>
      </w:r>
      <w:r w:rsidR="00936BAC" w:rsidRPr="003017D7">
        <w:rPr>
          <w:rFonts w:ascii="Times New Roman" w:hAnsi="Times New Roman" w:cs="Times New Roman"/>
          <w:lang w:val="en-US"/>
        </w:rPr>
        <w:t xml:space="preserve"> </w:t>
      </w:r>
      <w:r w:rsidR="00F25F10" w:rsidRPr="003017D7">
        <w:rPr>
          <w:rFonts w:ascii="Times New Roman" w:hAnsi="Times New Roman" w:cs="Times New Roman"/>
          <w:lang w:val="en-US"/>
        </w:rPr>
        <w:t>Th</w:t>
      </w:r>
      <w:r w:rsidR="00910BAA" w:rsidRPr="003017D7">
        <w:rPr>
          <w:rFonts w:ascii="Times New Roman" w:hAnsi="Times New Roman" w:cs="Times New Roman"/>
          <w:lang w:val="en-US"/>
        </w:rPr>
        <w:t>is</w:t>
      </w:r>
      <w:r w:rsidR="00F25F10" w:rsidRPr="003017D7">
        <w:rPr>
          <w:rFonts w:ascii="Times New Roman" w:hAnsi="Times New Roman" w:cs="Times New Roman"/>
          <w:lang w:val="en-US"/>
        </w:rPr>
        <w:t xml:space="preserve"> normalized matrix effect was deemed significant if variability was above 15%.</w:t>
      </w:r>
    </w:p>
    <w:p w:rsidR="003A2D07" w:rsidRPr="003017D7" w:rsidRDefault="003A2D07" w:rsidP="00270B1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F36F18" w:rsidRPr="003017D7" w:rsidRDefault="003A2D07" w:rsidP="00270B1C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3017D7">
        <w:rPr>
          <w:rFonts w:ascii="Times New Roman" w:hAnsi="Times New Roman" w:cs="Times New Roman"/>
          <w:b/>
          <w:bCs/>
          <w:i/>
          <w:iCs/>
          <w:lang w:val="en-US"/>
        </w:rPr>
        <w:t>Sample Recovery</w:t>
      </w:r>
    </w:p>
    <w:p w:rsidR="000478AA" w:rsidRPr="003017D7" w:rsidRDefault="00270B1C" w:rsidP="00270B1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3017D7">
        <w:rPr>
          <w:rFonts w:ascii="Times New Roman" w:hAnsi="Times New Roman" w:cs="Times New Roman"/>
          <w:lang w:val="en-US"/>
        </w:rPr>
        <w:t>Sample recovery was assessed serum specimens from the same healthy male subject. Serum was spiked at three different concentrations (QC1, 2</w:t>
      </w:r>
      <w:r w:rsidR="00936BAC">
        <w:rPr>
          <w:rFonts w:ascii="Times New Roman" w:hAnsi="Times New Roman" w:cs="Times New Roman"/>
          <w:lang w:val="en-US"/>
        </w:rPr>
        <w:t>,</w:t>
      </w:r>
      <w:r w:rsidRPr="003017D7">
        <w:rPr>
          <w:rFonts w:ascii="Times New Roman" w:hAnsi="Times New Roman" w:cs="Times New Roman"/>
          <w:lang w:val="en-US"/>
        </w:rPr>
        <w:t xml:space="preserve"> and 3) with naturally occurring standards and corresponding deuterated internal standards. Recovery of each analyte following extraction was assessed serum spiked with same analyte concentration pos-extraction. </w:t>
      </w:r>
    </w:p>
    <w:p w:rsidR="000478AA" w:rsidRPr="003017D7" w:rsidRDefault="000478AA" w:rsidP="00270B1C">
      <w:pPr>
        <w:spacing w:line="480" w:lineRule="auto"/>
        <w:jc w:val="both"/>
        <w:rPr>
          <w:rFonts w:ascii="Times New Roman" w:hAnsi="Times New Roman" w:cs="Times New Roman"/>
        </w:rPr>
      </w:pPr>
    </w:p>
    <w:sectPr w:rsidR="000478AA" w:rsidRPr="003017D7" w:rsidSect="005872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rin Rohleder">
    <w15:presenceInfo w15:providerId="Windows Live" w15:userId="90e916fd8296f5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5549CB"/>
    <w:rsid w:val="000478AA"/>
    <w:rsid w:val="00071E2A"/>
    <w:rsid w:val="00081678"/>
    <w:rsid w:val="00095479"/>
    <w:rsid w:val="000D1C8B"/>
    <w:rsid w:val="0014035B"/>
    <w:rsid w:val="00160A26"/>
    <w:rsid w:val="00175138"/>
    <w:rsid w:val="00185796"/>
    <w:rsid w:val="001B2170"/>
    <w:rsid w:val="001C2C51"/>
    <w:rsid w:val="001C365F"/>
    <w:rsid w:val="00210256"/>
    <w:rsid w:val="002207F8"/>
    <w:rsid w:val="00264D23"/>
    <w:rsid w:val="00270B1C"/>
    <w:rsid w:val="002C6F57"/>
    <w:rsid w:val="003017D7"/>
    <w:rsid w:val="00303629"/>
    <w:rsid w:val="00382DAC"/>
    <w:rsid w:val="00387663"/>
    <w:rsid w:val="003A2D07"/>
    <w:rsid w:val="003D613E"/>
    <w:rsid w:val="00420673"/>
    <w:rsid w:val="00480B03"/>
    <w:rsid w:val="004A223D"/>
    <w:rsid w:val="004A45D3"/>
    <w:rsid w:val="004D0251"/>
    <w:rsid w:val="004E2A8A"/>
    <w:rsid w:val="004F1C8E"/>
    <w:rsid w:val="0051235B"/>
    <w:rsid w:val="00516234"/>
    <w:rsid w:val="00531F7B"/>
    <w:rsid w:val="0055392E"/>
    <w:rsid w:val="005549CB"/>
    <w:rsid w:val="005872B9"/>
    <w:rsid w:val="005A39EF"/>
    <w:rsid w:val="005C1836"/>
    <w:rsid w:val="005E7C25"/>
    <w:rsid w:val="005F35C5"/>
    <w:rsid w:val="006075C1"/>
    <w:rsid w:val="00615C7B"/>
    <w:rsid w:val="00625DE2"/>
    <w:rsid w:val="00696039"/>
    <w:rsid w:val="006C624D"/>
    <w:rsid w:val="007014DC"/>
    <w:rsid w:val="007114E4"/>
    <w:rsid w:val="00733820"/>
    <w:rsid w:val="00761FBD"/>
    <w:rsid w:val="00773BD3"/>
    <w:rsid w:val="00777E4A"/>
    <w:rsid w:val="00781DE3"/>
    <w:rsid w:val="00795A6E"/>
    <w:rsid w:val="007C176F"/>
    <w:rsid w:val="007D7C2A"/>
    <w:rsid w:val="007E4801"/>
    <w:rsid w:val="007E5773"/>
    <w:rsid w:val="007E6690"/>
    <w:rsid w:val="00805ED1"/>
    <w:rsid w:val="00842240"/>
    <w:rsid w:val="00856969"/>
    <w:rsid w:val="00885E57"/>
    <w:rsid w:val="008932CD"/>
    <w:rsid w:val="00903EF2"/>
    <w:rsid w:val="00910BAA"/>
    <w:rsid w:val="0093480D"/>
    <w:rsid w:val="00936BAC"/>
    <w:rsid w:val="00977ED9"/>
    <w:rsid w:val="00981BBD"/>
    <w:rsid w:val="009D7276"/>
    <w:rsid w:val="00A276DC"/>
    <w:rsid w:val="00A55431"/>
    <w:rsid w:val="00A612D6"/>
    <w:rsid w:val="00AB5FF8"/>
    <w:rsid w:val="00AD1956"/>
    <w:rsid w:val="00AE6292"/>
    <w:rsid w:val="00AE7960"/>
    <w:rsid w:val="00AF64E4"/>
    <w:rsid w:val="00B47C26"/>
    <w:rsid w:val="00B52A31"/>
    <w:rsid w:val="00B726B3"/>
    <w:rsid w:val="00BD4806"/>
    <w:rsid w:val="00BE58C8"/>
    <w:rsid w:val="00C30DA0"/>
    <w:rsid w:val="00C349C3"/>
    <w:rsid w:val="00C378AC"/>
    <w:rsid w:val="00C51C83"/>
    <w:rsid w:val="00C5539A"/>
    <w:rsid w:val="00C8461D"/>
    <w:rsid w:val="00CA6B66"/>
    <w:rsid w:val="00CB6E6A"/>
    <w:rsid w:val="00CC5E7E"/>
    <w:rsid w:val="00D0313E"/>
    <w:rsid w:val="00D05CA2"/>
    <w:rsid w:val="00D35226"/>
    <w:rsid w:val="00D501DC"/>
    <w:rsid w:val="00D80B7B"/>
    <w:rsid w:val="00D82409"/>
    <w:rsid w:val="00DA55EF"/>
    <w:rsid w:val="00DE4F52"/>
    <w:rsid w:val="00DF5C7E"/>
    <w:rsid w:val="00DF5F56"/>
    <w:rsid w:val="00E3017F"/>
    <w:rsid w:val="00E622EB"/>
    <w:rsid w:val="00EC261A"/>
    <w:rsid w:val="00EC27DF"/>
    <w:rsid w:val="00EC3D6B"/>
    <w:rsid w:val="00EE3B9D"/>
    <w:rsid w:val="00EE53FD"/>
    <w:rsid w:val="00F070F8"/>
    <w:rsid w:val="00F25F10"/>
    <w:rsid w:val="00F36F18"/>
    <w:rsid w:val="00F614EF"/>
    <w:rsid w:val="00F740B2"/>
    <w:rsid w:val="00F86629"/>
    <w:rsid w:val="00F91453"/>
    <w:rsid w:val="00FB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71E2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E2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1E2A"/>
    <w:rPr>
      <w:sz w:val="16"/>
      <w:szCs w:val="16"/>
    </w:rPr>
  </w:style>
  <w:style w:type="paragraph" w:styleId="Revision">
    <w:name w:val="Revision"/>
    <w:hidden/>
    <w:uiPriority w:val="99"/>
    <w:semiHidden/>
    <w:rsid w:val="00F91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2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30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Couttas</dc:creator>
  <cp:keywords/>
  <dc:description/>
  <cp:lastModifiedBy>xml</cp:lastModifiedBy>
  <cp:revision>9</cp:revision>
  <dcterms:created xsi:type="dcterms:W3CDTF">2022-02-22T12:16:00Z</dcterms:created>
  <dcterms:modified xsi:type="dcterms:W3CDTF">2022-05-17T05:38:00Z</dcterms:modified>
</cp:coreProperties>
</file>