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8F" w:rsidRPr="00DB22F9" w:rsidRDefault="00654E8F" w:rsidP="004C7D80">
      <w:pPr>
        <w:pStyle w:val="SupplementaryMaterial"/>
        <w:spacing w:line="480" w:lineRule="auto"/>
        <w:jc w:val="left"/>
        <w:rPr>
          <w:rFonts w:asciiTheme="minorHAnsi" w:hAnsiTheme="minorHAnsi" w:cstheme="minorHAnsi"/>
          <w:b w:val="0"/>
          <w:i w:val="0"/>
          <w:iCs/>
        </w:rPr>
      </w:pPr>
      <w:r w:rsidRPr="00DB22F9">
        <w:rPr>
          <w:rFonts w:asciiTheme="minorHAnsi" w:hAnsiTheme="minorHAnsi" w:cstheme="minorHAnsi"/>
          <w:i w:val="0"/>
          <w:iCs/>
        </w:rPr>
        <w:t xml:space="preserve">Supplementary </w:t>
      </w:r>
      <w:r w:rsidR="00EF7B80">
        <w:rPr>
          <w:rFonts w:asciiTheme="minorHAnsi" w:hAnsiTheme="minorHAnsi" w:cstheme="minorHAnsi"/>
          <w:i w:val="0"/>
          <w:iCs/>
        </w:rPr>
        <w:t>Data</w:t>
      </w:r>
    </w:p>
    <w:p w:rsidR="00F24E88" w:rsidRPr="00573AF5" w:rsidRDefault="0049175A" w:rsidP="00F24E88">
      <w:pPr>
        <w:spacing w:line="480" w:lineRule="auto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Solid-State Microwave</w:t>
      </w:r>
      <w:r w:rsidR="00F170CF" w:rsidRPr="00573AF5">
        <w:rPr>
          <w:rFonts w:asciiTheme="minorHAnsi" w:hAnsiTheme="minorHAnsi" w:cstheme="minorHAnsi"/>
          <w:b/>
          <w:bCs/>
          <w:szCs w:val="24"/>
        </w:rPr>
        <w:t xml:space="preserve"> Drying for Medical Cannabis Inflorescences - A Rapid and Controlled Alternative to Traditional Drying </w:t>
      </w:r>
    </w:p>
    <w:p w:rsidR="00F24E88" w:rsidRPr="00573AF5" w:rsidRDefault="00F24E88" w:rsidP="002C0285">
      <w:pPr>
        <w:spacing w:before="0" w:after="200" w:line="360" w:lineRule="auto"/>
        <w:rPr>
          <w:rFonts w:asciiTheme="minorHAnsi" w:hAnsiTheme="minorHAnsi" w:cstheme="minorHAnsi"/>
          <w:b/>
          <w:bCs/>
          <w:szCs w:val="24"/>
        </w:rPr>
      </w:pPr>
      <w:r w:rsidRPr="00573AF5">
        <w:rPr>
          <w:rFonts w:asciiTheme="minorHAnsi" w:hAnsiTheme="minorHAnsi" w:cstheme="minorHAnsi"/>
          <w:b/>
          <w:bCs/>
          <w:szCs w:val="24"/>
        </w:rPr>
        <w:t>Supplementary Methods</w:t>
      </w:r>
    </w:p>
    <w:p w:rsidR="00C9527E" w:rsidRPr="00573AF5" w:rsidRDefault="007C0AAF" w:rsidP="002C0285">
      <w:pPr>
        <w:spacing w:before="0" w:after="200" w:line="360" w:lineRule="auto"/>
        <w:rPr>
          <w:rFonts w:asciiTheme="minorHAnsi" w:hAnsiTheme="minorHAnsi" w:cstheme="minorHAnsi"/>
          <w:b/>
          <w:szCs w:val="24"/>
        </w:rPr>
      </w:pPr>
      <w:r w:rsidRPr="00573AF5">
        <w:rPr>
          <w:rFonts w:asciiTheme="minorHAnsi" w:hAnsiTheme="minorHAnsi" w:cstheme="minorHAnsi"/>
          <w:b/>
          <w:bCs/>
          <w:szCs w:val="24"/>
        </w:rPr>
        <w:t>Figure S1.</w:t>
      </w:r>
      <w:r w:rsidRPr="00573AF5">
        <w:rPr>
          <w:rFonts w:asciiTheme="minorHAnsi" w:hAnsiTheme="minorHAnsi" w:cstheme="minorHAnsi"/>
          <w:szCs w:val="24"/>
        </w:rPr>
        <w:t xml:space="preserve"> Comparison of phytocannabinoid profiles of Cannabis inflorescences by ESI-LC/MS</w:t>
      </w:r>
    </w:p>
    <w:p w:rsidR="00C9527E" w:rsidRPr="00573AF5" w:rsidRDefault="00C9527E" w:rsidP="002C0285">
      <w:pPr>
        <w:spacing w:before="0" w:after="160" w:line="360" w:lineRule="auto"/>
        <w:rPr>
          <w:rFonts w:asciiTheme="minorHAnsi" w:eastAsia="Calibri" w:hAnsiTheme="minorHAnsi" w:cstheme="minorHAnsi"/>
          <w:szCs w:val="24"/>
          <w:lang w:bidi="he-IL"/>
        </w:rPr>
      </w:pPr>
      <w:r w:rsidRPr="00573AF5">
        <w:rPr>
          <w:rFonts w:asciiTheme="minorHAnsi" w:eastAsia="Calibri" w:hAnsiTheme="minorHAnsi" w:cstheme="minorHAnsi"/>
          <w:b/>
          <w:bCs/>
          <w:szCs w:val="24"/>
          <w:lang w:bidi="he-IL"/>
        </w:rPr>
        <w:t xml:space="preserve">Table S1. </w:t>
      </w:r>
      <w:r w:rsidRPr="00573AF5">
        <w:rPr>
          <w:rFonts w:asciiTheme="minorHAnsi" w:eastAsia="Calibri" w:hAnsiTheme="minorHAnsi" w:cstheme="minorHAnsi"/>
          <w:szCs w:val="24"/>
          <w:lang w:bidi="he-IL"/>
        </w:rPr>
        <w:t xml:space="preserve">List of full and abbreviated names of phytocannabinoids </w:t>
      </w:r>
    </w:p>
    <w:p w:rsidR="00F24E88" w:rsidRPr="00573AF5" w:rsidRDefault="00F24E88" w:rsidP="002C0285">
      <w:pPr>
        <w:spacing w:before="0" w:after="160" w:line="360" w:lineRule="auto"/>
        <w:rPr>
          <w:rFonts w:asciiTheme="minorHAnsi" w:eastAsia="Calibri" w:hAnsiTheme="minorHAnsi" w:cstheme="minorHAnsi"/>
          <w:szCs w:val="24"/>
          <w:lang w:bidi="he-IL"/>
        </w:rPr>
      </w:pPr>
    </w:p>
    <w:p w:rsidR="00F24E88" w:rsidRPr="00573AF5" w:rsidRDefault="00F24E88" w:rsidP="002C0285">
      <w:pPr>
        <w:spacing w:before="0" w:after="160" w:line="360" w:lineRule="auto"/>
        <w:rPr>
          <w:rFonts w:asciiTheme="minorHAnsi" w:hAnsiTheme="minorHAnsi" w:cstheme="minorHAnsi"/>
          <w:b/>
          <w:bCs/>
          <w:szCs w:val="24"/>
        </w:rPr>
      </w:pPr>
      <w:r w:rsidRPr="00573AF5">
        <w:rPr>
          <w:rFonts w:asciiTheme="minorHAnsi" w:hAnsiTheme="minorHAnsi" w:cstheme="minorHAnsi"/>
          <w:b/>
          <w:bCs/>
          <w:szCs w:val="24"/>
        </w:rPr>
        <w:t>Chemicals and reagents</w:t>
      </w:r>
    </w:p>
    <w:p w:rsidR="00F24E88" w:rsidRPr="00573AF5" w:rsidRDefault="00F24E88" w:rsidP="008740B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573AF5">
        <w:rPr>
          <w:rFonts w:asciiTheme="minorHAnsi" w:hAnsiTheme="minorHAnsi" w:cstheme="minorHAnsi"/>
          <w:szCs w:val="24"/>
        </w:rPr>
        <w:t>Liquid chromatography-mass spectrometric (LC/MS) grade acetonitrile, methanol, and water for the mobile phase; ethanol, for standard solutions and sample preparation; and headspace gas chromatography (GC) grade dimethyl sulfoxide (DMSO) were purchased from Mercury Scientific and Industrial Products Ltd. (Rosh Haayin, Israel). LC/MS grade acetic acid was obtained from BioLab Ltd. (Jerusalem, Israel); LC/MS grade n-Hexane for terpenoid standard solution preparation was purchased from Merck (KGaA, Germany). Phytocannabinoid analytical standards (&gt; 98%) cannabigerol (CBG), (-)-Δ</w:t>
      </w:r>
      <w:r w:rsidRPr="00573AF5">
        <w:rPr>
          <w:rFonts w:asciiTheme="minorHAnsi" w:hAnsiTheme="minorHAnsi" w:cstheme="minorHAnsi"/>
          <w:szCs w:val="24"/>
          <w:vertAlign w:val="superscript"/>
        </w:rPr>
        <w:t>9</w:t>
      </w:r>
      <w:r w:rsidRPr="00573AF5">
        <w:rPr>
          <w:rFonts w:asciiTheme="minorHAnsi" w:hAnsiTheme="minorHAnsi" w:cstheme="minorHAnsi"/>
          <w:szCs w:val="24"/>
        </w:rPr>
        <w:t>-</w:t>
      </w:r>
      <w:r w:rsidRPr="00573AF5">
        <w:rPr>
          <w:rFonts w:asciiTheme="minorHAnsi" w:hAnsiTheme="minorHAnsi" w:cstheme="minorHAnsi"/>
          <w:i/>
          <w:iCs/>
          <w:szCs w:val="24"/>
        </w:rPr>
        <w:t>trans</w:t>
      </w:r>
      <w:r w:rsidRPr="00573AF5">
        <w:rPr>
          <w:rFonts w:asciiTheme="minorHAnsi" w:hAnsiTheme="minorHAnsi" w:cstheme="minorHAnsi"/>
          <w:szCs w:val="24"/>
        </w:rPr>
        <w:t>-tetrahydrocannabinol (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hAnsiTheme="minorHAnsi" w:cstheme="minorHAnsi"/>
          <w:szCs w:val="24"/>
          <w:vertAlign w:val="superscript"/>
        </w:rPr>
        <w:t xml:space="preserve">9 </w:t>
      </w:r>
      <w:r w:rsidRPr="00573AF5">
        <w:rPr>
          <w:rFonts w:asciiTheme="minorHAnsi" w:hAnsiTheme="minorHAnsi" w:cstheme="minorHAnsi"/>
          <w:szCs w:val="24"/>
        </w:rPr>
        <w:t>-THC), cannabidiol (CBD), cannabichromene (CBC), cannabinol (CBN), cannabigerolic acid (CBGA), (-)-Δ</w:t>
      </w:r>
      <w:r w:rsidRPr="00573AF5">
        <w:rPr>
          <w:rFonts w:asciiTheme="minorHAnsi" w:hAnsiTheme="minorHAnsi" w:cstheme="minorHAnsi"/>
          <w:szCs w:val="24"/>
          <w:vertAlign w:val="superscript"/>
        </w:rPr>
        <w:t>9</w:t>
      </w:r>
      <w:r w:rsidRPr="00573AF5">
        <w:rPr>
          <w:rFonts w:asciiTheme="minorHAnsi" w:hAnsiTheme="minorHAnsi" w:cstheme="minorHAnsi"/>
          <w:szCs w:val="24"/>
        </w:rPr>
        <w:t>-tetrahydrocannabinolic acid (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hAnsiTheme="minorHAnsi" w:cstheme="minorHAnsi"/>
          <w:szCs w:val="24"/>
          <w:vertAlign w:val="superscript"/>
        </w:rPr>
        <w:t xml:space="preserve">9 </w:t>
      </w:r>
      <w:r w:rsidRPr="00573AF5">
        <w:rPr>
          <w:rFonts w:asciiTheme="minorHAnsi" w:hAnsiTheme="minorHAnsi" w:cstheme="minorHAnsi"/>
          <w:szCs w:val="24"/>
        </w:rPr>
        <w:t>-THCA), cannabidiolic acid (CBDA), cannabinolic acid (CBNA), cannabichromenic acid (CBCA), (-)-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hAnsiTheme="minorHAnsi" w:cstheme="minorHAnsi"/>
          <w:szCs w:val="24"/>
          <w:vertAlign w:val="superscript"/>
        </w:rPr>
        <w:t>8</w:t>
      </w:r>
      <w:r w:rsidRPr="00573AF5">
        <w:rPr>
          <w:rFonts w:asciiTheme="minorHAnsi" w:hAnsiTheme="minorHAnsi" w:cstheme="minorHAnsi"/>
          <w:szCs w:val="24"/>
        </w:rPr>
        <w:t xml:space="preserve"> -trans-tetrahydrocannabinol (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hAnsiTheme="minorHAnsi" w:cstheme="minorHAnsi"/>
          <w:szCs w:val="24"/>
          <w:vertAlign w:val="superscript"/>
        </w:rPr>
        <w:t>8</w:t>
      </w:r>
      <w:r w:rsidRPr="00573AF5">
        <w:rPr>
          <w:rFonts w:asciiTheme="minorHAnsi" w:hAnsiTheme="minorHAnsi" w:cstheme="minorHAnsi"/>
          <w:szCs w:val="24"/>
        </w:rPr>
        <w:t>-THC), (-)-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hAnsiTheme="minorHAnsi" w:cstheme="minorHAnsi"/>
          <w:szCs w:val="24"/>
          <w:vertAlign w:val="superscript"/>
        </w:rPr>
        <w:t xml:space="preserve">9 </w:t>
      </w:r>
      <w:r w:rsidRPr="00573AF5">
        <w:rPr>
          <w:rFonts w:asciiTheme="minorHAnsi" w:hAnsiTheme="minorHAnsi" w:cstheme="minorHAnsi"/>
          <w:szCs w:val="24"/>
        </w:rPr>
        <w:t>-tetrahydrocannabivarin (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hAnsiTheme="minorHAnsi" w:cstheme="minorHAnsi"/>
          <w:szCs w:val="24"/>
          <w:vertAlign w:val="superscript"/>
        </w:rPr>
        <w:t xml:space="preserve">9 </w:t>
      </w:r>
      <w:r w:rsidRPr="00573AF5">
        <w:rPr>
          <w:rFonts w:asciiTheme="minorHAnsi" w:hAnsiTheme="minorHAnsi" w:cstheme="minorHAnsi"/>
          <w:szCs w:val="24"/>
        </w:rPr>
        <w:t xml:space="preserve">-THCV), cannabidivarin (CBDV), cannabidivarinic acid (CBDVA), and cannabicyclol (CBL) were purchased from Sigma-Aldrich (Rehovot, Israel); cannabichromevarin (CBCV) and cannabicitran were purchased from Cayman Chemical (Ann Arbor, MI, United </w:t>
      </w:r>
      <w:r w:rsidRPr="00573AF5">
        <w:rPr>
          <w:rFonts w:asciiTheme="minorHAnsi" w:hAnsiTheme="minorHAnsi" w:cstheme="minorHAnsi"/>
          <w:szCs w:val="24"/>
        </w:rPr>
        <w:lastRenderedPageBreak/>
        <w:t xml:space="preserve">States). Terpenoid analytical standards (&gt; 95%), α-terpinene, linalool, fenchol, fenchone, menthol, borneol, α-terpineol, d3-Carene, p-cymene, camphor, isopulegol, isoborneol, geraniol, nerol, pulegone, trans-b-farnesene, cedrol, cis-Nerolidol, and caryophyllene oxide were purchased from Sigma-Aldrich (Rehovot, Israel); valencene (&gt; 80% pure), α- and β-pinene, camphene, β-myrcene, α-bisabolol, β-caryophyllene, α-humulene, limonene, trans-nerolidol, cis and trans ocimene, and terpinolene (&gt;90% pure) were purchased from Restek (PA, United States); eucalyptol, guaiol, and sabinene (&gt;90% pure) were purchased from Extrasynthese (Genay, France); and ledene (&gt;90% pure) was purchased from Toronto Research Chemicals (Toronto, Canada). </w:t>
      </w:r>
    </w:p>
    <w:p w:rsidR="00F24E88" w:rsidRDefault="00F24E88" w:rsidP="00B41731">
      <w:pPr>
        <w:spacing w:before="0" w:after="0" w:line="480" w:lineRule="auto"/>
        <w:rPr>
          <w:rFonts w:asciiTheme="minorHAnsi" w:eastAsia="Calibri" w:hAnsiTheme="minorHAnsi" w:cstheme="minorHAnsi"/>
          <w:b/>
          <w:bCs/>
          <w:szCs w:val="24"/>
          <w:lang w:bidi="he-IL"/>
        </w:rPr>
      </w:pPr>
      <w:r w:rsidRPr="00573AF5">
        <w:rPr>
          <w:rFonts w:asciiTheme="minorHAnsi" w:eastAsia="Calibri" w:hAnsiTheme="minorHAnsi" w:cstheme="minorHAnsi"/>
          <w:b/>
          <w:bCs/>
          <w:szCs w:val="24"/>
          <w:lang w:bidi="he-IL"/>
        </w:rPr>
        <w:t>Phytocannabinoid Identification and quantification</w:t>
      </w:r>
    </w:p>
    <w:p w:rsidR="00B41731" w:rsidRDefault="009A7E03" w:rsidP="00B41731">
      <w:pPr>
        <w:spacing w:before="0" w:after="160" w:line="480" w:lineRule="auto"/>
        <w:jc w:val="both"/>
        <w:rPr>
          <w:rFonts w:asciiTheme="minorHAnsi" w:hAnsiTheme="minorHAnsi" w:cstheme="minorHAnsi"/>
          <w:szCs w:val="24"/>
        </w:rPr>
      </w:pPr>
      <w:r w:rsidRPr="00B41731">
        <w:rPr>
          <w:rFonts w:asciiTheme="minorHAnsi" w:eastAsia="Calibri" w:hAnsiTheme="minorHAnsi" w:cstheme="minorHAnsi"/>
          <w:szCs w:val="24"/>
          <w:lang w:bidi="he-IL"/>
        </w:rPr>
        <w:t xml:space="preserve">Ground Cannabis inflorescences (100 mg) were accurately weighed in triplicates and extracted with 1 mL ethanol. Samples were agitated in an orbital shaker at 25°C for 15 min, and then centrifuged at 20,000 x g for 5 min. Prior to analysis, all samples were filtered through a 0.22 µm PTFE syringe filter </w:t>
      </w:r>
      <w:bookmarkStart w:id="0" w:name="_Hlk75351138"/>
      <w:r w:rsidRPr="00B41731">
        <w:rPr>
          <w:rFonts w:asciiTheme="minorHAnsi" w:eastAsia="Calibri" w:hAnsiTheme="minorHAnsi" w:cstheme="minorHAnsi"/>
          <w:szCs w:val="24"/>
          <w:lang w:bidi="he-IL"/>
        </w:rPr>
        <w:t>(Lumitron ltd, Petah Tikva, Israel)</w:t>
      </w:r>
      <w:bookmarkEnd w:id="0"/>
      <w:r w:rsidRPr="00B41731">
        <w:rPr>
          <w:rFonts w:asciiTheme="minorHAnsi" w:eastAsia="Calibri" w:hAnsiTheme="minorHAnsi" w:cstheme="minorHAnsi"/>
          <w:szCs w:val="24"/>
          <w:lang w:bidi="he-IL"/>
        </w:rPr>
        <w:t xml:space="preserve">. </w:t>
      </w:r>
    </w:p>
    <w:p w:rsidR="00F24E88" w:rsidRPr="00573AF5" w:rsidRDefault="00F24E88" w:rsidP="00B41731">
      <w:pPr>
        <w:spacing w:before="0" w:after="160" w:line="480" w:lineRule="auto"/>
        <w:jc w:val="both"/>
        <w:rPr>
          <w:rFonts w:asciiTheme="minorHAnsi" w:hAnsiTheme="minorHAnsi" w:cstheme="minorHAnsi"/>
          <w:szCs w:val="24"/>
        </w:rPr>
      </w:pPr>
      <w:r w:rsidRPr="00573AF5">
        <w:rPr>
          <w:rFonts w:asciiTheme="minorHAnsi" w:hAnsiTheme="minorHAnsi" w:cstheme="minorHAnsi"/>
          <w:szCs w:val="24"/>
        </w:rPr>
        <w:t xml:space="preserve">CBDVA, CBDV, CBDA, CBGA, CBG, CBD, THCV, CBCV, CBN, 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eastAsiaTheme="minorEastAsia" w:hAnsiTheme="minorHAnsi" w:cstheme="minorHAnsi"/>
          <w:szCs w:val="24"/>
          <w:vertAlign w:val="superscript"/>
        </w:rPr>
        <w:t>9</w:t>
      </w:r>
      <w:r w:rsidRPr="00573AF5">
        <w:rPr>
          <w:rFonts w:asciiTheme="minorHAnsi" w:eastAsiaTheme="minorEastAsia" w:hAnsiTheme="minorHAnsi" w:cstheme="minorHAnsi"/>
          <w:szCs w:val="24"/>
        </w:rPr>
        <w:t>-</w:t>
      </w:r>
      <w:r w:rsidRPr="00573AF5">
        <w:rPr>
          <w:rFonts w:asciiTheme="minorHAnsi" w:hAnsiTheme="minorHAnsi" w:cstheme="minorHAnsi"/>
          <w:szCs w:val="24"/>
        </w:rPr>
        <w:t xml:space="preserve">THC, </w:t>
      </w:r>
      <m:oMath>
        <m:r>
          <w:rPr>
            <w:rFonts w:ascii="Cambria Math" w:hAnsi="Cambria Math" w:cstheme="minorHAnsi"/>
            <w:szCs w:val="24"/>
          </w:rPr>
          <m:t>∆</m:t>
        </m:r>
      </m:oMath>
      <w:r w:rsidRPr="00573AF5">
        <w:rPr>
          <w:rFonts w:asciiTheme="minorHAnsi" w:eastAsiaTheme="minorEastAsia" w:hAnsiTheme="minorHAnsi" w:cstheme="minorHAnsi"/>
          <w:szCs w:val="24"/>
          <w:vertAlign w:val="superscript"/>
        </w:rPr>
        <w:t>8</w:t>
      </w:r>
      <w:r w:rsidRPr="00573AF5">
        <w:rPr>
          <w:rFonts w:asciiTheme="minorHAnsi" w:eastAsiaTheme="minorEastAsia" w:hAnsiTheme="minorHAnsi" w:cstheme="minorHAnsi"/>
          <w:szCs w:val="24"/>
        </w:rPr>
        <w:t>-</w:t>
      </w:r>
      <w:r w:rsidRPr="00573AF5">
        <w:rPr>
          <w:rFonts w:asciiTheme="minorHAnsi" w:hAnsiTheme="minorHAnsi" w:cstheme="minorHAnsi"/>
          <w:szCs w:val="24"/>
        </w:rPr>
        <w:t xml:space="preserve">THC, CBNA, CBL, CBC, THCA, CBCA, and cannabicitran were analyzed by ultra-high performance liquid chromatography with an ultraviolet detector (UHPLC/UV, Thermo Scientific, Bremen, Germany). Chromatographic separation was achieved using a HALO C18 Fused-Core column (2.7 µm, 150 × 2.1 mm), with a HALO guard column (2.7 µm, 5 x 2.1 mm), and a ternary A/B/C multistep gradient (solvent A: 0.1% acetic acid in water, solvent B: 0.1% acetic acid in acetonitrile, and solvent C: methanol). The multistep gradient program was established as follows: initial </w:t>
      </w:r>
      <w:r w:rsidRPr="00573AF5">
        <w:rPr>
          <w:rFonts w:asciiTheme="minorHAnsi" w:hAnsiTheme="minorHAnsi" w:cstheme="minorHAnsi"/>
          <w:szCs w:val="24"/>
        </w:rPr>
        <w:lastRenderedPageBreak/>
        <w:t xml:space="preserve">conditions were 50% B, which was gradually raised to 67% B over 3 min, held at 67% B for 5 min, and then raised to 90% B over the next 4 min, held at 90% B for 3 min, decreased to 50% B over the next 1 min, and finally held at 50% B for 4 min to re-equilibrate the system prior to the next injection. Solvent C was initially 5%, and was then lowered to 3% over the next 3 min, held at 3% for 5 min, raised to 5% over the next 4 min, and then kept constant at 5% throughout the run. Flow rate was 0.25 mL/min, column temperature was 30°C, and injection volume was 1 µL. Data acquisition was performed in full UV-Vis scan mode. </w:t>
      </w:r>
    </w:p>
    <w:p w:rsidR="00F24E88" w:rsidRPr="00573AF5" w:rsidRDefault="00F24E88" w:rsidP="008740B1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573AF5">
        <w:rPr>
          <w:rFonts w:asciiTheme="minorHAnsi" w:hAnsiTheme="minorHAnsi" w:cstheme="minorHAnsi"/>
          <w:szCs w:val="24"/>
        </w:rPr>
        <w:t xml:space="preserve">All other phytocannabinoids were identified and quantified using a similar UHPLC system coupled to a Q ExactiveTM Focus Hybrid Quadrupole-Orbitrap MS (Thermo Scientific, Bremen, Germany) and a similar chromatographic method as described above. Identification and absolute quantification of phytocannabinoids were performed by external calibrations. For electro spray ionization (ESI)-LC/MS analysis, the extracted samples were further diluted at ratios of 1:9, 1:99, and 1:999 v/v Cannabis extract to ethanol. </w:t>
      </w:r>
    </w:p>
    <w:p w:rsidR="009A7E03" w:rsidRPr="00573AF5" w:rsidRDefault="000C1FD3" w:rsidP="009A7E03">
      <w:pPr>
        <w:spacing w:before="0" w:after="160" w:line="360" w:lineRule="auto"/>
        <w:rPr>
          <w:rFonts w:asciiTheme="minorHAnsi" w:hAnsiTheme="minorHAnsi" w:cstheme="minorHAnsi"/>
          <w:b/>
          <w:bCs/>
          <w:szCs w:val="24"/>
        </w:rPr>
      </w:pPr>
      <w:r w:rsidRPr="00573AF5">
        <w:rPr>
          <w:rFonts w:asciiTheme="minorHAnsi" w:hAnsiTheme="minorHAnsi" w:cstheme="minorHAnsi"/>
          <w:b/>
          <w:bCs/>
          <w:szCs w:val="24"/>
        </w:rPr>
        <w:t>Chemical analysis of terpenoids</w:t>
      </w:r>
    </w:p>
    <w:p w:rsidR="000C1FD3" w:rsidRPr="00573AF5" w:rsidRDefault="000C1FD3" w:rsidP="000C1FD3">
      <w:pPr>
        <w:spacing w:line="480" w:lineRule="auto"/>
        <w:jc w:val="both"/>
        <w:rPr>
          <w:rFonts w:asciiTheme="minorHAnsi" w:hAnsiTheme="minorHAnsi" w:cstheme="minorHAnsi"/>
          <w:szCs w:val="24"/>
        </w:rPr>
      </w:pPr>
      <w:r w:rsidRPr="00573AF5">
        <w:rPr>
          <w:rFonts w:asciiTheme="minorHAnsi" w:hAnsiTheme="minorHAnsi" w:cstheme="minorHAnsi"/>
          <w:szCs w:val="24"/>
        </w:rPr>
        <w:t xml:space="preserve">Ground Cannabis inflorescences samples </w:t>
      </w:r>
      <w:r w:rsidR="009A7E03">
        <w:rPr>
          <w:rFonts w:asciiTheme="minorHAnsi" w:hAnsiTheme="minorHAnsi" w:cstheme="minorHAnsi"/>
          <w:szCs w:val="24"/>
        </w:rPr>
        <w:t xml:space="preserve">(35 mg) </w:t>
      </w:r>
      <w:r w:rsidRPr="00573AF5">
        <w:rPr>
          <w:rFonts w:asciiTheme="minorHAnsi" w:hAnsiTheme="minorHAnsi" w:cstheme="minorHAnsi"/>
          <w:szCs w:val="24"/>
        </w:rPr>
        <w:t xml:space="preserve">were </w:t>
      </w:r>
      <w:r w:rsidR="009A7E03">
        <w:rPr>
          <w:rFonts w:asciiTheme="minorHAnsi" w:hAnsiTheme="minorHAnsi" w:cstheme="minorHAnsi"/>
          <w:szCs w:val="24"/>
        </w:rPr>
        <w:t xml:space="preserve">accurately weighed in duplicates and </w:t>
      </w:r>
      <w:r w:rsidRPr="00573AF5">
        <w:rPr>
          <w:rFonts w:asciiTheme="minorHAnsi" w:hAnsiTheme="minorHAnsi" w:cstheme="minorHAnsi"/>
          <w:szCs w:val="24"/>
        </w:rPr>
        <w:t>mixed with 100 µL LC/MS grade ethanol in 20 mL amber rounded bottom headspace vials sealed with a magnetic 32 mm PTFE septa cap. Terpenoids were analyzed using a Trace 1310 GC (Thermo Scientific, Germany) coupled to a TSQ 8000 Evo triple-quadrupole MS (Thermo Scientific, Germany), equipped with a DB-35MS UI capillary column (30 m × 0.25 mm x 0.25 µm, Agilent, United States). A CTC autosampler (Pal RTC, CTC Analytics, Switzerland) was used in SHS injection mode, with a headspace static tool in splitless mode.</w:t>
      </w:r>
      <w:r w:rsidR="007C6D51" w:rsidRPr="007C6D51">
        <w:t xml:space="preserve"> </w:t>
      </w:r>
      <w:r w:rsidR="007C6D51" w:rsidRPr="007C6D51">
        <w:rPr>
          <w:rFonts w:asciiTheme="minorHAnsi" w:hAnsiTheme="minorHAnsi" w:cstheme="minorHAnsi"/>
          <w:szCs w:val="24"/>
        </w:rPr>
        <w:t xml:space="preserve">Terpenoid analysis was </w:t>
      </w:r>
      <w:r w:rsidR="007C6D51" w:rsidRPr="007C6D51">
        <w:rPr>
          <w:rFonts w:asciiTheme="minorHAnsi" w:hAnsiTheme="minorHAnsi" w:cstheme="minorHAnsi"/>
          <w:szCs w:val="24"/>
        </w:rPr>
        <w:lastRenderedPageBreak/>
        <w:t>performed with external calibrations</w:t>
      </w:r>
      <w:r w:rsidR="007C6D51">
        <w:rPr>
          <w:rFonts w:asciiTheme="minorHAnsi" w:hAnsiTheme="minorHAnsi" w:cstheme="minorHAnsi"/>
          <w:szCs w:val="24"/>
        </w:rPr>
        <w:t>.</w:t>
      </w:r>
      <w:r w:rsidRPr="00573AF5">
        <w:rPr>
          <w:rFonts w:asciiTheme="minorHAnsi" w:hAnsiTheme="minorHAnsi" w:cstheme="minorHAnsi"/>
          <w:szCs w:val="24"/>
        </w:rPr>
        <w:t xml:space="preserve"> All the results were normalized to the weight of the dry sample according to the moisture content. </w:t>
      </w:r>
    </w:p>
    <w:p w:rsidR="00B41FBC" w:rsidRPr="00DB22F9" w:rsidRDefault="00564623" w:rsidP="004A40F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4A40FC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624</wp:posOffset>
            </wp:positionV>
            <wp:extent cx="5951855" cy="4537075"/>
            <wp:effectExtent l="0" t="0" r="0" b="0"/>
            <wp:wrapSquare wrapText="bothSides"/>
            <wp:docPr id="2" name="תמונה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40D4452-1C5F-4454-B283-524FBF6EB0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40D4452-1C5F-4454-B283-524FBF6EB0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1855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153">
        <w:rPr>
          <w:rFonts w:asciiTheme="minorHAnsi" w:hAnsiTheme="minorHAnsi" w:cstheme="minorHAnsi"/>
          <w:b/>
          <w:bCs/>
          <w:sz w:val="22"/>
        </w:rPr>
        <w:br/>
      </w:r>
      <w:r w:rsidR="00AB4F3A" w:rsidRPr="00DB22F9">
        <w:rPr>
          <w:rFonts w:asciiTheme="minorHAnsi" w:hAnsiTheme="minorHAnsi" w:cstheme="minorHAnsi"/>
          <w:b/>
          <w:bCs/>
          <w:sz w:val="22"/>
        </w:rPr>
        <w:t>Figure S1.</w:t>
      </w:r>
      <w:r w:rsidR="00AB4F3A" w:rsidRPr="00DB22F9">
        <w:rPr>
          <w:rFonts w:asciiTheme="minorHAnsi" w:hAnsiTheme="minorHAnsi" w:cstheme="minorHAnsi"/>
          <w:sz w:val="22"/>
        </w:rPr>
        <w:t xml:space="preserve"> </w:t>
      </w:r>
      <w:r w:rsidR="00AB4F3A" w:rsidRPr="007C0AAF">
        <w:rPr>
          <w:rFonts w:asciiTheme="minorHAnsi" w:hAnsiTheme="minorHAnsi" w:cstheme="minorHAnsi"/>
          <w:b/>
          <w:bCs/>
          <w:sz w:val="22"/>
        </w:rPr>
        <w:t>Comparison of phytocannabinoid profiles of Cannabis inflorescences</w:t>
      </w:r>
      <w:r w:rsidR="003421F9" w:rsidRPr="007C0AAF">
        <w:rPr>
          <w:rFonts w:asciiTheme="minorHAnsi" w:hAnsiTheme="minorHAnsi" w:cstheme="minorHAnsi"/>
          <w:b/>
          <w:bCs/>
          <w:sz w:val="22"/>
        </w:rPr>
        <w:t xml:space="preserve"> by ESI-LC/MS</w:t>
      </w:r>
      <w:r w:rsidR="006D1CEC" w:rsidRPr="007C0AAF">
        <w:rPr>
          <w:rFonts w:asciiTheme="minorHAnsi" w:hAnsiTheme="minorHAnsi" w:cstheme="minorHAnsi"/>
          <w:b/>
          <w:bCs/>
          <w:sz w:val="22"/>
        </w:rPr>
        <w:t>.</w:t>
      </w:r>
      <w:r w:rsidR="006D1CEC">
        <w:rPr>
          <w:rFonts w:asciiTheme="minorHAnsi" w:hAnsiTheme="minorHAnsi" w:cstheme="minorHAnsi"/>
          <w:sz w:val="22"/>
        </w:rPr>
        <w:t xml:space="preserve"> The concentrations of phytocannabinoids</w:t>
      </w:r>
      <w:r w:rsidR="00AB4F3A" w:rsidRPr="00DB22F9">
        <w:rPr>
          <w:rFonts w:asciiTheme="minorHAnsi" w:hAnsiTheme="minorHAnsi" w:cstheme="minorHAnsi"/>
          <w:sz w:val="22"/>
        </w:rPr>
        <w:t xml:space="preserve"> </w:t>
      </w:r>
      <w:r w:rsidR="00DE49E1">
        <w:rPr>
          <w:rFonts w:asciiTheme="minorHAnsi" w:hAnsiTheme="minorHAnsi" w:cstheme="minorHAnsi"/>
          <w:sz w:val="22"/>
        </w:rPr>
        <w:t>were assessed by ESI-LC/MS</w:t>
      </w:r>
      <w:r w:rsidR="00DE49E1" w:rsidRPr="00DB22F9">
        <w:rPr>
          <w:rFonts w:asciiTheme="minorHAnsi" w:hAnsiTheme="minorHAnsi" w:cstheme="minorHAnsi"/>
          <w:sz w:val="22"/>
        </w:rPr>
        <w:t xml:space="preserve"> </w:t>
      </w:r>
      <w:r w:rsidR="00AB4F3A" w:rsidRPr="00DB22F9">
        <w:rPr>
          <w:rFonts w:asciiTheme="minorHAnsi" w:hAnsiTheme="minorHAnsi" w:cstheme="minorHAnsi"/>
          <w:sz w:val="22"/>
        </w:rPr>
        <w:t xml:space="preserve">after harvesting (fresh), traditional drying, and </w:t>
      </w:r>
      <w:r w:rsidR="00EE751D">
        <w:rPr>
          <w:rFonts w:asciiTheme="minorHAnsi" w:hAnsiTheme="minorHAnsi" w:cstheme="minorHAnsi"/>
          <w:sz w:val="22"/>
        </w:rPr>
        <w:t>MW</w:t>
      </w:r>
      <w:r w:rsidR="00020DE0">
        <w:rPr>
          <w:rFonts w:asciiTheme="minorHAnsi" w:hAnsiTheme="minorHAnsi" w:cstheme="minorHAnsi"/>
          <w:sz w:val="22"/>
        </w:rPr>
        <w:t xml:space="preserve"> </w:t>
      </w:r>
      <w:r w:rsidR="00AB4F3A" w:rsidRPr="00DB22F9">
        <w:rPr>
          <w:rFonts w:asciiTheme="minorHAnsi" w:hAnsiTheme="minorHAnsi" w:cstheme="minorHAnsi"/>
          <w:sz w:val="22"/>
        </w:rPr>
        <w:t>drying at different temperatures</w:t>
      </w:r>
      <w:r w:rsidR="00357C88">
        <w:rPr>
          <w:rFonts w:asciiTheme="minorHAnsi" w:hAnsiTheme="minorHAnsi" w:cstheme="minorHAnsi"/>
          <w:sz w:val="22"/>
        </w:rPr>
        <w:t xml:space="preserve"> (n=1)</w:t>
      </w:r>
      <w:r w:rsidR="00AB4F3A" w:rsidRPr="00DB22F9">
        <w:rPr>
          <w:rFonts w:asciiTheme="minorHAnsi" w:hAnsiTheme="minorHAnsi" w:cstheme="minorHAnsi"/>
          <w:sz w:val="22"/>
        </w:rPr>
        <w:t>. Phytocannabinoids are arranged according to biosynthesis and degradation products. Red and blue arrows indicate decarboxylation and aging pathways, respectively.</w:t>
      </w:r>
    </w:p>
    <w:p w:rsidR="00B41FBC" w:rsidRPr="00DB22F9" w:rsidRDefault="00B41FBC" w:rsidP="004751A8">
      <w:pPr>
        <w:spacing w:line="360" w:lineRule="auto"/>
        <w:jc w:val="both"/>
        <w:rPr>
          <w:rFonts w:asciiTheme="minorHAnsi" w:hAnsiTheme="minorHAnsi" w:cstheme="minorHAnsi"/>
        </w:rPr>
      </w:pPr>
    </w:p>
    <w:p w:rsidR="00AB4F3A" w:rsidRPr="00DB22F9" w:rsidRDefault="00AB4F3A" w:rsidP="00AB4F3A">
      <w:pPr>
        <w:spacing w:line="360" w:lineRule="auto"/>
        <w:jc w:val="both"/>
        <w:rPr>
          <w:rFonts w:asciiTheme="minorHAnsi" w:hAnsiTheme="minorHAnsi" w:cstheme="minorHAnsi"/>
        </w:rPr>
      </w:pPr>
      <w:r w:rsidRPr="00DB22F9">
        <w:rPr>
          <w:rFonts w:asciiTheme="minorHAnsi" w:hAnsiTheme="minorHAnsi" w:cstheme="minorHAnsi"/>
        </w:rPr>
        <w:t xml:space="preserve"> </w:t>
      </w:r>
    </w:p>
    <w:p w:rsidR="00DD5891" w:rsidRPr="00DB22F9" w:rsidRDefault="00DD5891" w:rsidP="00AB4F3A">
      <w:pPr>
        <w:spacing w:line="360" w:lineRule="auto"/>
        <w:jc w:val="both"/>
        <w:rPr>
          <w:rFonts w:asciiTheme="minorHAnsi" w:hAnsiTheme="minorHAnsi" w:cstheme="minorHAnsi"/>
        </w:rPr>
      </w:pPr>
    </w:p>
    <w:p w:rsidR="00785FAC" w:rsidRDefault="00785FAC" w:rsidP="0076498C">
      <w:pPr>
        <w:spacing w:before="0" w:after="160" w:line="259" w:lineRule="auto"/>
        <w:rPr>
          <w:rFonts w:asciiTheme="minorHAnsi" w:eastAsia="Calibri" w:hAnsiTheme="minorHAnsi" w:cstheme="minorHAnsi"/>
          <w:b/>
          <w:bCs/>
          <w:sz w:val="22"/>
          <w:lang w:bidi="he-IL"/>
        </w:rPr>
      </w:pPr>
      <w:bookmarkStart w:id="1" w:name="_GoBack"/>
      <w:bookmarkEnd w:id="1"/>
      <w:r w:rsidRPr="00FF2097">
        <w:rPr>
          <w:rFonts w:asciiTheme="minorHAnsi" w:eastAsia="Calibri" w:hAnsiTheme="minorHAnsi" w:cstheme="minorHAnsi"/>
          <w:b/>
          <w:bCs/>
          <w:sz w:val="22"/>
          <w:lang w:bidi="he-IL"/>
        </w:rPr>
        <w:lastRenderedPageBreak/>
        <w:t>Table S</w:t>
      </w:r>
      <w:r w:rsidR="00B3719E" w:rsidRPr="00FF2097">
        <w:rPr>
          <w:rFonts w:asciiTheme="minorHAnsi" w:eastAsia="Calibri" w:hAnsiTheme="minorHAnsi" w:cstheme="minorHAnsi"/>
          <w:b/>
          <w:bCs/>
          <w:sz w:val="22"/>
          <w:lang w:bidi="he-IL"/>
        </w:rPr>
        <w:t>1</w:t>
      </w:r>
      <w:r w:rsidRPr="00FF2097">
        <w:rPr>
          <w:rFonts w:asciiTheme="minorHAnsi" w:eastAsia="Calibri" w:hAnsiTheme="minorHAnsi" w:cstheme="minorHAnsi"/>
          <w:b/>
          <w:bCs/>
          <w:sz w:val="22"/>
          <w:lang w:bidi="he-IL"/>
        </w:rPr>
        <w:t xml:space="preserve">. List of full and abbreviated names of phytocannabinoids </w:t>
      </w:r>
    </w:p>
    <w:tbl>
      <w:tblPr>
        <w:tblW w:w="8907" w:type="dxa"/>
        <w:tblLook w:val="04A0"/>
      </w:tblPr>
      <w:tblGrid>
        <w:gridCol w:w="4815"/>
        <w:gridCol w:w="2563"/>
        <w:gridCol w:w="1529"/>
      </w:tblGrid>
      <w:tr w:rsidR="00C07E3F" w:rsidRPr="00C07E3F" w:rsidTr="008D63C5">
        <w:trPr>
          <w:trHeight w:val="266"/>
        </w:trPr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1. Cannabigerol (CBG) type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Abbreviated name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Acid Form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Cannabigerol-C5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CBGA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Cannabigerobutol-C4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a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 xml:space="preserve">CBG-C4 / CBGB 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CBGA-C4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Cannabigerovarin-C3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CBGVA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Cannabigerorcol-C5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CBGOA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 xml:space="preserve">Sesquicannabigerol-C5 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S</w:t>
            </w:r>
            <w:r w:rsidR="00B95612" w:rsidRPr="009630F8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S-CBGA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Cannabigerol monomethyl ether-C5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CBGM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CBGMA</w:t>
            </w:r>
          </w:p>
        </w:tc>
      </w:tr>
      <w:tr w:rsidR="00C07E3F" w:rsidRPr="00C07E3F" w:rsidTr="008D63C5">
        <w:trPr>
          <w:trHeight w:val="266"/>
        </w:trPr>
        <w:tc>
          <w:tcPr>
            <w:tcW w:w="7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2. Δ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vertAlign w:val="superscript"/>
                <w:lang w:bidi="he-IL"/>
              </w:rPr>
              <w:t>9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-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2"/>
                <w:lang w:bidi="he-IL"/>
              </w:rPr>
              <w:t>trans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-tetrahydrocannabinol (Δ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vertAlign w:val="superscript"/>
                <w:lang w:bidi="he-IL"/>
              </w:rPr>
              <w:t>9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-THC) type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(-)-Δ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9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-Tetrahydrocannabinol-C5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THCA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(-)-Δ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9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-trans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-tetrahydrocannabutol-C4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THC-C4 / THCB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THCA-C4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(-)-Δ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9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-Tetrahydrocannabivarin-C3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THCVA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(-)-Δ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9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-Tetrahydrocannabiorcol-C1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THCOA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(-)-Δ9-trans-Tetrahydrocannabinol monomethyl ether-C5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THCM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THCMA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3. Cannabidiol (CBD)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(-)-Cannabidiol-C5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CBDA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(-)-Cannabidibutol-C4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a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CBD-C4 / CBDB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CBDA-C4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(-)-Cannabidivarin-C3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CBDVA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(-)-Cannabidiorcol-C1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CBDOA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Cannabidiol monomethyl ether-C5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CBDM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CBDMA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4. Cannabichromene (CBC)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(±)-Cannabichromene-C5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CBCA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(±)-Cannabibutol-C4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a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CBC-C4 / CBCB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CBCA-C4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(±)-Cannabichromevarin-C3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CBCVA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(±)-Cannabiorchromorcol-C1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CBCOA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5. Cannabinol (CBN)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 xml:space="preserve">Cannabinol-C5 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CBNA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Cannabibutol-C4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a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CBN-C4 / CBNB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CBNA-C4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Cannabivarin-C3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CBNVA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Cannabiorcol-C1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CBNO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CBNOA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 xml:space="preserve">Cannabinodivarin-C3 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CBNDV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9D50B8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DF4CE1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</w:t>
            </w:r>
            <w:r w:rsidR="002A53A7" w:rsidRPr="00DF4CE1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NDVA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8-hydroxycannabinol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CBN-8-OH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CBNA-8-OH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 xml:space="preserve">Cannabinol monomethyl ether-C5 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CBNM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</w:p>
        </w:tc>
      </w:tr>
      <w:tr w:rsidR="00C07E3F" w:rsidRPr="00C07E3F" w:rsidTr="008D63C5">
        <w:trPr>
          <w:trHeight w:val="266"/>
        </w:trPr>
        <w:tc>
          <w:tcPr>
            <w:tcW w:w="7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6. Δ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vertAlign w:val="superscript"/>
                <w:lang w:bidi="he-IL"/>
              </w:rPr>
              <w:t>8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-trans-tetrahydrocannabinol (Δ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vertAlign w:val="superscript"/>
                <w:lang w:bidi="he-IL"/>
              </w:rPr>
              <w:t>8</w:t>
            </w: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-THC) type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(-)-Δ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8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-(6aR,10aR)-Tetrahydrocannabinol-C5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Δ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vertAlign w:val="superscript"/>
                <w:lang w:bidi="he-IL"/>
              </w:rPr>
              <w:t>8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-THC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7. Cannabicyclol (CBL)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(±)-(1aS,3aR,8bR,8cR)-Cannabicyclol-C5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8. Cannabinodiol (CBND)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Cannabinodiol-C5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CBND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CBNDA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9. Cannabielsoin (CBE)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(5aS,6S,9R,9aR)-Cannabielsoin-C5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CBEA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Cannabielsoin-C3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CBEV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CBEVA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10. Cannabitriol (CBT) type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bidi="he-IL"/>
              </w:rPr>
              <w:t> 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cis/trans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-Cannabitriol-C5-1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CBT-1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CBTA-1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cis/trans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-Cannabitriol-C5-2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CBT-2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(±)-</w:t>
            </w:r>
            <w:r w:rsidRPr="00C07E3F">
              <w:rPr>
                <w:rFonts w:asciiTheme="minorHAnsi" w:eastAsia="Times New Roman" w:hAnsiTheme="minorHAnsi" w:cstheme="minorHAnsi"/>
                <w:i/>
                <w:iCs/>
                <w:color w:val="000000"/>
                <w:sz w:val="22"/>
                <w:lang w:bidi="he-IL"/>
              </w:rPr>
              <w:t>cis/trans</w:t>
            </w: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-Cannabitriol-C5-3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CBT-3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CBTA-3</w:t>
            </w:r>
          </w:p>
        </w:tc>
      </w:tr>
      <w:tr w:rsidR="00C07E3F" w:rsidRPr="00C07E3F" w:rsidTr="008D63C5">
        <w:trPr>
          <w:trHeight w:val="253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lastRenderedPageBreak/>
              <w:t>Cannabitriol-C3-1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CBTV-1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</w:p>
        </w:tc>
      </w:tr>
      <w:tr w:rsidR="00C07E3F" w:rsidRPr="00C07E3F" w:rsidTr="008D63C5">
        <w:trPr>
          <w:trHeight w:val="266"/>
        </w:trPr>
        <w:tc>
          <w:tcPr>
            <w:tcW w:w="4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 xml:space="preserve">Cannabitriol-C3-3 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CBTV-3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7E3F" w:rsidRPr="00C07E3F" w:rsidRDefault="00C07E3F" w:rsidP="00C07E3F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bidi="he-IL"/>
              </w:rPr>
            </w:pPr>
            <w:r w:rsidRPr="00C07E3F">
              <w:rPr>
                <w:rFonts w:asciiTheme="minorHAnsi" w:eastAsia="Times New Roman" w:hAnsiTheme="minorHAnsi" w:cstheme="minorHAnsi"/>
                <w:color w:val="000000"/>
                <w:sz w:val="22"/>
                <w:lang w:bidi="he-IL"/>
              </w:rPr>
              <w:t> </w:t>
            </w:r>
          </w:p>
        </w:tc>
      </w:tr>
    </w:tbl>
    <w:p w:rsidR="00FC41D9" w:rsidRDefault="00FC41D9" w:rsidP="00B350AE">
      <w:pPr>
        <w:spacing w:before="0" w:after="160" w:line="259" w:lineRule="auto"/>
        <w:rPr>
          <w:rFonts w:asciiTheme="minorHAnsi" w:eastAsia="Calibri" w:hAnsiTheme="minorHAnsi" w:cstheme="minorHAnsi"/>
          <w:sz w:val="22"/>
          <w:rtl/>
          <w:lang w:bidi="he-IL"/>
        </w:rPr>
      </w:pPr>
    </w:p>
    <w:sectPr w:rsidR="00FC41D9" w:rsidSect="00CF6939">
      <w:footerReference w:type="even" r:id="rId12"/>
      <w:footerReference w:type="default" r:id="rId13"/>
      <w:pgSz w:w="12240" w:h="15840"/>
      <w:pgMar w:top="144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91" w:rsidRDefault="00DD5891" w:rsidP="00117666">
      <w:pPr>
        <w:spacing w:after="0"/>
      </w:pPr>
      <w:r>
        <w:separator/>
      </w:r>
    </w:p>
  </w:endnote>
  <w:endnote w:type="continuationSeparator" w:id="0">
    <w:p w:rsidR="00DD5891" w:rsidRDefault="00DD5891" w:rsidP="001176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1" w:rsidRPr="00577C4C" w:rsidRDefault="00E8025B">
    <w:pPr>
      <w:rPr>
        <w:color w:val="C00000"/>
        <w:szCs w:val="24"/>
      </w:rPr>
    </w:pPr>
    <w:r w:rsidRPr="00E8025B">
      <w:rPr>
        <w:noProof/>
        <w:lang w:bidi="he-I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6" type="#_x0000_t202" style="position:absolute;margin-left:146.4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<v:textbox style="mso-fit-shape-to-text:t">
            <w:txbxContent>
              <w:p w:rsidR="00DD5891" w:rsidRPr="00CE0A04" w:rsidRDefault="00E8025B">
                <w:pPr>
                  <w:jc w:val="right"/>
                  <w:rPr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</w:pPr>
                <w:r w:rsidRPr="00CE0A04">
                  <w:rPr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  <w:fldChar w:fldCharType="begin"/>
                </w:r>
                <w:r w:rsidR="00DD5891" w:rsidRPr="00CE0A04">
                  <w:rPr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  <w:instrText xml:space="preserve"> PAGE  \* Arabic  \* MERGEFORMAT </w:instrText>
                </w:r>
                <w:r w:rsidRPr="00CE0A04">
                  <w:rPr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  <w:fldChar w:fldCharType="separate"/>
                </w:r>
                <w:r w:rsidR="00EF7B80">
                  <w:rPr>
                    <w:rFonts w:asciiTheme="minorHAnsi" w:hAnsiTheme="minorHAnsi" w:cstheme="minorHAnsi"/>
                    <w:noProof/>
                    <w:color w:val="000000" w:themeColor="text1"/>
                    <w:sz w:val="20"/>
                    <w:szCs w:val="20"/>
                  </w:rPr>
                  <w:t>6</w:t>
                </w:r>
                <w:r w:rsidRPr="00CE0A04">
                  <w:rPr>
                    <w:rFonts w:asciiTheme="minorHAnsi" w:hAnsiTheme="minorHAnsi" w:cstheme="minorHAnsi"/>
                    <w:color w:val="000000" w:themeColor="text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891" w:rsidRPr="00577C4C" w:rsidRDefault="00E8025B">
    <w:pPr>
      <w:rPr>
        <w:b/>
        <w:sz w:val="20"/>
        <w:szCs w:val="24"/>
      </w:rPr>
    </w:pPr>
    <w:r w:rsidRPr="00E8025B">
      <w:rPr>
        <w:noProof/>
        <w:lang w:bidi="he-I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36865" type="#_x0000_t202" style="position:absolute;margin-left:146.4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<v:textbox style="mso-fit-shape-to-text:t">
            <w:txbxContent>
              <w:p w:rsidR="00DD5891" w:rsidRPr="00EF3223" w:rsidRDefault="00E8025B">
                <w:pPr>
                  <w:jc w:val="right"/>
                  <w:rPr>
                    <w:rFonts w:asciiTheme="minorHAnsi" w:hAnsiTheme="minorHAnsi" w:cstheme="minorHAnsi"/>
                    <w:color w:val="000000" w:themeColor="text1"/>
                    <w:sz w:val="22"/>
                  </w:rPr>
                </w:pPr>
                <w:r w:rsidRPr="00EF3223">
                  <w:rPr>
                    <w:rFonts w:asciiTheme="minorHAnsi" w:hAnsiTheme="minorHAnsi" w:cstheme="minorHAnsi"/>
                    <w:color w:val="000000" w:themeColor="text1"/>
                    <w:sz w:val="22"/>
                  </w:rPr>
                  <w:fldChar w:fldCharType="begin"/>
                </w:r>
                <w:r w:rsidR="00DD5891" w:rsidRPr="00EF3223">
                  <w:rPr>
                    <w:rFonts w:asciiTheme="minorHAnsi" w:hAnsiTheme="minorHAnsi" w:cstheme="minorHAnsi"/>
                    <w:color w:val="000000" w:themeColor="text1"/>
                    <w:sz w:val="22"/>
                  </w:rPr>
                  <w:instrText xml:space="preserve"> PAGE  \* Arabic  \* MERGEFORMAT </w:instrText>
                </w:r>
                <w:r w:rsidRPr="00EF3223">
                  <w:rPr>
                    <w:rFonts w:asciiTheme="minorHAnsi" w:hAnsiTheme="minorHAnsi" w:cstheme="minorHAnsi"/>
                    <w:color w:val="000000" w:themeColor="text1"/>
                    <w:sz w:val="22"/>
                  </w:rPr>
                  <w:fldChar w:fldCharType="separate"/>
                </w:r>
                <w:r w:rsidR="00EF7B80">
                  <w:rPr>
                    <w:rFonts w:asciiTheme="minorHAnsi" w:hAnsiTheme="minorHAnsi" w:cstheme="minorHAnsi"/>
                    <w:noProof/>
                    <w:color w:val="000000" w:themeColor="text1"/>
                    <w:sz w:val="22"/>
                  </w:rPr>
                  <w:t>5</w:t>
                </w:r>
                <w:r w:rsidRPr="00EF3223">
                  <w:rPr>
                    <w:rFonts w:asciiTheme="minorHAnsi" w:hAnsiTheme="minorHAnsi" w:cstheme="minorHAnsi"/>
                    <w:color w:val="000000" w:themeColor="text1"/>
                    <w:sz w:val="22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91" w:rsidRDefault="00DD5891" w:rsidP="00117666">
      <w:pPr>
        <w:spacing w:after="0"/>
      </w:pPr>
      <w:r>
        <w:separator/>
      </w:r>
    </w:p>
  </w:footnote>
  <w:footnote w:type="continuationSeparator" w:id="0">
    <w:p w:rsidR="00DD5891" w:rsidRDefault="00DD5891" w:rsidP="001176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evenAndOddHeaders/>
  <w:characterSpacingControl w:val="doNotCompress"/>
  <w:hdrShapeDefaults>
    <o:shapedefaults v:ext="edit" spidmax="36869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1tTSyNDUwsTC1MDdT0lEKTi0uzszPAykwrQUANEAWcSwAAAA="/>
  </w:docVars>
  <w:rsids>
    <w:rsidRoot w:val="00ED20B5"/>
    <w:rsid w:val="00004B3F"/>
    <w:rsid w:val="0001436A"/>
    <w:rsid w:val="000169F0"/>
    <w:rsid w:val="000179A6"/>
    <w:rsid w:val="00020DE0"/>
    <w:rsid w:val="00034304"/>
    <w:rsid w:val="00035434"/>
    <w:rsid w:val="00052A14"/>
    <w:rsid w:val="00077D53"/>
    <w:rsid w:val="000863AD"/>
    <w:rsid w:val="000A3F6C"/>
    <w:rsid w:val="000A4245"/>
    <w:rsid w:val="000C1FD3"/>
    <w:rsid w:val="000E01FB"/>
    <w:rsid w:val="000F5850"/>
    <w:rsid w:val="001052C8"/>
    <w:rsid w:val="00105FD9"/>
    <w:rsid w:val="00117666"/>
    <w:rsid w:val="00147425"/>
    <w:rsid w:val="001549D3"/>
    <w:rsid w:val="00160065"/>
    <w:rsid w:val="00161B3C"/>
    <w:rsid w:val="00164802"/>
    <w:rsid w:val="00176A8E"/>
    <w:rsid w:val="00177D84"/>
    <w:rsid w:val="00181E58"/>
    <w:rsid w:val="001875AB"/>
    <w:rsid w:val="001F085C"/>
    <w:rsid w:val="001F0A36"/>
    <w:rsid w:val="0022269B"/>
    <w:rsid w:val="00244667"/>
    <w:rsid w:val="0024635A"/>
    <w:rsid w:val="00250070"/>
    <w:rsid w:val="00250DF7"/>
    <w:rsid w:val="0026769F"/>
    <w:rsid w:val="00267886"/>
    <w:rsid w:val="00267D18"/>
    <w:rsid w:val="002716D5"/>
    <w:rsid w:val="00271CDF"/>
    <w:rsid w:val="00274347"/>
    <w:rsid w:val="002868E2"/>
    <w:rsid w:val="002869C3"/>
    <w:rsid w:val="002936E4"/>
    <w:rsid w:val="002A53A7"/>
    <w:rsid w:val="002B4A57"/>
    <w:rsid w:val="002C0285"/>
    <w:rsid w:val="002C348B"/>
    <w:rsid w:val="002C74CA"/>
    <w:rsid w:val="002D4B68"/>
    <w:rsid w:val="003123F4"/>
    <w:rsid w:val="0033247B"/>
    <w:rsid w:val="0033312C"/>
    <w:rsid w:val="003421F9"/>
    <w:rsid w:val="003435FC"/>
    <w:rsid w:val="00345EE0"/>
    <w:rsid w:val="003544FB"/>
    <w:rsid w:val="003555D6"/>
    <w:rsid w:val="00357C88"/>
    <w:rsid w:val="00375759"/>
    <w:rsid w:val="003B6FC1"/>
    <w:rsid w:val="003B7362"/>
    <w:rsid w:val="003D2F2D"/>
    <w:rsid w:val="00401590"/>
    <w:rsid w:val="00404483"/>
    <w:rsid w:val="00404C92"/>
    <w:rsid w:val="00433705"/>
    <w:rsid w:val="00447801"/>
    <w:rsid w:val="00452E9C"/>
    <w:rsid w:val="004650F1"/>
    <w:rsid w:val="004735C8"/>
    <w:rsid w:val="00474063"/>
    <w:rsid w:val="004751A8"/>
    <w:rsid w:val="0048064D"/>
    <w:rsid w:val="00483423"/>
    <w:rsid w:val="0049175A"/>
    <w:rsid w:val="004947A6"/>
    <w:rsid w:val="004961FF"/>
    <w:rsid w:val="004A40FC"/>
    <w:rsid w:val="004A69F0"/>
    <w:rsid w:val="004C7D80"/>
    <w:rsid w:val="004E0002"/>
    <w:rsid w:val="004E1580"/>
    <w:rsid w:val="004E702D"/>
    <w:rsid w:val="004F0A9A"/>
    <w:rsid w:val="005053C2"/>
    <w:rsid w:val="00511990"/>
    <w:rsid w:val="00517A89"/>
    <w:rsid w:val="00524165"/>
    <w:rsid w:val="005250F2"/>
    <w:rsid w:val="00554E48"/>
    <w:rsid w:val="00564623"/>
    <w:rsid w:val="00565443"/>
    <w:rsid w:val="00573AF5"/>
    <w:rsid w:val="0057468B"/>
    <w:rsid w:val="0059119D"/>
    <w:rsid w:val="00593EEA"/>
    <w:rsid w:val="005A0B3A"/>
    <w:rsid w:val="005A5EEE"/>
    <w:rsid w:val="005B7059"/>
    <w:rsid w:val="005B749E"/>
    <w:rsid w:val="005D2F8B"/>
    <w:rsid w:val="0062342B"/>
    <w:rsid w:val="006375C7"/>
    <w:rsid w:val="0065239E"/>
    <w:rsid w:val="00652862"/>
    <w:rsid w:val="00653ED1"/>
    <w:rsid w:val="00654E8F"/>
    <w:rsid w:val="00660D05"/>
    <w:rsid w:val="006820B1"/>
    <w:rsid w:val="00695BEB"/>
    <w:rsid w:val="006A121E"/>
    <w:rsid w:val="006A443D"/>
    <w:rsid w:val="006A6AFB"/>
    <w:rsid w:val="006A7F6C"/>
    <w:rsid w:val="006B1D76"/>
    <w:rsid w:val="006B7D14"/>
    <w:rsid w:val="006D1CEC"/>
    <w:rsid w:val="006E7C21"/>
    <w:rsid w:val="006F4D99"/>
    <w:rsid w:val="006F4DDF"/>
    <w:rsid w:val="00700D96"/>
    <w:rsid w:val="00701348"/>
    <w:rsid w:val="00701727"/>
    <w:rsid w:val="0070566C"/>
    <w:rsid w:val="00714C50"/>
    <w:rsid w:val="0072429B"/>
    <w:rsid w:val="00725A7D"/>
    <w:rsid w:val="007318C6"/>
    <w:rsid w:val="00746593"/>
    <w:rsid w:val="007501BE"/>
    <w:rsid w:val="0076498C"/>
    <w:rsid w:val="00785FAC"/>
    <w:rsid w:val="00790BB3"/>
    <w:rsid w:val="00797704"/>
    <w:rsid w:val="007B4236"/>
    <w:rsid w:val="007C0AAF"/>
    <w:rsid w:val="007C206C"/>
    <w:rsid w:val="007C6D51"/>
    <w:rsid w:val="007E646D"/>
    <w:rsid w:val="007E7F07"/>
    <w:rsid w:val="007F65D5"/>
    <w:rsid w:val="0080374A"/>
    <w:rsid w:val="0081209C"/>
    <w:rsid w:val="00817DD6"/>
    <w:rsid w:val="0082187B"/>
    <w:rsid w:val="00836B53"/>
    <w:rsid w:val="0083759F"/>
    <w:rsid w:val="008553DA"/>
    <w:rsid w:val="008740B1"/>
    <w:rsid w:val="00885156"/>
    <w:rsid w:val="008D2452"/>
    <w:rsid w:val="008D30C6"/>
    <w:rsid w:val="008E392D"/>
    <w:rsid w:val="009079D3"/>
    <w:rsid w:val="009151AA"/>
    <w:rsid w:val="0093429D"/>
    <w:rsid w:val="00936688"/>
    <w:rsid w:val="009376BB"/>
    <w:rsid w:val="00943573"/>
    <w:rsid w:val="009630F8"/>
    <w:rsid w:val="00964134"/>
    <w:rsid w:val="00970F7D"/>
    <w:rsid w:val="00994A3D"/>
    <w:rsid w:val="009A7E03"/>
    <w:rsid w:val="009C2B12"/>
    <w:rsid w:val="009D232C"/>
    <w:rsid w:val="009D50B8"/>
    <w:rsid w:val="009E0DA1"/>
    <w:rsid w:val="00A13DB0"/>
    <w:rsid w:val="00A174D9"/>
    <w:rsid w:val="00A272E2"/>
    <w:rsid w:val="00A44374"/>
    <w:rsid w:val="00A518C3"/>
    <w:rsid w:val="00A62AAA"/>
    <w:rsid w:val="00AA4D24"/>
    <w:rsid w:val="00AB4F3A"/>
    <w:rsid w:val="00AB6715"/>
    <w:rsid w:val="00AC53E5"/>
    <w:rsid w:val="00B06C07"/>
    <w:rsid w:val="00B1671E"/>
    <w:rsid w:val="00B25EB8"/>
    <w:rsid w:val="00B350AE"/>
    <w:rsid w:val="00B3719E"/>
    <w:rsid w:val="00B37F4D"/>
    <w:rsid w:val="00B41731"/>
    <w:rsid w:val="00B41FBC"/>
    <w:rsid w:val="00B7189E"/>
    <w:rsid w:val="00B95612"/>
    <w:rsid w:val="00BA0E89"/>
    <w:rsid w:val="00BA1C83"/>
    <w:rsid w:val="00BB31C3"/>
    <w:rsid w:val="00BB44C2"/>
    <w:rsid w:val="00C07E3F"/>
    <w:rsid w:val="00C14B20"/>
    <w:rsid w:val="00C20FCA"/>
    <w:rsid w:val="00C30E33"/>
    <w:rsid w:val="00C31813"/>
    <w:rsid w:val="00C42DB5"/>
    <w:rsid w:val="00C52A7B"/>
    <w:rsid w:val="00C56BAF"/>
    <w:rsid w:val="00C679AA"/>
    <w:rsid w:val="00C75972"/>
    <w:rsid w:val="00C92E8A"/>
    <w:rsid w:val="00C94AEA"/>
    <w:rsid w:val="00C9527E"/>
    <w:rsid w:val="00CB0960"/>
    <w:rsid w:val="00CB5E1E"/>
    <w:rsid w:val="00CD066B"/>
    <w:rsid w:val="00CD7E3F"/>
    <w:rsid w:val="00CE0A04"/>
    <w:rsid w:val="00CE4FEE"/>
    <w:rsid w:val="00CF6939"/>
    <w:rsid w:val="00CF6B69"/>
    <w:rsid w:val="00D060CF"/>
    <w:rsid w:val="00D10FB5"/>
    <w:rsid w:val="00D310D9"/>
    <w:rsid w:val="00D37D2F"/>
    <w:rsid w:val="00D67434"/>
    <w:rsid w:val="00D9485F"/>
    <w:rsid w:val="00DB1379"/>
    <w:rsid w:val="00DB22F9"/>
    <w:rsid w:val="00DB59C3"/>
    <w:rsid w:val="00DB5CB2"/>
    <w:rsid w:val="00DC0B94"/>
    <w:rsid w:val="00DC259A"/>
    <w:rsid w:val="00DD5891"/>
    <w:rsid w:val="00DD68CE"/>
    <w:rsid w:val="00DE23E8"/>
    <w:rsid w:val="00DE49E1"/>
    <w:rsid w:val="00DF4CE1"/>
    <w:rsid w:val="00DF7AA6"/>
    <w:rsid w:val="00E24BA9"/>
    <w:rsid w:val="00E253E7"/>
    <w:rsid w:val="00E31832"/>
    <w:rsid w:val="00E365E9"/>
    <w:rsid w:val="00E52377"/>
    <w:rsid w:val="00E537AD"/>
    <w:rsid w:val="00E62101"/>
    <w:rsid w:val="00E64E17"/>
    <w:rsid w:val="00E772BC"/>
    <w:rsid w:val="00E8025B"/>
    <w:rsid w:val="00E866C9"/>
    <w:rsid w:val="00EA3D3C"/>
    <w:rsid w:val="00EC090A"/>
    <w:rsid w:val="00ED20B5"/>
    <w:rsid w:val="00ED2D27"/>
    <w:rsid w:val="00EE751D"/>
    <w:rsid w:val="00EF3223"/>
    <w:rsid w:val="00EF7B80"/>
    <w:rsid w:val="00F02579"/>
    <w:rsid w:val="00F170CF"/>
    <w:rsid w:val="00F24E88"/>
    <w:rsid w:val="00F46900"/>
    <w:rsid w:val="00F61D89"/>
    <w:rsid w:val="00F743A3"/>
    <w:rsid w:val="00F75153"/>
    <w:rsid w:val="00FC40F9"/>
    <w:rsid w:val="00FC41D9"/>
    <w:rsid w:val="00FF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eGrid1">
    <w:name w:val="Table Grid1"/>
    <w:basedOn w:val="TableNormal"/>
    <w:next w:val="TableGrid"/>
    <w:uiPriority w:val="39"/>
    <w:rsid w:val="009376BB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B6FC1"/>
  </w:style>
  <w:style w:type="table" w:customStyle="1" w:styleId="TableGrid2">
    <w:name w:val="Table Grid2"/>
    <w:basedOn w:val="TableNormal"/>
    <w:next w:val="TableGrid"/>
    <w:uiPriority w:val="39"/>
    <w:rsid w:val="003B6FC1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30E33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30E33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82187B"/>
  </w:style>
  <w:style w:type="table" w:customStyle="1" w:styleId="TableGrid5">
    <w:name w:val="Table Grid5"/>
    <w:basedOn w:val="TableNormal"/>
    <w:next w:val="TableGrid"/>
    <w:uiPriority w:val="39"/>
    <w:rsid w:val="0082187B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DC0B94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65239E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E62101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62101"/>
  </w:style>
  <w:style w:type="table" w:customStyle="1" w:styleId="TableGrid9">
    <w:name w:val="Table Grid9"/>
    <w:basedOn w:val="TableNormal"/>
    <w:next w:val="TableGrid"/>
    <w:uiPriority w:val="39"/>
    <w:rsid w:val="00E62101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1F085C"/>
  </w:style>
  <w:style w:type="table" w:customStyle="1" w:styleId="TableGrid10">
    <w:name w:val="Table Grid10"/>
    <w:basedOn w:val="TableNormal"/>
    <w:next w:val="TableGrid"/>
    <w:uiPriority w:val="39"/>
    <w:rsid w:val="001F085C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1F085C"/>
  </w:style>
  <w:style w:type="table" w:customStyle="1" w:styleId="TableGrid11">
    <w:name w:val="Table Grid11"/>
    <w:basedOn w:val="TableNormal"/>
    <w:next w:val="TableGrid"/>
    <w:uiPriority w:val="39"/>
    <w:rsid w:val="001F085C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F585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746780E872A44AC3E656545524567" ma:contentTypeVersion="14" ma:contentTypeDescription="Create a new document." ma:contentTypeScope="" ma:versionID="f285cfb24f22534d240b8164adbd3dc7">
  <xsd:schema xmlns:xsd="http://www.w3.org/2001/XMLSchema" xmlns:xs="http://www.w3.org/2001/XMLSchema" xmlns:p="http://schemas.microsoft.com/office/2006/metadata/properties" xmlns:ns3="72ff0027-6e22-41e9-899e-b5a1406cab58" xmlns:ns4="860eb2e8-c7bb-4d9f-9ba7-96bdfb8fabe4" targetNamespace="http://schemas.microsoft.com/office/2006/metadata/properties" ma:root="true" ma:fieldsID="2f9a1384a3c84d10a15498b1a93f4390" ns3:_="" ns4:_="">
    <xsd:import namespace="72ff0027-6e22-41e9-899e-b5a1406cab58"/>
    <xsd:import namespace="860eb2e8-c7bb-4d9f-9ba7-96bdfb8fab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f0027-6e22-41e9-899e-b5a1406ca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b2e8-c7bb-4d9f-9ba7-96bdfb8fa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AF6D6D-85C9-440C-AD3C-D703502DA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f0027-6e22-41e9-899e-b5a1406cab58"/>
    <ds:schemaRef ds:uri="860eb2e8-c7bb-4d9f-9ba7-96bdfb8fa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42740-8F05-4360-856D-6919E8CF1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A024-DAE8-43B2-9F97-68EA92A1BCF6}">
  <ds:schemaRefs>
    <ds:schemaRef ds:uri="http://www.w3.org/XML/1998/namespace"/>
    <ds:schemaRef ds:uri="860eb2e8-c7bb-4d9f-9ba7-96bdfb8fabe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ff0027-6e22-41e9-899e-b5a1406cab58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29F039-1A0E-4913-BBF0-B760780C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12</TotalTime>
  <Pages>6</Pages>
  <Words>1163</Words>
  <Characters>6355</Characters>
  <Application>Microsoft Office Word</Application>
  <DocSecurity>0</DocSecurity>
  <Lines>155</Lines>
  <Paragraphs>85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Journals</cp:lastModifiedBy>
  <cp:revision>16</cp:revision>
  <cp:lastPrinted>2013-10-03T12:51:00Z</cp:lastPrinted>
  <dcterms:created xsi:type="dcterms:W3CDTF">2022-02-10T08:49:00Z</dcterms:created>
  <dcterms:modified xsi:type="dcterms:W3CDTF">2022-07-15T12:53:00Z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0x010100EFC746780E872A44AC3E656545524567</vt:lpwstr>
  </property>
</Properties>
</file>