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0119" w14:textId="4A7E85C4" w:rsidR="0088531B" w:rsidRPr="00244950" w:rsidRDefault="00846998" w:rsidP="00244950">
      <w:pPr>
        <w:pStyle w:val="ListParagraph"/>
        <w:numPr>
          <w:ilvl w:val="0"/>
          <w:numId w:val="1"/>
        </w:numPr>
        <w:rPr>
          <w:rFonts w:ascii="Times New Roman" w:hAnsi="Times New Roman" w:cs="Times New Roman"/>
          <w:b/>
          <w:bCs/>
          <w:sz w:val="24"/>
          <w:szCs w:val="24"/>
        </w:rPr>
      </w:pPr>
      <w:r w:rsidRPr="00244950">
        <w:rPr>
          <w:rFonts w:ascii="Times New Roman" w:hAnsi="Times New Roman" w:cs="Times New Roman"/>
          <w:b/>
          <w:bCs/>
          <w:sz w:val="24"/>
          <w:szCs w:val="24"/>
        </w:rPr>
        <w:t>Statistical power</w:t>
      </w:r>
    </w:p>
    <w:p w14:paraId="24775C73" w14:textId="3E772EDD" w:rsidR="00A63482" w:rsidRDefault="00846998">
      <w:pPr>
        <w:rPr>
          <w:rFonts w:ascii="Times New Roman" w:hAnsi="Times New Roman" w:cs="Times New Roman"/>
          <w:sz w:val="24"/>
          <w:szCs w:val="24"/>
        </w:rPr>
      </w:pPr>
      <w:r w:rsidRPr="00244950">
        <w:rPr>
          <w:rFonts w:ascii="Times New Roman" w:hAnsi="Times New Roman" w:cs="Times New Roman"/>
          <w:sz w:val="24"/>
          <w:szCs w:val="24"/>
        </w:rPr>
        <w:t xml:space="preserve">An </w:t>
      </w:r>
      <w:r w:rsidRPr="00244950">
        <w:rPr>
          <w:rFonts w:ascii="Times New Roman" w:hAnsi="Times New Roman" w:cs="Times New Roman"/>
          <w:i/>
          <w:iCs/>
          <w:sz w:val="24"/>
          <w:szCs w:val="24"/>
        </w:rPr>
        <w:t>a priori</w:t>
      </w:r>
      <w:r w:rsidRPr="00244950">
        <w:rPr>
          <w:rFonts w:ascii="Times New Roman" w:hAnsi="Times New Roman" w:cs="Times New Roman"/>
          <w:sz w:val="24"/>
          <w:szCs w:val="24"/>
        </w:rPr>
        <w:t xml:space="preserve"> power analysis was conducted to estimate the sample size needed to detect a disorder with a 5% prevalence rate, in a population of 37 million people, with a 1% margin of error, and a confidence level of 95%</w:t>
      </w:r>
      <w:r w:rsidR="007161F3">
        <w:rPr>
          <w:rFonts w:ascii="Times New Roman" w:hAnsi="Times New Roman" w:cs="Times New Roman"/>
          <w:sz w:val="24"/>
          <w:szCs w:val="24"/>
        </w:rPr>
        <w:t>.</w:t>
      </w:r>
      <w:r w:rsidRPr="00244950">
        <w:rPr>
          <w:rFonts w:ascii="Times New Roman" w:hAnsi="Times New Roman" w:cs="Times New Roman"/>
          <w:sz w:val="24"/>
          <w:szCs w:val="24"/>
        </w:rPr>
        <w:t xml:space="preserve"> This resulted in a required sample size of 1,825 people</w:t>
      </w:r>
      <w:r w:rsidR="007161F3">
        <w:rPr>
          <w:rFonts w:ascii="Times New Roman" w:hAnsi="Times New Roman" w:cs="Times New Roman"/>
          <w:sz w:val="24"/>
          <w:szCs w:val="24"/>
        </w:rPr>
        <w:t>.</w:t>
      </w:r>
      <w:r w:rsidR="00244950">
        <w:rPr>
          <w:rFonts w:ascii="Times New Roman" w:hAnsi="Times New Roman" w:cs="Times New Roman"/>
          <w:sz w:val="24"/>
          <w:szCs w:val="24"/>
        </w:rPr>
        <w:t xml:space="preserve"> In consultation with the survey company employed to collect the data, we agreed on a target sample sized of </w:t>
      </w:r>
      <w:r w:rsidRPr="00244950">
        <w:rPr>
          <w:rFonts w:ascii="Times New Roman" w:hAnsi="Times New Roman" w:cs="Times New Roman"/>
          <w:sz w:val="24"/>
          <w:szCs w:val="24"/>
        </w:rPr>
        <w:t>2,000</w:t>
      </w:r>
      <w:r w:rsidR="00244950">
        <w:rPr>
          <w:rFonts w:ascii="Times New Roman" w:hAnsi="Times New Roman" w:cs="Times New Roman"/>
          <w:sz w:val="24"/>
          <w:szCs w:val="24"/>
        </w:rPr>
        <w:t xml:space="preserve"> people</w:t>
      </w:r>
      <w:r w:rsidR="007161F3">
        <w:rPr>
          <w:rFonts w:ascii="Times New Roman" w:hAnsi="Times New Roman" w:cs="Times New Roman"/>
          <w:sz w:val="24"/>
          <w:szCs w:val="24"/>
        </w:rPr>
        <w:t>.</w:t>
      </w:r>
      <w:r w:rsidRPr="00244950">
        <w:rPr>
          <w:rFonts w:ascii="Times New Roman" w:hAnsi="Times New Roman" w:cs="Times New Roman"/>
          <w:sz w:val="24"/>
          <w:szCs w:val="24"/>
        </w:rPr>
        <w:t xml:space="preserve"> In total, we collected responses from 2,050 people</w:t>
      </w:r>
      <w:r w:rsidR="007161F3">
        <w:rPr>
          <w:rFonts w:ascii="Times New Roman" w:hAnsi="Times New Roman" w:cs="Times New Roman"/>
          <w:sz w:val="24"/>
          <w:szCs w:val="24"/>
        </w:rPr>
        <w:t>.</w:t>
      </w:r>
    </w:p>
    <w:p w14:paraId="06B01EF9" w14:textId="77777777" w:rsidR="00224524" w:rsidRDefault="00224524">
      <w:pPr>
        <w:rPr>
          <w:rFonts w:ascii="Times New Roman" w:hAnsi="Times New Roman" w:cs="Times New Roman"/>
          <w:sz w:val="24"/>
          <w:szCs w:val="24"/>
        </w:rPr>
      </w:pPr>
    </w:p>
    <w:p w14:paraId="69B18F01" w14:textId="48103E45" w:rsidR="0078067D" w:rsidRPr="006078A7" w:rsidRDefault="0078067D" w:rsidP="0078067D">
      <w:pPr>
        <w:pStyle w:val="ListParagraph"/>
        <w:numPr>
          <w:ilvl w:val="0"/>
          <w:numId w:val="1"/>
        </w:numPr>
        <w:rPr>
          <w:rFonts w:ascii="Times New Roman" w:hAnsi="Times New Roman" w:cs="Times New Roman"/>
          <w:b/>
          <w:bCs/>
          <w:sz w:val="24"/>
          <w:szCs w:val="24"/>
        </w:rPr>
      </w:pPr>
      <w:r w:rsidRPr="006078A7">
        <w:rPr>
          <w:rFonts w:ascii="Times New Roman" w:hAnsi="Times New Roman" w:cs="Times New Roman"/>
          <w:b/>
          <w:bCs/>
          <w:sz w:val="24"/>
          <w:szCs w:val="24"/>
        </w:rPr>
        <w:t xml:space="preserve">Census data and sample </w:t>
      </w:r>
      <w:r w:rsidR="00241C40" w:rsidRPr="006078A7">
        <w:rPr>
          <w:rFonts w:ascii="Times New Roman" w:hAnsi="Times New Roman" w:cs="Times New Roman"/>
          <w:b/>
          <w:bCs/>
          <w:sz w:val="24"/>
          <w:szCs w:val="24"/>
        </w:rPr>
        <w:t>quotas</w:t>
      </w:r>
    </w:p>
    <w:p w14:paraId="085A98DE" w14:textId="65997BD9" w:rsidR="006078A7" w:rsidRDefault="00241C40">
      <w:pPr>
        <w:rPr>
          <w:rFonts w:ascii="Times New Roman" w:hAnsi="Times New Roman" w:cs="Times New Roman"/>
          <w:sz w:val="24"/>
          <w:szCs w:val="24"/>
        </w:rPr>
      </w:pPr>
      <w:r>
        <w:rPr>
          <w:rFonts w:ascii="Times New Roman" w:hAnsi="Times New Roman" w:cs="Times New Roman"/>
          <w:sz w:val="24"/>
          <w:szCs w:val="24"/>
        </w:rPr>
        <w:t xml:space="preserve">The table below presents the estimated population parameters for sex, age, and regional distribution alongside the </w:t>
      </w:r>
      <w:r w:rsidR="006078A7">
        <w:rPr>
          <w:rFonts w:ascii="Times New Roman" w:hAnsi="Times New Roman" w:cs="Times New Roman"/>
          <w:sz w:val="24"/>
          <w:szCs w:val="24"/>
        </w:rPr>
        <w:t>composition of our obtained sample</w:t>
      </w:r>
      <w:r w:rsidR="00A129B8">
        <w:rPr>
          <w:rFonts w:ascii="Times New Roman" w:hAnsi="Times New Roman" w:cs="Times New Roman"/>
          <w:sz w:val="24"/>
          <w:szCs w:val="24"/>
        </w:rPr>
        <w:t>.</w:t>
      </w:r>
      <w:r w:rsidR="006078A7">
        <w:rPr>
          <w:rFonts w:ascii="Times New Roman" w:hAnsi="Times New Roman" w:cs="Times New Roman"/>
          <w:sz w:val="24"/>
          <w:szCs w:val="24"/>
        </w:rPr>
        <w:t xml:space="preserve"> For note, the last census in Ukraine was conducted in 2001, although estimates are available from 2022</w:t>
      </w:r>
      <w:r w:rsidR="00A129B8">
        <w:rPr>
          <w:rFonts w:ascii="Times New Roman" w:hAnsi="Times New Roman" w:cs="Times New Roman"/>
          <w:sz w:val="24"/>
          <w:szCs w:val="24"/>
        </w:rPr>
        <w:t>.</w:t>
      </w:r>
    </w:p>
    <w:p w14:paraId="07CA7633" w14:textId="77777777" w:rsidR="00FD0CFA" w:rsidRPr="00244950" w:rsidRDefault="00FD0CFA">
      <w:pPr>
        <w:rPr>
          <w:rFonts w:ascii="Times New Roman" w:hAnsi="Times New Roman" w:cs="Times New Roman"/>
          <w:sz w:val="24"/>
          <w:szCs w:val="24"/>
        </w:rPr>
      </w:pPr>
    </w:p>
    <w:p w14:paraId="599CFC6F" w14:textId="0B0BC4A5" w:rsidR="00015EE2" w:rsidRPr="00244950" w:rsidRDefault="006078A7" w:rsidP="00015EE2">
      <w:pPr>
        <w:spacing w:after="0" w:line="240" w:lineRule="auto"/>
        <w:rPr>
          <w:rFonts w:ascii="Times New Roman" w:hAnsi="Times New Roman" w:cs="Times New Roman"/>
          <w:b/>
          <w:bCs/>
          <w:sz w:val="24"/>
          <w:szCs w:val="24"/>
        </w:rPr>
      </w:pPr>
      <w:r>
        <w:rPr>
          <w:rFonts w:ascii="Times New Roman" w:hAnsi="Times New Roman" w:cs="Times New Roman"/>
          <w:b/>
          <w:bCs/>
          <w:iCs/>
          <w:sz w:val="24"/>
          <w:szCs w:val="24"/>
        </w:rPr>
        <w:t>Supplementary Table</w:t>
      </w:r>
      <w:r w:rsidR="00A129B8">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00015EE2" w:rsidRPr="00244950">
        <w:rPr>
          <w:rFonts w:ascii="Times New Roman" w:hAnsi="Times New Roman" w:cs="Times New Roman"/>
          <w:b/>
          <w:bCs/>
          <w:iCs/>
          <w:sz w:val="24"/>
          <w:szCs w:val="24"/>
        </w:rPr>
        <w:t>Comparison between census data and sample composition across the three quota variables for sample selection</w:t>
      </w:r>
      <w:r w:rsidR="00A129B8">
        <w:rPr>
          <w:rFonts w:ascii="Times New Roman" w:hAnsi="Times New Roman" w:cs="Times New Roman"/>
          <w:b/>
          <w:bCs/>
          <w:iCs/>
          <w:sz w:val="24"/>
          <w:szCs w:val="24"/>
        </w:rPr>
        <w:t>.</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203"/>
        <w:gridCol w:w="1637"/>
        <w:gridCol w:w="2186"/>
      </w:tblGrid>
      <w:tr w:rsidR="00015EE2" w:rsidRPr="00244950" w14:paraId="66CC9978" w14:textId="77777777" w:rsidTr="00F20771">
        <w:trPr>
          <w:trHeight w:val="300"/>
        </w:trPr>
        <w:tc>
          <w:tcPr>
            <w:tcW w:w="2882" w:type="pct"/>
            <w:tcBorders>
              <w:top w:val="single" w:sz="4" w:space="0" w:color="auto"/>
              <w:bottom w:val="single" w:sz="4" w:space="0" w:color="auto"/>
            </w:tcBorders>
            <w:shd w:val="clear" w:color="auto" w:fill="auto"/>
            <w:noWrap/>
            <w:tcMar>
              <w:top w:w="0" w:type="dxa"/>
              <w:left w:w="108" w:type="dxa"/>
              <w:bottom w:w="0" w:type="dxa"/>
              <w:right w:w="108" w:type="dxa"/>
            </w:tcMar>
            <w:hideMark/>
          </w:tcPr>
          <w:p w14:paraId="768D15F2"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 </w:t>
            </w:r>
          </w:p>
        </w:tc>
        <w:tc>
          <w:tcPr>
            <w:tcW w:w="907" w:type="pct"/>
            <w:tcBorders>
              <w:top w:val="single" w:sz="4" w:space="0" w:color="auto"/>
              <w:bottom w:val="single" w:sz="4" w:space="0" w:color="auto"/>
            </w:tcBorders>
            <w:shd w:val="clear" w:color="auto" w:fill="auto"/>
            <w:noWrap/>
            <w:tcMar>
              <w:top w:w="0" w:type="dxa"/>
              <w:left w:w="108" w:type="dxa"/>
              <w:bottom w:w="0" w:type="dxa"/>
              <w:right w:w="108" w:type="dxa"/>
            </w:tcMar>
            <w:hideMark/>
          </w:tcPr>
          <w:p w14:paraId="1D8FED23" w14:textId="77777777"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Census figures</w:t>
            </w:r>
          </w:p>
        </w:tc>
        <w:tc>
          <w:tcPr>
            <w:tcW w:w="1211" w:type="pct"/>
            <w:tcBorders>
              <w:top w:val="single" w:sz="4" w:space="0" w:color="auto"/>
              <w:bottom w:val="single" w:sz="4" w:space="0" w:color="auto"/>
            </w:tcBorders>
            <w:shd w:val="clear" w:color="auto" w:fill="auto"/>
            <w:noWrap/>
            <w:tcMar>
              <w:top w:w="0" w:type="dxa"/>
              <w:left w:w="108" w:type="dxa"/>
              <w:bottom w:w="0" w:type="dxa"/>
              <w:right w:w="108" w:type="dxa"/>
            </w:tcMar>
            <w:hideMark/>
          </w:tcPr>
          <w:p w14:paraId="358913E2" w14:textId="77777777"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Sample composition</w:t>
            </w:r>
          </w:p>
        </w:tc>
      </w:tr>
      <w:tr w:rsidR="00015EE2" w:rsidRPr="00244950" w14:paraId="6C179E96" w14:textId="77777777" w:rsidTr="00F20771">
        <w:trPr>
          <w:trHeight w:val="300"/>
        </w:trPr>
        <w:tc>
          <w:tcPr>
            <w:tcW w:w="2882" w:type="pct"/>
            <w:tcBorders>
              <w:top w:val="single" w:sz="4" w:space="0" w:color="auto"/>
            </w:tcBorders>
            <w:shd w:val="clear" w:color="auto" w:fill="auto"/>
            <w:noWrap/>
            <w:tcMar>
              <w:top w:w="0" w:type="dxa"/>
              <w:left w:w="108" w:type="dxa"/>
              <w:bottom w:w="0" w:type="dxa"/>
              <w:right w:w="108" w:type="dxa"/>
            </w:tcMar>
          </w:tcPr>
          <w:p w14:paraId="52287EAA" w14:textId="77777777" w:rsidR="00015EE2" w:rsidRPr="00244950" w:rsidRDefault="00015EE2" w:rsidP="00F20771">
            <w:pPr>
              <w:spacing w:after="0" w:line="240" w:lineRule="auto"/>
              <w:rPr>
                <w:rFonts w:ascii="Times New Roman" w:hAnsi="Times New Roman" w:cs="Times New Roman"/>
                <w:b/>
                <w:bCs/>
                <w:i/>
                <w:iCs/>
                <w:color w:val="000000"/>
                <w:sz w:val="24"/>
                <w:szCs w:val="24"/>
              </w:rPr>
            </w:pPr>
            <w:r w:rsidRPr="00244950">
              <w:rPr>
                <w:rFonts w:ascii="Times New Roman" w:hAnsi="Times New Roman" w:cs="Times New Roman"/>
                <w:b/>
                <w:bCs/>
                <w:i/>
                <w:iCs/>
                <w:color w:val="000000"/>
                <w:sz w:val="24"/>
                <w:szCs w:val="24"/>
              </w:rPr>
              <w:t>Sex</w:t>
            </w:r>
          </w:p>
        </w:tc>
        <w:tc>
          <w:tcPr>
            <w:tcW w:w="907" w:type="pct"/>
            <w:tcBorders>
              <w:top w:val="single" w:sz="4" w:space="0" w:color="auto"/>
            </w:tcBorders>
            <w:shd w:val="clear" w:color="auto" w:fill="auto"/>
            <w:noWrap/>
            <w:tcMar>
              <w:top w:w="0" w:type="dxa"/>
              <w:left w:w="108" w:type="dxa"/>
              <w:bottom w:w="0" w:type="dxa"/>
              <w:right w:w="108" w:type="dxa"/>
            </w:tcMar>
          </w:tcPr>
          <w:p w14:paraId="76901313" w14:textId="77777777" w:rsidR="00015EE2" w:rsidRPr="00244950" w:rsidRDefault="00015EE2" w:rsidP="00F20771">
            <w:pPr>
              <w:spacing w:after="0" w:line="240" w:lineRule="auto"/>
              <w:jc w:val="center"/>
              <w:rPr>
                <w:rFonts w:ascii="Times New Roman" w:hAnsi="Times New Roman" w:cs="Times New Roman"/>
                <w:color w:val="000000"/>
                <w:sz w:val="24"/>
                <w:szCs w:val="24"/>
              </w:rPr>
            </w:pPr>
          </w:p>
        </w:tc>
        <w:tc>
          <w:tcPr>
            <w:tcW w:w="1211" w:type="pct"/>
            <w:tcBorders>
              <w:top w:val="single" w:sz="4" w:space="0" w:color="auto"/>
            </w:tcBorders>
            <w:shd w:val="clear" w:color="auto" w:fill="auto"/>
            <w:noWrap/>
            <w:tcMar>
              <w:top w:w="0" w:type="dxa"/>
              <w:left w:w="108" w:type="dxa"/>
              <w:bottom w:w="0" w:type="dxa"/>
              <w:right w:w="108" w:type="dxa"/>
            </w:tcMar>
          </w:tcPr>
          <w:p w14:paraId="1038BF82" w14:textId="77777777" w:rsidR="00015EE2" w:rsidRPr="00244950" w:rsidRDefault="00015EE2" w:rsidP="00F20771">
            <w:pPr>
              <w:spacing w:after="0" w:line="240" w:lineRule="auto"/>
              <w:jc w:val="center"/>
              <w:rPr>
                <w:rFonts w:ascii="Times New Roman" w:hAnsi="Times New Roman" w:cs="Times New Roman"/>
                <w:color w:val="000000"/>
                <w:sz w:val="24"/>
                <w:szCs w:val="24"/>
              </w:rPr>
            </w:pPr>
          </w:p>
        </w:tc>
      </w:tr>
      <w:tr w:rsidR="00015EE2" w:rsidRPr="00244950" w14:paraId="1C4F360D" w14:textId="77777777" w:rsidTr="00F20771">
        <w:trPr>
          <w:trHeight w:val="300"/>
        </w:trPr>
        <w:tc>
          <w:tcPr>
            <w:tcW w:w="2882" w:type="pct"/>
            <w:shd w:val="clear" w:color="auto" w:fill="auto"/>
            <w:noWrap/>
            <w:tcMar>
              <w:top w:w="0" w:type="dxa"/>
              <w:left w:w="108" w:type="dxa"/>
              <w:bottom w:w="0" w:type="dxa"/>
              <w:right w:w="108" w:type="dxa"/>
            </w:tcMar>
            <w:hideMark/>
          </w:tcPr>
          <w:p w14:paraId="612BE1D1"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Male</w:t>
            </w:r>
          </w:p>
        </w:tc>
        <w:tc>
          <w:tcPr>
            <w:tcW w:w="907" w:type="pct"/>
            <w:shd w:val="clear" w:color="auto" w:fill="auto"/>
            <w:noWrap/>
            <w:tcMar>
              <w:top w:w="0" w:type="dxa"/>
              <w:left w:w="108" w:type="dxa"/>
              <w:bottom w:w="0" w:type="dxa"/>
              <w:right w:w="108" w:type="dxa"/>
            </w:tcMar>
            <w:hideMark/>
          </w:tcPr>
          <w:p w14:paraId="6B82FC8B" w14:textId="2DC934EB"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50</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1B1F56BC" w14:textId="66D99C86"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51</w:t>
            </w:r>
            <w:r w:rsidR="00EF07DF">
              <w:rPr>
                <w:rFonts w:ascii="Times New Roman" w:hAnsi="Times New Roman" w:cs="Times New Roman"/>
                <w:sz w:val="24"/>
                <w:szCs w:val="24"/>
              </w:rPr>
              <w:t>.</w:t>
            </w:r>
            <w:r w:rsidRPr="00244950">
              <w:rPr>
                <w:rFonts w:ascii="Times New Roman" w:hAnsi="Times New Roman" w:cs="Times New Roman"/>
                <w:sz w:val="24"/>
                <w:szCs w:val="24"/>
              </w:rPr>
              <w:t>7%</w:t>
            </w:r>
          </w:p>
        </w:tc>
      </w:tr>
      <w:tr w:rsidR="00015EE2" w:rsidRPr="00244950" w14:paraId="2136DAE7" w14:textId="77777777" w:rsidTr="00F20771">
        <w:trPr>
          <w:trHeight w:val="300"/>
        </w:trPr>
        <w:tc>
          <w:tcPr>
            <w:tcW w:w="2882" w:type="pct"/>
            <w:shd w:val="clear" w:color="auto" w:fill="auto"/>
            <w:noWrap/>
            <w:tcMar>
              <w:top w:w="0" w:type="dxa"/>
              <w:left w:w="108" w:type="dxa"/>
              <w:bottom w:w="0" w:type="dxa"/>
              <w:right w:w="108" w:type="dxa"/>
            </w:tcMar>
            <w:hideMark/>
          </w:tcPr>
          <w:p w14:paraId="25D95CB4"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Female</w:t>
            </w:r>
          </w:p>
        </w:tc>
        <w:tc>
          <w:tcPr>
            <w:tcW w:w="907" w:type="pct"/>
            <w:shd w:val="clear" w:color="auto" w:fill="auto"/>
            <w:noWrap/>
            <w:tcMar>
              <w:top w:w="0" w:type="dxa"/>
              <w:left w:w="108" w:type="dxa"/>
              <w:bottom w:w="0" w:type="dxa"/>
              <w:right w:w="108" w:type="dxa"/>
            </w:tcMar>
            <w:hideMark/>
          </w:tcPr>
          <w:p w14:paraId="1EC61FE9" w14:textId="27390911"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50</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31C3022A" w14:textId="54C6C630"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48</w:t>
            </w:r>
            <w:r w:rsidR="00EF07DF">
              <w:rPr>
                <w:rFonts w:ascii="Times New Roman" w:hAnsi="Times New Roman" w:cs="Times New Roman"/>
                <w:sz w:val="24"/>
                <w:szCs w:val="24"/>
              </w:rPr>
              <w:t>.</w:t>
            </w:r>
            <w:r w:rsidRPr="00244950">
              <w:rPr>
                <w:rFonts w:ascii="Times New Roman" w:hAnsi="Times New Roman" w:cs="Times New Roman"/>
                <w:sz w:val="24"/>
                <w:szCs w:val="24"/>
              </w:rPr>
              <w:t>3%</w:t>
            </w:r>
          </w:p>
        </w:tc>
      </w:tr>
      <w:tr w:rsidR="00015EE2" w:rsidRPr="00244950" w14:paraId="26546472" w14:textId="77777777" w:rsidTr="00F20771">
        <w:trPr>
          <w:trHeight w:val="300"/>
        </w:trPr>
        <w:tc>
          <w:tcPr>
            <w:tcW w:w="2882" w:type="pct"/>
            <w:shd w:val="clear" w:color="auto" w:fill="auto"/>
            <w:noWrap/>
            <w:tcMar>
              <w:top w:w="0" w:type="dxa"/>
              <w:left w:w="108" w:type="dxa"/>
              <w:bottom w:w="0" w:type="dxa"/>
              <w:right w:w="108" w:type="dxa"/>
            </w:tcMar>
            <w:hideMark/>
          </w:tcPr>
          <w:p w14:paraId="50789AFF" w14:textId="77777777" w:rsidR="00015EE2" w:rsidRPr="00244950" w:rsidRDefault="00015EE2" w:rsidP="00F20771">
            <w:pPr>
              <w:spacing w:after="0" w:line="240" w:lineRule="auto"/>
              <w:rPr>
                <w:rFonts w:ascii="Times New Roman" w:hAnsi="Times New Roman" w:cs="Times New Roman"/>
                <w:b/>
                <w:bCs/>
                <w:i/>
                <w:iCs/>
                <w:sz w:val="24"/>
                <w:szCs w:val="24"/>
              </w:rPr>
            </w:pPr>
            <w:r w:rsidRPr="00244950">
              <w:rPr>
                <w:rFonts w:ascii="Times New Roman" w:hAnsi="Times New Roman" w:cs="Times New Roman"/>
                <w:b/>
                <w:bCs/>
                <w:i/>
                <w:iCs/>
                <w:color w:val="000000"/>
                <w:sz w:val="24"/>
                <w:szCs w:val="24"/>
              </w:rPr>
              <w:t>Age</w:t>
            </w:r>
          </w:p>
        </w:tc>
        <w:tc>
          <w:tcPr>
            <w:tcW w:w="907" w:type="pct"/>
            <w:shd w:val="clear" w:color="auto" w:fill="auto"/>
            <w:noWrap/>
            <w:tcMar>
              <w:top w:w="0" w:type="dxa"/>
              <w:left w:w="108" w:type="dxa"/>
              <w:bottom w:w="0" w:type="dxa"/>
              <w:right w:w="108" w:type="dxa"/>
            </w:tcMar>
            <w:hideMark/>
          </w:tcPr>
          <w:p w14:paraId="3DDF02A0" w14:textId="77777777" w:rsidR="00015EE2" w:rsidRPr="00244950" w:rsidRDefault="00015EE2" w:rsidP="00F20771">
            <w:pPr>
              <w:spacing w:after="0" w:line="240" w:lineRule="auto"/>
              <w:jc w:val="center"/>
              <w:rPr>
                <w:rFonts w:ascii="Times New Roman" w:hAnsi="Times New Roman" w:cs="Times New Roman"/>
                <w:sz w:val="24"/>
                <w:szCs w:val="24"/>
              </w:rPr>
            </w:pPr>
          </w:p>
        </w:tc>
        <w:tc>
          <w:tcPr>
            <w:tcW w:w="1211" w:type="pct"/>
            <w:shd w:val="clear" w:color="auto" w:fill="auto"/>
            <w:noWrap/>
            <w:tcMar>
              <w:top w:w="0" w:type="dxa"/>
              <w:left w:w="108" w:type="dxa"/>
              <w:bottom w:w="0" w:type="dxa"/>
              <w:right w:w="108" w:type="dxa"/>
            </w:tcMar>
          </w:tcPr>
          <w:p w14:paraId="2F7493BC" w14:textId="77777777" w:rsidR="00015EE2" w:rsidRPr="00244950" w:rsidRDefault="00015EE2" w:rsidP="00F20771">
            <w:pPr>
              <w:spacing w:after="0" w:line="240" w:lineRule="auto"/>
              <w:jc w:val="center"/>
              <w:rPr>
                <w:rFonts w:ascii="Times New Roman" w:hAnsi="Times New Roman" w:cs="Times New Roman"/>
                <w:sz w:val="24"/>
                <w:szCs w:val="24"/>
              </w:rPr>
            </w:pPr>
          </w:p>
        </w:tc>
      </w:tr>
      <w:tr w:rsidR="00015EE2" w:rsidRPr="00244950" w14:paraId="6028E678" w14:textId="77777777" w:rsidTr="00F20771">
        <w:trPr>
          <w:trHeight w:val="300"/>
        </w:trPr>
        <w:tc>
          <w:tcPr>
            <w:tcW w:w="2882" w:type="pct"/>
            <w:shd w:val="clear" w:color="auto" w:fill="auto"/>
            <w:noWrap/>
            <w:tcMar>
              <w:top w:w="0" w:type="dxa"/>
              <w:left w:w="108" w:type="dxa"/>
              <w:bottom w:w="0" w:type="dxa"/>
              <w:right w:w="108" w:type="dxa"/>
            </w:tcMar>
            <w:hideMark/>
          </w:tcPr>
          <w:p w14:paraId="0E9E3864"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18-29</w:t>
            </w:r>
          </w:p>
        </w:tc>
        <w:tc>
          <w:tcPr>
            <w:tcW w:w="907" w:type="pct"/>
            <w:shd w:val="clear" w:color="auto" w:fill="auto"/>
            <w:noWrap/>
            <w:tcMar>
              <w:top w:w="0" w:type="dxa"/>
              <w:left w:w="108" w:type="dxa"/>
              <w:bottom w:w="0" w:type="dxa"/>
              <w:right w:w="108" w:type="dxa"/>
            </w:tcMar>
            <w:hideMark/>
          </w:tcPr>
          <w:p w14:paraId="66E61909" w14:textId="76F8B6AD"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16</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245B5DC4" w14:textId="0E73812A"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20</w:t>
            </w:r>
            <w:r w:rsidR="00EF07DF">
              <w:rPr>
                <w:rFonts w:ascii="Times New Roman" w:hAnsi="Times New Roman" w:cs="Times New Roman"/>
                <w:sz w:val="24"/>
                <w:szCs w:val="24"/>
              </w:rPr>
              <w:t>.</w:t>
            </w:r>
            <w:r w:rsidRPr="00244950">
              <w:rPr>
                <w:rFonts w:ascii="Times New Roman" w:hAnsi="Times New Roman" w:cs="Times New Roman"/>
                <w:sz w:val="24"/>
                <w:szCs w:val="24"/>
              </w:rPr>
              <w:t>8%</w:t>
            </w:r>
          </w:p>
        </w:tc>
      </w:tr>
      <w:tr w:rsidR="00015EE2" w:rsidRPr="00244950" w14:paraId="694BCEE3" w14:textId="77777777" w:rsidTr="00F20771">
        <w:trPr>
          <w:trHeight w:val="300"/>
        </w:trPr>
        <w:tc>
          <w:tcPr>
            <w:tcW w:w="2882" w:type="pct"/>
            <w:shd w:val="clear" w:color="auto" w:fill="auto"/>
            <w:noWrap/>
            <w:tcMar>
              <w:top w:w="0" w:type="dxa"/>
              <w:left w:w="108" w:type="dxa"/>
              <w:bottom w:w="0" w:type="dxa"/>
              <w:right w:w="108" w:type="dxa"/>
            </w:tcMar>
            <w:hideMark/>
          </w:tcPr>
          <w:p w14:paraId="1C1E6143"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30-39</w:t>
            </w:r>
          </w:p>
        </w:tc>
        <w:tc>
          <w:tcPr>
            <w:tcW w:w="907" w:type="pct"/>
            <w:shd w:val="clear" w:color="auto" w:fill="auto"/>
            <w:noWrap/>
            <w:tcMar>
              <w:top w:w="0" w:type="dxa"/>
              <w:left w:w="108" w:type="dxa"/>
              <w:bottom w:w="0" w:type="dxa"/>
              <w:right w:w="108" w:type="dxa"/>
            </w:tcMar>
            <w:hideMark/>
          </w:tcPr>
          <w:p w14:paraId="54860EBF" w14:textId="2068B034"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21</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35F09333" w14:textId="0C429F98"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25</w:t>
            </w:r>
            <w:r w:rsidR="00EF07DF">
              <w:rPr>
                <w:rFonts w:ascii="Times New Roman" w:hAnsi="Times New Roman" w:cs="Times New Roman"/>
                <w:sz w:val="24"/>
                <w:szCs w:val="24"/>
              </w:rPr>
              <w:t>.</w:t>
            </w:r>
            <w:r w:rsidRPr="00244950">
              <w:rPr>
                <w:rFonts w:ascii="Times New Roman" w:hAnsi="Times New Roman" w:cs="Times New Roman"/>
                <w:sz w:val="24"/>
                <w:szCs w:val="24"/>
              </w:rPr>
              <w:t>2%</w:t>
            </w:r>
          </w:p>
        </w:tc>
      </w:tr>
      <w:tr w:rsidR="00015EE2" w:rsidRPr="00244950" w14:paraId="06D6FFBF" w14:textId="77777777" w:rsidTr="00F20771">
        <w:trPr>
          <w:trHeight w:val="300"/>
        </w:trPr>
        <w:tc>
          <w:tcPr>
            <w:tcW w:w="2882" w:type="pct"/>
            <w:shd w:val="clear" w:color="auto" w:fill="auto"/>
            <w:noWrap/>
            <w:tcMar>
              <w:top w:w="0" w:type="dxa"/>
              <w:left w:w="108" w:type="dxa"/>
              <w:bottom w:w="0" w:type="dxa"/>
              <w:right w:w="108" w:type="dxa"/>
            </w:tcMar>
            <w:hideMark/>
          </w:tcPr>
          <w:p w14:paraId="1C4CBF9F"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40-49</w:t>
            </w:r>
          </w:p>
        </w:tc>
        <w:tc>
          <w:tcPr>
            <w:tcW w:w="907" w:type="pct"/>
            <w:shd w:val="clear" w:color="auto" w:fill="auto"/>
            <w:noWrap/>
            <w:tcMar>
              <w:top w:w="0" w:type="dxa"/>
              <w:left w:w="108" w:type="dxa"/>
              <w:bottom w:w="0" w:type="dxa"/>
              <w:right w:w="108" w:type="dxa"/>
            </w:tcMar>
            <w:hideMark/>
          </w:tcPr>
          <w:p w14:paraId="475FF27B" w14:textId="2AB93445"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19</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46E6299B" w14:textId="7502EB8A"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23</w:t>
            </w:r>
            <w:r w:rsidR="00EF07DF">
              <w:rPr>
                <w:rFonts w:ascii="Times New Roman" w:hAnsi="Times New Roman" w:cs="Times New Roman"/>
                <w:sz w:val="24"/>
                <w:szCs w:val="24"/>
              </w:rPr>
              <w:t>.</w:t>
            </w:r>
            <w:r w:rsidRPr="00244950">
              <w:rPr>
                <w:rFonts w:ascii="Times New Roman" w:hAnsi="Times New Roman" w:cs="Times New Roman"/>
                <w:sz w:val="24"/>
                <w:szCs w:val="24"/>
              </w:rPr>
              <w:t>2%</w:t>
            </w:r>
          </w:p>
        </w:tc>
      </w:tr>
      <w:tr w:rsidR="00015EE2" w:rsidRPr="00244950" w14:paraId="431E14BB" w14:textId="77777777" w:rsidTr="00F20771">
        <w:trPr>
          <w:trHeight w:val="300"/>
        </w:trPr>
        <w:tc>
          <w:tcPr>
            <w:tcW w:w="2882" w:type="pct"/>
            <w:shd w:val="clear" w:color="auto" w:fill="auto"/>
            <w:noWrap/>
            <w:tcMar>
              <w:top w:w="0" w:type="dxa"/>
              <w:left w:w="108" w:type="dxa"/>
              <w:bottom w:w="0" w:type="dxa"/>
              <w:right w:w="108" w:type="dxa"/>
            </w:tcMar>
            <w:hideMark/>
          </w:tcPr>
          <w:p w14:paraId="011DED1A"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50-59</w:t>
            </w:r>
          </w:p>
        </w:tc>
        <w:tc>
          <w:tcPr>
            <w:tcW w:w="907" w:type="pct"/>
            <w:shd w:val="clear" w:color="auto" w:fill="auto"/>
            <w:noWrap/>
            <w:tcMar>
              <w:top w:w="0" w:type="dxa"/>
              <w:left w:w="108" w:type="dxa"/>
              <w:bottom w:w="0" w:type="dxa"/>
              <w:right w:w="108" w:type="dxa"/>
            </w:tcMar>
            <w:hideMark/>
          </w:tcPr>
          <w:p w14:paraId="741DA016" w14:textId="4FA348A1"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17</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2F935B30" w14:textId="41B78E67"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19</w:t>
            </w:r>
            <w:r w:rsidR="00EF07DF">
              <w:rPr>
                <w:rFonts w:ascii="Times New Roman" w:hAnsi="Times New Roman" w:cs="Times New Roman"/>
                <w:sz w:val="24"/>
                <w:szCs w:val="24"/>
              </w:rPr>
              <w:t>.</w:t>
            </w:r>
            <w:r w:rsidRPr="00244950">
              <w:rPr>
                <w:rFonts w:ascii="Times New Roman" w:hAnsi="Times New Roman" w:cs="Times New Roman"/>
                <w:sz w:val="24"/>
                <w:szCs w:val="24"/>
              </w:rPr>
              <w:t>0%</w:t>
            </w:r>
          </w:p>
        </w:tc>
      </w:tr>
      <w:tr w:rsidR="00015EE2" w:rsidRPr="00244950" w14:paraId="325EF23B" w14:textId="77777777" w:rsidTr="00F20771">
        <w:trPr>
          <w:trHeight w:val="300"/>
        </w:trPr>
        <w:tc>
          <w:tcPr>
            <w:tcW w:w="2882" w:type="pct"/>
            <w:shd w:val="clear" w:color="auto" w:fill="auto"/>
            <w:noWrap/>
            <w:tcMar>
              <w:top w:w="0" w:type="dxa"/>
              <w:left w:w="108" w:type="dxa"/>
              <w:bottom w:w="0" w:type="dxa"/>
              <w:right w:w="108" w:type="dxa"/>
            </w:tcMar>
          </w:tcPr>
          <w:p w14:paraId="740E3108" w14:textId="77777777" w:rsidR="00015EE2" w:rsidRPr="00244950" w:rsidRDefault="00015EE2" w:rsidP="00F20771">
            <w:pPr>
              <w:spacing w:after="0" w:line="240" w:lineRule="auto"/>
              <w:rPr>
                <w:rFonts w:ascii="Times New Roman" w:hAnsi="Times New Roman" w:cs="Times New Roman"/>
                <w:color w:val="000000"/>
                <w:sz w:val="24"/>
                <w:szCs w:val="24"/>
              </w:rPr>
            </w:pPr>
            <w:r w:rsidRPr="00244950">
              <w:rPr>
                <w:rFonts w:ascii="Times New Roman" w:hAnsi="Times New Roman" w:cs="Times New Roman"/>
                <w:color w:val="000000"/>
                <w:sz w:val="24"/>
                <w:szCs w:val="24"/>
              </w:rPr>
              <w:t>60 and older</w:t>
            </w:r>
          </w:p>
        </w:tc>
        <w:tc>
          <w:tcPr>
            <w:tcW w:w="907" w:type="pct"/>
            <w:shd w:val="clear" w:color="auto" w:fill="auto"/>
            <w:noWrap/>
            <w:tcMar>
              <w:top w:w="0" w:type="dxa"/>
              <w:left w:w="108" w:type="dxa"/>
              <w:bottom w:w="0" w:type="dxa"/>
              <w:right w:w="108" w:type="dxa"/>
            </w:tcMar>
          </w:tcPr>
          <w:p w14:paraId="5F7BFDB6" w14:textId="33957644" w:rsidR="00015EE2" w:rsidRPr="00244950" w:rsidRDefault="00015EE2" w:rsidP="00F20771">
            <w:pPr>
              <w:spacing w:after="0" w:line="240" w:lineRule="auto"/>
              <w:jc w:val="center"/>
              <w:rPr>
                <w:rFonts w:ascii="Times New Roman" w:hAnsi="Times New Roman" w:cs="Times New Roman"/>
                <w:color w:val="000000"/>
                <w:sz w:val="24"/>
                <w:szCs w:val="24"/>
              </w:rPr>
            </w:pPr>
            <w:r w:rsidRPr="00244950">
              <w:rPr>
                <w:rFonts w:ascii="Times New Roman" w:hAnsi="Times New Roman" w:cs="Times New Roman"/>
                <w:color w:val="000000"/>
                <w:sz w:val="24"/>
                <w:szCs w:val="24"/>
              </w:rPr>
              <w:t>26</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32C1080F" w14:textId="3E156975"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11</w:t>
            </w:r>
            <m:oMath>
              <m:r>
                <w:rPr>
                  <w:rFonts w:ascii="Cambria Math" w:hAnsi="Cambria Math" w:cs="Times New Roman"/>
                  <w:sz w:val="24"/>
                  <w:szCs w:val="24"/>
                </w:rPr>
                <m:t>.</m:t>
              </m:r>
            </m:oMath>
            <w:r w:rsidRPr="00244950">
              <w:rPr>
                <w:rFonts w:ascii="Times New Roman" w:hAnsi="Times New Roman" w:cs="Times New Roman"/>
                <w:sz w:val="24"/>
                <w:szCs w:val="24"/>
              </w:rPr>
              <w:t>8%</w:t>
            </w:r>
          </w:p>
        </w:tc>
      </w:tr>
      <w:tr w:rsidR="00015EE2" w:rsidRPr="00244950" w14:paraId="036008F3" w14:textId="77777777" w:rsidTr="00F20771">
        <w:trPr>
          <w:trHeight w:val="300"/>
        </w:trPr>
        <w:tc>
          <w:tcPr>
            <w:tcW w:w="2882" w:type="pct"/>
            <w:shd w:val="clear" w:color="auto" w:fill="auto"/>
            <w:noWrap/>
            <w:tcMar>
              <w:top w:w="0" w:type="dxa"/>
              <w:left w:w="108" w:type="dxa"/>
              <w:bottom w:w="0" w:type="dxa"/>
              <w:right w:w="108" w:type="dxa"/>
            </w:tcMar>
            <w:hideMark/>
          </w:tcPr>
          <w:p w14:paraId="7F7F7F8C" w14:textId="77777777" w:rsidR="00015EE2" w:rsidRPr="00244950" w:rsidRDefault="00015EE2" w:rsidP="00F20771">
            <w:pPr>
              <w:spacing w:after="0" w:line="240" w:lineRule="auto"/>
              <w:rPr>
                <w:rFonts w:ascii="Times New Roman" w:hAnsi="Times New Roman" w:cs="Times New Roman"/>
                <w:b/>
                <w:bCs/>
                <w:i/>
                <w:iCs/>
                <w:sz w:val="24"/>
                <w:szCs w:val="24"/>
              </w:rPr>
            </w:pPr>
            <w:r w:rsidRPr="00244950">
              <w:rPr>
                <w:rFonts w:ascii="Times New Roman" w:hAnsi="Times New Roman" w:cs="Times New Roman"/>
                <w:b/>
                <w:bCs/>
                <w:i/>
                <w:iCs/>
                <w:color w:val="000000"/>
                <w:sz w:val="24"/>
                <w:szCs w:val="24"/>
              </w:rPr>
              <w:t>Region</w:t>
            </w:r>
          </w:p>
        </w:tc>
        <w:tc>
          <w:tcPr>
            <w:tcW w:w="907" w:type="pct"/>
            <w:shd w:val="clear" w:color="auto" w:fill="auto"/>
            <w:noWrap/>
            <w:tcMar>
              <w:top w:w="0" w:type="dxa"/>
              <w:left w:w="108" w:type="dxa"/>
              <w:bottom w:w="0" w:type="dxa"/>
              <w:right w:w="108" w:type="dxa"/>
            </w:tcMar>
            <w:hideMark/>
          </w:tcPr>
          <w:p w14:paraId="594D0DF3" w14:textId="77777777" w:rsidR="00015EE2" w:rsidRPr="00244950" w:rsidRDefault="00015EE2" w:rsidP="00F20771">
            <w:pPr>
              <w:spacing w:after="0" w:line="240" w:lineRule="auto"/>
              <w:jc w:val="center"/>
              <w:rPr>
                <w:rFonts w:ascii="Times New Roman" w:hAnsi="Times New Roman" w:cs="Times New Roman"/>
                <w:sz w:val="24"/>
                <w:szCs w:val="24"/>
              </w:rPr>
            </w:pPr>
          </w:p>
        </w:tc>
        <w:tc>
          <w:tcPr>
            <w:tcW w:w="1211" w:type="pct"/>
            <w:shd w:val="clear" w:color="auto" w:fill="auto"/>
            <w:noWrap/>
            <w:tcMar>
              <w:top w:w="0" w:type="dxa"/>
              <w:left w:w="108" w:type="dxa"/>
              <w:bottom w:w="0" w:type="dxa"/>
              <w:right w:w="108" w:type="dxa"/>
            </w:tcMar>
          </w:tcPr>
          <w:p w14:paraId="7C1D1949" w14:textId="77777777" w:rsidR="00015EE2" w:rsidRPr="00244950" w:rsidRDefault="00015EE2" w:rsidP="00F20771">
            <w:pPr>
              <w:spacing w:after="0" w:line="240" w:lineRule="auto"/>
              <w:jc w:val="center"/>
              <w:rPr>
                <w:rFonts w:ascii="Times New Roman" w:hAnsi="Times New Roman" w:cs="Times New Roman"/>
                <w:sz w:val="24"/>
                <w:szCs w:val="24"/>
              </w:rPr>
            </w:pPr>
          </w:p>
        </w:tc>
      </w:tr>
      <w:tr w:rsidR="00015EE2" w:rsidRPr="00244950" w14:paraId="13433702" w14:textId="77777777" w:rsidTr="00F20771">
        <w:trPr>
          <w:trHeight w:val="621"/>
        </w:trPr>
        <w:tc>
          <w:tcPr>
            <w:tcW w:w="2882" w:type="pct"/>
            <w:shd w:val="clear" w:color="auto" w:fill="auto"/>
            <w:tcMar>
              <w:top w:w="0" w:type="dxa"/>
              <w:left w:w="108" w:type="dxa"/>
              <w:bottom w:w="0" w:type="dxa"/>
              <w:right w:w="108" w:type="dxa"/>
            </w:tcMar>
            <w:hideMark/>
          </w:tcPr>
          <w:p w14:paraId="1643F678"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Western Ukraine (</w:t>
            </w:r>
            <w:proofErr w:type="spellStart"/>
            <w:r w:rsidRPr="00244950">
              <w:rPr>
                <w:rFonts w:ascii="Times New Roman" w:hAnsi="Times New Roman" w:cs="Times New Roman"/>
                <w:color w:val="000000"/>
                <w:sz w:val="24"/>
                <w:szCs w:val="24"/>
              </w:rPr>
              <w:t>Lvivska</w:t>
            </w:r>
            <w:proofErr w:type="spellEnd"/>
            <w:r w:rsidRPr="00244950">
              <w:rPr>
                <w:rFonts w:ascii="Times New Roman" w:hAnsi="Times New Roman" w:cs="Times New Roman"/>
                <w:color w:val="000000"/>
                <w:sz w:val="24"/>
                <w:szCs w:val="24"/>
              </w:rPr>
              <w:t xml:space="preserve"> oblast, Ivano-</w:t>
            </w:r>
            <w:proofErr w:type="spellStart"/>
            <w:r w:rsidRPr="00244950">
              <w:rPr>
                <w:rFonts w:ascii="Times New Roman" w:hAnsi="Times New Roman" w:cs="Times New Roman"/>
                <w:color w:val="000000"/>
                <w:sz w:val="24"/>
                <w:szCs w:val="24"/>
              </w:rPr>
              <w:t>Frankivska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Zakarpatska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Rivnenska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Ternopilska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Volynska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Chernivetska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Khmelnytska</w:t>
            </w:r>
            <w:proofErr w:type="spellEnd"/>
            <w:r w:rsidRPr="00244950">
              <w:rPr>
                <w:rFonts w:ascii="Times New Roman" w:hAnsi="Times New Roman" w:cs="Times New Roman"/>
                <w:color w:val="000000"/>
                <w:sz w:val="24"/>
                <w:szCs w:val="24"/>
              </w:rPr>
              <w:t xml:space="preserve"> oblast) </w:t>
            </w:r>
          </w:p>
        </w:tc>
        <w:tc>
          <w:tcPr>
            <w:tcW w:w="907" w:type="pct"/>
            <w:shd w:val="clear" w:color="auto" w:fill="auto"/>
            <w:noWrap/>
            <w:tcMar>
              <w:top w:w="0" w:type="dxa"/>
              <w:left w:w="108" w:type="dxa"/>
              <w:bottom w:w="0" w:type="dxa"/>
              <w:right w:w="108" w:type="dxa"/>
            </w:tcMar>
            <w:hideMark/>
          </w:tcPr>
          <w:p w14:paraId="4853292B" w14:textId="5A074388"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26</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395F2CB7" w14:textId="6E182C6D"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24</w:t>
            </w:r>
            <w:r w:rsidR="00EF07DF">
              <w:rPr>
                <w:rFonts w:ascii="Times New Roman" w:hAnsi="Times New Roman" w:cs="Times New Roman"/>
                <w:sz w:val="24"/>
                <w:szCs w:val="24"/>
              </w:rPr>
              <w:t>.</w:t>
            </w:r>
            <w:r w:rsidRPr="00244950">
              <w:rPr>
                <w:rFonts w:ascii="Times New Roman" w:hAnsi="Times New Roman" w:cs="Times New Roman"/>
                <w:sz w:val="24"/>
                <w:szCs w:val="24"/>
              </w:rPr>
              <w:t>3%</w:t>
            </w:r>
          </w:p>
        </w:tc>
      </w:tr>
      <w:tr w:rsidR="00015EE2" w:rsidRPr="00244950" w14:paraId="244D68ED" w14:textId="77777777" w:rsidTr="00F20771">
        <w:trPr>
          <w:trHeight w:val="417"/>
        </w:trPr>
        <w:tc>
          <w:tcPr>
            <w:tcW w:w="2882" w:type="pct"/>
            <w:shd w:val="clear" w:color="auto" w:fill="auto"/>
            <w:tcMar>
              <w:top w:w="0" w:type="dxa"/>
              <w:left w:w="108" w:type="dxa"/>
              <w:bottom w:w="0" w:type="dxa"/>
              <w:right w:w="108" w:type="dxa"/>
            </w:tcMar>
            <w:hideMark/>
          </w:tcPr>
          <w:p w14:paraId="14A208FE"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North Ukraine (</w:t>
            </w:r>
            <w:proofErr w:type="spellStart"/>
            <w:r w:rsidRPr="00244950">
              <w:rPr>
                <w:rFonts w:ascii="Times New Roman" w:hAnsi="Times New Roman" w:cs="Times New Roman"/>
                <w:color w:val="000000"/>
                <w:sz w:val="24"/>
                <w:szCs w:val="24"/>
              </w:rPr>
              <w:t>Zhytomyrska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Kyivska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Chernihivska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Sumska</w:t>
            </w:r>
            <w:proofErr w:type="spellEnd"/>
            <w:r w:rsidRPr="00244950">
              <w:rPr>
                <w:rFonts w:ascii="Times New Roman" w:hAnsi="Times New Roman" w:cs="Times New Roman"/>
                <w:color w:val="000000"/>
                <w:sz w:val="24"/>
                <w:szCs w:val="24"/>
              </w:rPr>
              <w:t xml:space="preserve"> oblast) </w:t>
            </w:r>
          </w:p>
        </w:tc>
        <w:tc>
          <w:tcPr>
            <w:tcW w:w="907" w:type="pct"/>
            <w:shd w:val="clear" w:color="auto" w:fill="auto"/>
            <w:noWrap/>
            <w:tcMar>
              <w:top w:w="0" w:type="dxa"/>
              <w:left w:w="108" w:type="dxa"/>
              <w:bottom w:w="0" w:type="dxa"/>
              <w:right w:w="108" w:type="dxa"/>
            </w:tcMar>
            <w:hideMark/>
          </w:tcPr>
          <w:p w14:paraId="273FB3C5" w14:textId="6C389F2E"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19</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51E04895" w14:textId="4B8CB42B"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22</w:t>
            </w:r>
            <w:r w:rsidR="00EF07DF">
              <w:rPr>
                <w:rFonts w:ascii="Times New Roman" w:hAnsi="Times New Roman" w:cs="Times New Roman"/>
                <w:sz w:val="24"/>
                <w:szCs w:val="24"/>
              </w:rPr>
              <w:t>.</w:t>
            </w:r>
            <w:r w:rsidRPr="00244950">
              <w:rPr>
                <w:rFonts w:ascii="Times New Roman" w:hAnsi="Times New Roman" w:cs="Times New Roman"/>
                <w:sz w:val="24"/>
                <w:szCs w:val="24"/>
              </w:rPr>
              <w:t>0%</w:t>
            </w:r>
          </w:p>
        </w:tc>
      </w:tr>
      <w:tr w:rsidR="00015EE2" w:rsidRPr="00244950" w14:paraId="69031E85" w14:textId="77777777" w:rsidTr="00F20771">
        <w:trPr>
          <w:trHeight w:val="422"/>
        </w:trPr>
        <w:tc>
          <w:tcPr>
            <w:tcW w:w="2882" w:type="pct"/>
            <w:shd w:val="clear" w:color="auto" w:fill="auto"/>
            <w:tcMar>
              <w:top w:w="0" w:type="dxa"/>
              <w:left w:w="108" w:type="dxa"/>
              <w:bottom w:w="0" w:type="dxa"/>
              <w:right w:w="108" w:type="dxa"/>
            </w:tcMar>
            <w:hideMark/>
          </w:tcPr>
          <w:p w14:paraId="48BF1C0C"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Central Ukraine (</w:t>
            </w:r>
            <w:proofErr w:type="spellStart"/>
            <w:r w:rsidRPr="00244950">
              <w:rPr>
                <w:rFonts w:ascii="Times New Roman" w:hAnsi="Times New Roman" w:cs="Times New Roman"/>
                <w:color w:val="000000"/>
                <w:sz w:val="24"/>
                <w:szCs w:val="24"/>
              </w:rPr>
              <w:t>Vinnytska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Kirovohradska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Poltavska</w:t>
            </w:r>
            <w:proofErr w:type="spellEnd"/>
            <w:r w:rsidRPr="00244950">
              <w:rPr>
                <w:rFonts w:ascii="Times New Roman" w:hAnsi="Times New Roman" w:cs="Times New Roman"/>
                <w:color w:val="000000"/>
                <w:sz w:val="24"/>
                <w:szCs w:val="24"/>
              </w:rPr>
              <w:t xml:space="preserve"> oblast, </w:t>
            </w:r>
            <w:proofErr w:type="spellStart"/>
            <w:r w:rsidRPr="00244950">
              <w:rPr>
                <w:rFonts w:ascii="Times New Roman" w:hAnsi="Times New Roman" w:cs="Times New Roman"/>
                <w:color w:val="000000"/>
                <w:sz w:val="24"/>
                <w:szCs w:val="24"/>
              </w:rPr>
              <w:t>Cherkaska</w:t>
            </w:r>
            <w:proofErr w:type="spellEnd"/>
            <w:r w:rsidRPr="00244950">
              <w:rPr>
                <w:rFonts w:ascii="Times New Roman" w:hAnsi="Times New Roman" w:cs="Times New Roman"/>
                <w:color w:val="000000"/>
                <w:sz w:val="24"/>
                <w:szCs w:val="24"/>
              </w:rPr>
              <w:t xml:space="preserve"> oblast) </w:t>
            </w:r>
          </w:p>
        </w:tc>
        <w:tc>
          <w:tcPr>
            <w:tcW w:w="907" w:type="pct"/>
            <w:shd w:val="clear" w:color="auto" w:fill="auto"/>
            <w:noWrap/>
            <w:tcMar>
              <w:top w:w="0" w:type="dxa"/>
              <w:left w:w="108" w:type="dxa"/>
              <w:bottom w:w="0" w:type="dxa"/>
              <w:right w:w="108" w:type="dxa"/>
            </w:tcMar>
            <w:hideMark/>
          </w:tcPr>
          <w:p w14:paraId="66A3CAEE" w14:textId="4A69CD04"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14</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34ACECBF" w14:textId="6B5800D4"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13</w:t>
            </w:r>
            <w:r w:rsidR="00EF07DF">
              <w:rPr>
                <w:rFonts w:ascii="Times New Roman" w:hAnsi="Times New Roman" w:cs="Times New Roman"/>
                <w:sz w:val="24"/>
                <w:szCs w:val="24"/>
              </w:rPr>
              <w:t>.</w:t>
            </w:r>
            <w:r w:rsidRPr="00244950">
              <w:rPr>
                <w:rFonts w:ascii="Times New Roman" w:hAnsi="Times New Roman" w:cs="Times New Roman"/>
                <w:sz w:val="24"/>
                <w:szCs w:val="24"/>
              </w:rPr>
              <w:t>5%</w:t>
            </w:r>
          </w:p>
        </w:tc>
      </w:tr>
      <w:tr w:rsidR="00015EE2" w:rsidRPr="00244950" w14:paraId="023E3053" w14:textId="77777777" w:rsidTr="00F20771">
        <w:trPr>
          <w:trHeight w:val="287"/>
        </w:trPr>
        <w:tc>
          <w:tcPr>
            <w:tcW w:w="2882" w:type="pct"/>
            <w:shd w:val="clear" w:color="auto" w:fill="auto"/>
            <w:tcMar>
              <w:top w:w="0" w:type="dxa"/>
              <w:left w:w="108" w:type="dxa"/>
              <w:bottom w:w="0" w:type="dxa"/>
              <w:right w:w="108" w:type="dxa"/>
            </w:tcMar>
            <w:hideMark/>
          </w:tcPr>
          <w:p w14:paraId="37B6CAEE" w14:textId="77777777" w:rsidR="00015EE2" w:rsidRPr="00244950" w:rsidRDefault="00015EE2" w:rsidP="00F20771">
            <w:pPr>
              <w:spacing w:after="0" w:line="240" w:lineRule="auto"/>
              <w:rPr>
                <w:rFonts w:ascii="Times New Roman" w:hAnsi="Times New Roman" w:cs="Times New Roman"/>
                <w:sz w:val="24"/>
                <w:szCs w:val="24"/>
              </w:rPr>
            </w:pPr>
            <w:r w:rsidRPr="00244950">
              <w:rPr>
                <w:rFonts w:ascii="Times New Roman" w:hAnsi="Times New Roman" w:cs="Times New Roman"/>
                <w:color w:val="000000"/>
                <w:sz w:val="24"/>
                <w:szCs w:val="24"/>
              </w:rPr>
              <w:t>Eastern Ukraine (</w:t>
            </w:r>
            <w:proofErr w:type="spellStart"/>
            <w:r w:rsidRPr="00244950">
              <w:rPr>
                <w:rFonts w:ascii="Times New Roman" w:hAnsi="Times New Roman" w:cs="Times New Roman"/>
                <w:color w:val="000000"/>
                <w:sz w:val="24"/>
                <w:szCs w:val="24"/>
              </w:rPr>
              <w:t>Donetska</w:t>
            </w:r>
            <w:proofErr w:type="spellEnd"/>
            <w:r w:rsidRPr="00244950">
              <w:rPr>
                <w:rFonts w:ascii="Times New Roman" w:hAnsi="Times New Roman" w:cs="Times New Roman"/>
                <w:color w:val="000000"/>
                <w:sz w:val="24"/>
                <w:szCs w:val="24"/>
              </w:rPr>
              <w:t xml:space="preserve"> oblast, Kharkivska oblast, </w:t>
            </w:r>
            <w:proofErr w:type="spellStart"/>
            <w:r w:rsidRPr="00244950">
              <w:rPr>
                <w:rFonts w:ascii="Times New Roman" w:hAnsi="Times New Roman" w:cs="Times New Roman"/>
                <w:color w:val="000000"/>
                <w:sz w:val="24"/>
                <w:szCs w:val="24"/>
              </w:rPr>
              <w:t>Luhanska</w:t>
            </w:r>
            <w:proofErr w:type="spellEnd"/>
            <w:r w:rsidRPr="00244950">
              <w:rPr>
                <w:rFonts w:ascii="Times New Roman" w:hAnsi="Times New Roman" w:cs="Times New Roman"/>
                <w:color w:val="000000"/>
                <w:sz w:val="24"/>
                <w:szCs w:val="24"/>
              </w:rPr>
              <w:t xml:space="preserve"> oblast) </w:t>
            </w:r>
          </w:p>
        </w:tc>
        <w:tc>
          <w:tcPr>
            <w:tcW w:w="907" w:type="pct"/>
            <w:shd w:val="clear" w:color="auto" w:fill="auto"/>
            <w:noWrap/>
            <w:tcMar>
              <w:top w:w="0" w:type="dxa"/>
              <w:left w:w="108" w:type="dxa"/>
              <w:bottom w:w="0" w:type="dxa"/>
              <w:right w:w="108" w:type="dxa"/>
            </w:tcMar>
            <w:hideMark/>
          </w:tcPr>
          <w:p w14:paraId="7A93D48A" w14:textId="5D6FE0F4"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18</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144DA84C" w14:textId="6AC89707"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15</w:t>
            </w:r>
            <w:r w:rsidR="00EF07DF">
              <w:rPr>
                <w:rFonts w:ascii="Times New Roman" w:hAnsi="Times New Roman" w:cs="Times New Roman"/>
                <w:sz w:val="24"/>
                <w:szCs w:val="24"/>
              </w:rPr>
              <w:t>.</w:t>
            </w:r>
            <w:r w:rsidRPr="00244950">
              <w:rPr>
                <w:rFonts w:ascii="Times New Roman" w:hAnsi="Times New Roman" w:cs="Times New Roman"/>
                <w:sz w:val="24"/>
                <w:szCs w:val="24"/>
              </w:rPr>
              <w:t>6%</w:t>
            </w:r>
          </w:p>
        </w:tc>
      </w:tr>
      <w:tr w:rsidR="00015EE2" w:rsidRPr="00244950" w14:paraId="694180D3" w14:textId="77777777" w:rsidTr="00F20771">
        <w:trPr>
          <w:trHeight w:val="419"/>
        </w:trPr>
        <w:tc>
          <w:tcPr>
            <w:tcW w:w="2882" w:type="pct"/>
            <w:shd w:val="clear" w:color="auto" w:fill="auto"/>
            <w:tcMar>
              <w:top w:w="0" w:type="dxa"/>
              <w:left w:w="108" w:type="dxa"/>
              <w:bottom w:w="0" w:type="dxa"/>
              <w:right w:w="108" w:type="dxa"/>
            </w:tcMar>
            <w:hideMark/>
          </w:tcPr>
          <w:p w14:paraId="26D082EC" w14:textId="77777777" w:rsidR="00015EE2" w:rsidRPr="00244950" w:rsidRDefault="00015EE2" w:rsidP="00F20771">
            <w:pPr>
              <w:spacing w:after="0" w:line="240" w:lineRule="auto"/>
              <w:rPr>
                <w:rFonts w:ascii="Times New Roman" w:hAnsi="Times New Roman" w:cs="Times New Roman"/>
                <w:sz w:val="24"/>
                <w:szCs w:val="24"/>
                <w:lang w:val="pl-PL"/>
              </w:rPr>
            </w:pPr>
            <w:r w:rsidRPr="00244950">
              <w:rPr>
                <w:rFonts w:ascii="Times New Roman" w:hAnsi="Times New Roman" w:cs="Times New Roman"/>
                <w:color w:val="000000"/>
                <w:sz w:val="24"/>
                <w:szCs w:val="24"/>
                <w:lang w:val="pl-PL"/>
              </w:rPr>
              <w:t>South Ukraine (Zaporizka oblast, Dnipropetrovska oblast, Khersonska oblast, Odeska oblast, Mykolaivska oblast) </w:t>
            </w:r>
          </w:p>
        </w:tc>
        <w:tc>
          <w:tcPr>
            <w:tcW w:w="907" w:type="pct"/>
            <w:shd w:val="clear" w:color="auto" w:fill="auto"/>
            <w:noWrap/>
            <w:tcMar>
              <w:top w:w="0" w:type="dxa"/>
              <w:left w:w="108" w:type="dxa"/>
              <w:bottom w:w="0" w:type="dxa"/>
              <w:right w:w="108" w:type="dxa"/>
            </w:tcMar>
            <w:hideMark/>
          </w:tcPr>
          <w:p w14:paraId="283B5601" w14:textId="1D083BEF"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color w:val="000000"/>
                <w:sz w:val="24"/>
                <w:szCs w:val="24"/>
              </w:rPr>
              <w:t>23</w:t>
            </w:r>
            <w:r w:rsidR="00EF07DF">
              <w:rPr>
                <w:rFonts w:ascii="Times New Roman" w:hAnsi="Times New Roman" w:cs="Times New Roman"/>
                <w:color w:val="000000"/>
                <w:sz w:val="24"/>
                <w:szCs w:val="24"/>
              </w:rPr>
              <w:t>.</w:t>
            </w:r>
            <w:r w:rsidRPr="00244950">
              <w:rPr>
                <w:rFonts w:ascii="Times New Roman" w:hAnsi="Times New Roman" w:cs="Times New Roman"/>
                <w:color w:val="000000"/>
                <w:sz w:val="24"/>
                <w:szCs w:val="24"/>
              </w:rPr>
              <w:t>0%</w:t>
            </w:r>
          </w:p>
        </w:tc>
        <w:tc>
          <w:tcPr>
            <w:tcW w:w="1211" w:type="pct"/>
            <w:shd w:val="clear" w:color="auto" w:fill="auto"/>
            <w:noWrap/>
            <w:tcMar>
              <w:top w:w="0" w:type="dxa"/>
              <w:left w:w="108" w:type="dxa"/>
              <w:bottom w:w="0" w:type="dxa"/>
              <w:right w:w="108" w:type="dxa"/>
            </w:tcMar>
          </w:tcPr>
          <w:p w14:paraId="075F2CAC" w14:textId="12A64A89" w:rsidR="00015EE2" w:rsidRPr="00244950" w:rsidRDefault="00015EE2" w:rsidP="00F20771">
            <w:pPr>
              <w:spacing w:after="0" w:line="240" w:lineRule="auto"/>
              <w:jc w:val="center"/>
              <w:rPr>
                <w:rFonts w:ascii="Times New Roman" w:hAnsi="Times New Roman" w:cs="Times New Roman"/>
                <w:sz w:val="24"/>
                <w:szCs w:val="24"/>
              </w:rPr>
            </w:pPr>
            <w:r w:rsidRPr="00244950">
              <w:rPr>
                <w:rFonts w:ascii="Times New Roman" w:hAnsi="Times New Roman" w:cs="Times New Roman"/>
                <w:sz w:val="24"/>
                <w:szCs w:val="24"/>
              </w:rPr>
              <w:t>24</w:t>
            </w:r>
            <w:r w:rsidR="00EF07DF">
              <w:rPr>
                <w:rFonts w:ascii="Times New Roman" w:hAnsi="Times New Roman" w:cs="Times New Roman"/>
                <w:sz w:val="24"/>
                <w:szCs w:val="24"/>
              </w:rPr>
              <w:t>.</w:t>
            </w:r>
            <w:r w:rsidRPr="00244950">
              <w:rPr>
                <w:rFonts w:ascii="Times New Roman" w:hAnsi="Times New Roman" w:cs="Times New Roman"/>
                <w:sz w:val="24"/>
                <w:szCs w:val="24"/>
              </w:rPr>
              <w:t>7%</w:t>
            </w:r>
          </w:p>
        </w:tc>
      </w:tr>
    </w:tbl>
    <w:p w14:paraId="10F7FD4A" w14:textId="77777777" w:rsidR="00015EE2" w:rsidRPr="00244950" w:rsidRDefault="00015EE2" w:rsidP="00015EE2">
      <w:pPr>
        <w:spacing w:after="0" w:line="240" w:lineRule="auto"/>
        <w:rPr>
          <w:rFonts w:ascii="Times New Roman" w:hAnsi="Times New Roman" w:cs="Times New Roman"/>
          <w:sz w:val="24"/>
          <w:szCs w:val="24"/>
        </w:rPr>
      </w:pPr>
    </w:p>
    <w:p w14:paraId="14BCC32C" w14:textId="77777777" w:rsidR="00015EE2" w:rsidRPr="00244950" w:rsidRDefault="00015EE2" w:rsidP="00015EE2">
      <w:pPr>
        <w:pStyle w:val="EndNoteBibliography"/>
        <w:spacing w:after="0"/>
        <w:rPr>
          <w:rFonts w:ascii="Times New Roman" w:hAnsi="Times New Roman" w:cs="Times New Roman"/>
          <w:sz w:val="24"/>
          <w:szCs w:val="24"/>
          <w:lang w:val="en-IE"/>
        </w:rPr>
      </w:pPr>
    </w:p>
    <w:p w14:paraId="289826CF" w14:textId="77777777" w:rsidR="00015EE2" w:rsidRPr="00244950" w:rsidRDefault="00015EE2" w:rsidP="00015EE2">
      <w:pPr>
        <w:pStyle w:val="EndNoteBibliography"/>
        <w:spacing w:after="0"/>
        <w:rPr>
          <w:rFonts w:ascii="Times New Roman" w:hAnsi="Times New Roman" w:cs="Times New Roman"/>
          <w:sz w:val="24"/>
          <w:szCs w:val="24"/>
          <w:lang w:val="en-IE"/>
        </w:rPr>
      </w:pPr>
    </w:p>
    <w:p w14:paraId="1ED98669" w14:textId="77777777" w:rsidR="006078A7" w:rsidRDefault="006078A7" w:rsidP="006078A7">
      <w:pPr>
        <w:rPr>
          <w:rFonts w:ascii="Times New Roman" w:hAnsi="Times New Roman" w:cs="Times New Roman"/>
          <w:b/>
          <w:bCs/>
          <w:sz w:val="24"/>
          <w:szCs w:val="24"/>
        </w:rPr>
      </w:pPr>
    </w:p>
    <w:p w14:paraId="7A2F1176" w14:textId="77777777" w:rsidR="006078A7" w:rsidRDefault="006078A7" w:rsidP="006078A7">
      <w:pPr>
        <w:rPr>
          <w:rFonts w:ascii="Times New Roman" w:hAnsi="Times New Roman" w:cs="Times New Roman"/>
          <w:b/>
          <w:bCs/>
          <w:sz w:val="24"/>
          <w:szCs w:val="24"/>
        </w:rPr>
      </w:pPr>
    </w:p>
    <w:p w14:paraId="4D5E2EA0" w14:textId="3B9BFA02" w:rsidR="0078067D" w:rsidRPr="006078A7" w:rsidRDefault="0078067D" w:rsidP="006078A7">
      <w:pPr>
        <w:pStyle w:val="ListParagraph"/>
        <w:numPr>
          <w:ilvl w:val="0"/>
          <w:numId w:val="1"/>
        </w:numPr>
        <w:rPr>
          <w:rFonts w:ascii="Times New Roman" w:hAnsi="Times New Roman" w:cs="Times New Roman"/>
          <w:b/>
          <w:bCs/>
          <w:sz w:val="24"/>
          <w:szCs w:val="24"/>
        </w:rPr>
      </w:pPr>
      <w:r w:rsidRPr="006078A7">
        <w:rPr>
          <w:rFonts w:ascii="Times New Roman" w:hAnsi="Times New Roman" w:cs="Times New Roman"/>
          <w:b/>
          <w:bCs/>
          <w:sz w:val="24"/>
          <w:szCs w:val="24"/>
        </w:rPr>
        <w:lastRenderedPageBreak/>
        <w:t>Diagnostic criteria for the different disorders</w:t>
      </w:r>
    </w:p>
    <w:p w14:paraId="312F98CD" w14:textId="29274A3F" w:rsidR="0078067D" w:rsidRDefault="0078067D" w:rsidP="0078067D">
      <w:pPr>
        <w:rPr>
          <w:rFonts w:ascii="Times New Roman" w:hAnsi="Times New Roman" w:cs="Times New Roman"/>
          <w:sz w:val="24"/>
          <w:szCs w:val="24"/>
          <w:lang w:val="en-IE"/>
        </w:rPr>
      </w:pPr>
      <w:r w:rsidRPr="004C5AB8">
        <w:rPr>
          <w:rFonts w:ascii="Times New Roman" w:hAnsi="Times New Roman" w:cs="Times New Roman"/>
          <w:b/>
          <w:bCs/>
          <w:sz w:val="24"/>
          <w:szCs w:val="24"/>
        </w:rPr>
        <w:t>ICD-11 Depressive Disorder</w:t>
      </w:r>
      <w:r>
        <w:rPr>
          <w:rFonts w:ascii="Times New Roman" w:hAnsi="Times New Roman" w:cs="Times New Roman"/>
          <w:sz w:val="24"/>
          <w:szCs w:val="24"/>
        </w:rPr>
        <w:t>: We assessed depression using the International Depression Questionnaire which measures all diagnostic criteria for Single Episode Depressive Disorder in the 11</w:t>
      </w:r>
      <w:r w:rsidRPr="0080625A">
        <w:rPr>
          <w:rFonts w:ascii="Times New Roman" w:hAnsi="Times New Roman" w:cs="Times New Roman"/>
          <w:sz w:val="24"/>
          <w:szCs w:val="24"/>
          <w:vertAlign w:val="superscript"/>
        </w:rPr>
        <w:t>th</w:t>
      </w:r>
      <w:r>
        <w:rPr>
          <w:rFonts w:ascii="Times New Roman" w:hAnsi="Times New Roman" w:cs="Times New Roman"/>
          <w:sz w:val="24"/>
          <w:szCs w:val="24"/>
        </w:rPr>
        <w:t xml:space="preserve"> version of the International Classification of Diseases (ICD-11) (code 6A70)</w:t>
      </w:r>
      <w:r w:rsidR="00A129B8">
        <w:rPr>
          <w:rFonts w:ascii="Times New Roman" w:hAnsi="Times New Roman" w:cs="Times New Roman"/>
          <w:sz w:val="24"/>
          <w:szCs w:val="24"/>
        </w:rPr>
        <w:t xml:space="preserve">. </w:t>
      </w:r>
      <w:r w:rsidRPr="007D2297">
        <w:rPr>
          <w:rFonts w:ascii="Times New Roman" w:hAnsi="Times New Roman" w:cs="Times New Roman"/>
          <w:sz w:val="24"/>
          <w:szCs w:val="24"/>
          <w:lang w:val="en-IE"/>
        </w:rPr>
        <w:t>Participants indicate</w:t>
      </w:r>
      <w:r>
        <w:rPr>
          <w:rFonts w:ascii="Times New Roman" w:hAnsi="Times New Roman" w:cs="Times New Roman"/>
          <w:sz w:val="24"/>
          <w:szCs w:val="24"/>
          <w:lang w:val="en-IE"/>
        </w:rPr>
        <w:t>d</w:t>
      </w:r>
      <w:r w:rsidRPr="007D2297">
        <w:rPr>
          <w:rFonts w:ascii="Times New Roman" w:hAnsi="Times New Roman" w:cs="Times New Roman"/>
          <w:sz w:val="24"/>
          <w:szCs w:val="24"/>
          <w:lang w:val="en-IE"/>
        </w:rPr>
        <w:t xml:space="preserve"> how frequently they have experienced each of the nine symptoms over the last two weeks using a five-point Likert scale (0 = Never, 1 = Only a few days, 2 = Half the days, 3 = Most days, and 4 = Every day)</w:t>
      </w:r>
      <w:r w:rsidR="00EF07DF">
        <w:rPr>
          <w:rFonts w:ascii="Times New Roman" w:hAnsi="Times New Roman" w:cs="Times New Roman"/>
          <w:sz w:val="24"/>
          <w:szCs w:val="24"/>
          <w:lang w:val="en-IE"/>
        </w:rPr>
        <w:t>.</w:t>
      </w:r>
      <w:r w:rsidRPr="007D2297">
        <w:rPr>
          <w:rFonts w:ascii="Times New Roman" w:hAnsi="Times New Roman" w:cs="Times New Roman"/>
          <w:sz w:val="24"/>
          <w:szCs w:val="24"/>
          <w:lang w:val="en-IE"/>
        </w:rPr>
        <w:t xml:space="preserve"> They are also indicate</w:t>
      </w:r>
      <w:r>
        <w:rPr>
          <w:rFonts w:ascii="Times New Roman" w:hAnsi="Times New Roman" w:cs="Times New Roman"/>
          <w:sz w:val="24"/>
          <w:szCs w:val="24"/>
          <w:lang w:val="en-IE"/>
        </w:rPr>
        <w:t>d</w:t>
      </w:r>
      <w:r w:rsidRPr="007D2297">
        <w:rPr>
          <w:rFonts w:ascii="Times New Roman" w:hAnsi="Times New Roman" w:cs="Times New Roman"/>
          <w:sz w:val="24"/>
          <w:szCs w:val="24"/>
          <w:lang w:val="en-IE"/>
        </w:rPr>
        <w:t xml:space="preserve"> if these symptoms caused impairment in their daily life </w:t>
      </w:r>
      <w:r>
        <w:rPr>
          <w:rFonts w:ascii="Times New Roman" w:hAnsi="Times New Roman" w:cs="Times New Roman"/>
          <w:sz w:val="24"/>
          <w:szCs w:val="24"/>
          <w:lang w:val="en-IE"/>
        </w:rPr>
        <w:t>using</w:t>
      </w:r>
      <w:r w:rsidRPr="007D2297">
        <w:rPr>
          <w:rFonts w:ascii="Times New Roman" w:hAnsi="Times New Roman" w:cs="Times New Roman"/>
          <w:sz w:val="24"/>
          <w:szCs w:val="24"/>
          <w:lang w:val="en-IE"/>
        </w:rPr>
        <w:t xml:space="preserve"> a ‘Yes’ or ‘No’ response format</w:t>
      </w:r>
      <w:r w:rsidR="00EF07DF">
        <w:rPr>
          <w:rFonts w:ascii="Times New Roman" w:hAnsi="Times New Roman" w:cs="Times New Roman"/>
          <w:sz w:val="24"/>
          <w:szCs w:val="24"/>
          <w:lang w:val="en-IE"/>
        </w:rPr>
        <w:t>.</w:t>
      </w:r>
      <w:r w:rsidRPr="007D2297">
        <w:rPr>
          <w:rFonts w:ascii="Times New Roman" w:hAnsi="Times New Roman" w:cs="Times New Roman"/>
          <w:sz w:val="24"/>
          <w:szCs w:val="24"/>
          <w:lang w:val="en-IE"/>
        </w:rPr>
        <w:t xml:space="preserve"> </w:t>
      </w:r>
      <w:r>
        <w:rPr>
          <w:rFonts w:ascii="Times New Roman" w:hAnsi="Times New Roman" w:cs="Times New Roman"/>
          <w:sz w:val="24"/>
          <w:szCs w:val="24"/>
          <w:lang w:val="en-IE"/>
        </w:rPr>
        <w:t>The diagnostic requirement for Depressive Disorder in the</w:t>
      </w:r>
      <w:r w:rsidRPr="007D2297">
        <w:rPr>
          <w:rFonts w:ascii="Times New Roman" w:hAnsi="Times New Roman" w:cs="Times New Roman"/>
          <w:sz w:val="24"/>
          <w:szCs w:val="24"/>
          <w:lang w:val="en-IE"/>
        </w:rPr>
        <w:t xml:space="preserve"> ICD-11 </w:t>
      </w:r>
      <w:r>
        <w:rPr>
          <w:rFonts w:ascii="Times New Roman" w:hAnsi="Times New Roman" w:cs="Times New Roman"/>
          <w:sz w:val="24"/>
          <w:szCs w:val="24"/>
          <w:lang w:val="en-IE"/>
        </w:rPr>
        <w:t>imply that</w:t>
      </w:r>
      <w:r w:rsidRPr="007D2297">
        <w:rPr>
          <w:rFonts w:ascii="Times New Roman" w:hAnsi="Times New Roman" w:cs="Times New Roman"/>
          <w:sz w:val="24"/>
          <w:szCs w:val="24"/>
          <w:lang w:val="en-IE"/>
        </w:rPr>
        <w:t xml:space="preserve"> a symptom is ‘present’ based on responses of </w:t>
      </w:r>
      <w:r w:rsidRPr="007D2297">
        <w:rPr>
          <w:rFonts w:ascii="Times New Roman" w:hAnsi="Times New Roman" w:cs="Times New Roman"/>
          <w:sz w:val="24"/>
          <w:szCs w:val="24"/>
          <w:u w:val="single"/>
          <w:lang w:val="en-IE"/>
        </w:rPr>
        <w:t>&gt;</w:t>
      </w:r>
      <w:r w:rsidRPr="007D2297">
        <w:rPr>
          <w:rFonts w:ascii="Times New Roman" w:hAnsi="Times New Roman" w:cs="Times New Roman"/>
          <w:sz w:val="24"/>
          <w:szCs w:val="24"/>
          <w:lang w:val="en-IE"/>
        </w:rPr>
        <w:t xml:space="preserve"> 3 on the Likert scale</w:t>
      </w:r>
      <w:r w:rsidR="00EF07DF">
        <w:rPr>
          <w:rFonts w:ascii="Times New Roman" w:hAnsi="Times New Roman" w:cs="Times New Roman"/>
          <w:sz w:val="24"/>
          <w:szCs w:val="24"/>
          <w:lang w:val="en-IE"/>
        </w:rPr>
        <w:t>.</w:t>
      </w:r>
      <w:r w:rsidRPr="007D2297">
        <w:rPr>
          <w:rFonts w:ascii="Times New Roman" w:hAnsi="Times New Roman" w:cs="Times New Roman"/>
          <w:sz w:val="24"/>
          <w:szCs w:val="24"/>
          <w:lang w:val="en-IE"/>
        </w:rPr>
        <w:t xml:space="preserve"> Meeting diagnostic requirements </w:t>
      </w:r>
      <w:r>
        <w:rPr>
          <w:rFonts w:ascii="Times New Roman" w:hAnsi="Times New Roman" w:cs="Times New Roman"/>
          <w:sz w:val="24"/>
          <w:szCs w:val="24"/>
          <w:lang w:val="en-IE"/>
        </w:rPr>
        <w:t>requires</w:t>
      </w:r>
      <w:r w:rsidRPr="007D2297">
        <w:rPr>
          <w:rFonts w:ascii="Times New Roman" w:hAnsi="Times New Roman" w:cs="Times New Roman"/>
          <w:sz w:val="24"/>
          <w:szCs w:val="24"/>
          <w:lang w:val="en-IE"/>
        </w:rPr>
        <w:t xml:space="preserve"> the presence of five or more symptoms, where at least one of the two ‘essential’ symptoms (i</w:t>
      </w:r>
      <w:r w:rsidR="00EF07DF">
        <w:rPr>
          <w:rFonts w:ascii="Times New Roman" w:hAnsi="Times New Roman" w:cs="Times New Roman"/>
          <w:sz w:val="24"/>
          <w:szCs w:val="24"/>
          <w:lang w:val="en-IE"/>
        </w:rPr>
        <w:t>.</w:t>
      </w:r>
      <w:r w:rsidRPr="007D2297">
        <w:rPr>
          <w:rFonts w:ascii="Times New Roman" w:hAnsi="Times New Roman" w:cs="Times New Roman"/>
          <w:sz w:val="24"/>
          <w:szCs w:val="24"/>
          <w:lang w:val="en-IE"/>
        </w:rPr>
        <w:t>e</w:t>
      </w:r>
      <w:r w:rsidR="00EF07DF">
        <w:rPr>
          <w:rFonts w:ascii="Times New Roman" w:hAnsi="Times New Roman" w:cs="Times New Roman"/>
          <w:sz w:val="24"/>
          <w:szCs w:val="24"/>
          <w:lang w:val="en-IE"/>
        </w:rPr>
        <w:t>.</w:t>
      </w:r>
      <w:r w:rsidRPr="007D2297">
        <w:rPr>
          <w:rFonts w:ascii="Times New Roman" w:hAnsi="Times New Roman" w:cs="Times New Roman"/>
          <w:sz w:val="24"/>
          <w:szCs w:val="24"/>
          <w:lang w:val="en-IE"/>
        </w:rPr>
        <w:t xml:space="preserve">, feeling down or depressed for most of the day and diminished interest or pleasure from normal activities for most of the day) is </w:t>
      </w:r>
      <w:r>
        <w:rPr>
          <w:rFonts w:ascii="Times New Roman" w:hAnsi="Times New Roman" w:cs="Times New Roman"/>
          <w:sz w:val="24"/>
          <w:szCs w:val="24"/>
          <w:lang w:val="en-IE"/>
        </w:rPr>
        <w:t>present</w:t>
      </w:r>
      <w:r w:rsidRPr="007D2297">
        <w:rPr>
          <w:rFonts w:ascii="Times New Roman" w:hAnsi="Times New Roman" w:cs="Times New Roman"/>
          <w:sz w:val="24"/>
          <w:szCs w:val="24"/>
          <w:lang w:val="en-IE"/>
        </w:rPr>
        <w:t>, plus functional impairment</w:t>
      </w:r>
      <w:r w:rsidR="00EF07DF">
        <w:rPr>
          <w:rFonts w:ascii="Times New Roman" w:hAnsi="Times New Roman" w:cs="Times New Roman"/>
          <w:sz w:val="24"/>
          <w:szCs w:val="24"/>
          <w:lang w:val="en-IE"/>
        </w:rPr>
        <w:t>.</w:t>
      </w:r>
    </w:p>
    <w:p w14:paraId="0A05C0CD" w14:textId="77777777" w:rsidR="0078067D" w:rsidRDefault="0078067D" w:rsidP="0078067D">
      <w:pPr>
        <w:rPr>
          <w:rFonts w:ascii="Times New Roman" w:hAnsi="Times New Roman" w:cs="Times New Roman"/>
          <w:sz w:val="24"/>
          <w:szCs w:val="24"/>
          <w:lang w:val="en-IE"/>
        </w:rPr>
      </w:pPr>
    </w:p>
    <w:p w14:paraId="19C22129" w14:textId="1DDE664E" w:rsidR="0078067D" w:rsidRDefault="0078067D" w:rsidP="0078067D">
      <w:pPr>
        <w:rPr>
          <w:rFonts w:ascii="Times New Roman" w:hAnsi="Times New Roman" w:cs="Times New Roman"/>
          <w:sz w:val="24"/>
          <w:szCs w:val="24"/>
          <w:lang w:val="en-IE"/>
        </w:rPr>
      </w:pPr>
      <w:r w:rsidRPr="004C5AB8">
        <w:rPr>
          <w:rFonts w:ascii="Times New Roman" w:hAnsi="Times New Roman" w:cs="Times New Roman"/>
          <w:b/>
          <w:bCs/>
          <w:sz w:val="24"/>
          <w:szCs w:val="24"/>
        </w:rPr>
        <w:t>ICD-11 Generalized Anxiety Disorder</w:t>
      </w:r>
      <w:r>
        <w:rPr>
          <w:rFonts w:ascii="Times New Roman" w:hAnsi="Times New Roman" w:cs="Times New Roman"/>
          <w:sz w:val="24"/>
          <w:szCs w:val="24"/>
        </w:rPr>
        <w:t>: We assessed anxiety using the International Anxiety Questionnaire which measures all diagnostic criteria for Generalized Anxiety Disorder in ICD-11 (code 6B00)</w:t>
      </w:r>
      <w:r w:rsidR="00EF07DF">
        <w:rPr>
          <w:rFonts w:ascii="Times New Roman" w:hAnsi="Times New Roman" w:cs="Times New Roman"/>
          <w:sz w:val="24"/>
          <w:szCs w:val="24"/>
        </w:rPr>
        <w:t>.</w:t>
      </w:r>
      <w:r>
        <w:rPr>
          <w:rFonts w:ascii="Times New Roman" w:hAnsi="Times New Roman" w:cs="Times New Roman"/>
          <w:sz w:val="24"/>
          <w:szCs w:val="24"/>
        </w:rPr>
        <w:t xml:space="preserve"> Participants are asked to indicate how frequently they have experienced each symptom over the last several months using a five-point Likert scale (</w:t>
      </w:r>
      <w:r w:rsidRPr="00B757BE">
        <w:rPr>
          <w:rFonts w:ascii="Times New Roman" w:hAnsi="Times New Roman" w:cs="Times New Roman"/>
          <w:sz w:val="24"/>
          <w:szCs w:val="24"/>
        </w:rPr>
        <w:t>0 = Never, 1 = Only a few days, 2 = Half the days, 3 = Most days, and 4 = Every day</w:t>
      </w:r>
      <w:r>
        <w:rPr>
          <w:rFonts w:ascii="Times New Roman" w:hAnsi="Times New Roman" w:cs="Times New Roman"/>
          <w:sz w:val="24"/>
          <w:szCs w:val="24"/>
        </w:rPr>
        <w:t>)</w:t>
      </w:r>
      <w:r w:rsidR="00EF07DF">
        <w:rPr>
          <w:rFonts w:ascii="Times New Roman" w:hAnsi="Times New Roman" w:cs="Times New Roman"/>
          <w:sz w:val="24"/>
          <w:szCs w:val="24"/>
        </w:rPr>
        <w:t>.</w:t>
      </w:r>
      <w:r>
        <w:rPr>
          <w:rFonts w:ascii="Times New Roman" w:hAnsi="Times New Roman" w:cs="Times New Roman"/>
          <w:sz w:val="24"/>
          <w:szCs w:val="24"/>
        </w:rPr>
        <w:t xml:space="preserve"> They are also asked to indicate if these symptoms have caused impairment in their daily life using a ‘Yes’ or ‘No’ response format</w:t>
      </w:r>
      <w:r w:rsidR="00EF07DF">
        <w:rPr>
          <w:rFonts w:ascii="Times New Roman" w:hAnsi="Times New Roman" w:cs="Times New Roman"/>
          <w:sz w:val="24"/>
          <w:szCs w:val="24"/>
        </w:rPr>
        <w:t>.</w:t>
      </w:r>
      <w:r>
        <w:rPr>
          <w:rFonts w:ascii="Times New Roman" w:hAnsi="Times New Roman" w:cs="Times New Roman"/>
          <w:sz w:val="24"/>
          <w:szCs w:val="24"/>
        </w:rPr>
        <w:t xml:space="preserve"> As per the ICD-11 guidelines, a symptom is ‘present’ based on responses of </w:t>
      </w:r>
      <w:r w:rsidRPr="00265391">
        <w:rPr>
          <w:rFonts w:ascii="Times New Roman" w:hAnsi="Times New Roman" w:cs="Times New Roman"/>
          <w:sz w:val="24"/>
          <w:szCs w:val="24"/>
          <w:u w:val="single"/>
        </w:rPr>
        <w:t>&gt;</w:t>
      </w:r>
      <w:r>
        <w:rPr>
          <w:rFonts w:ascii="Times New Roman" w:hAnsi="Times New Roman" w:cs="Times New Roman"/>
          <w:sz w:val="24"/>
          <w:szCs w:val="24"/>
        </w:rPr>
        <w:t xml:space="preserve"> 3 on the Likert scale</w:t>
      </w:r>
      <w:r w:rsidR="00EF07DF">
        <w:rPr>
          <w:rFonts w:ascii="Times New Roman" w:hAnsi="Times New Roman" w:cs="Times New Roman"/>
          <w:sz w:val="24"/>
          <w:szCs w:val="24"/>
        </w:rPr>
        <w:t>.</w:t>
      </w:r>
      <w:r>
        <w:rPr>
          <w:rFonts w:ascii="Times New Roman" w:hAnsi="Times New Roman" w:cs="Times New Roman"/>
          <w:sz w:val="24"/>
          <w:szCs w:val="24"/>
        </w:rPr>
        <w:t xml:space="preserve"> Meeting diagnostic requirements involves the presence of four or more symptoms, where at least one of the two ‘essential’ symptoms (i</w:t>
      </w:r>
      <w:r w:rsidR="00EF07DF">
        <w:rPr>
          <w:rFonts w:ascii="Times New Roman" w:hAnsi="Times New Roman" w:cs="Times New Roman"/>
          <w:sz w:val="24"/>
          <w:szCs w:val="24"/>
        </w:rPr>
        <w:t>.</w:t>
      </w:r>
      <w:r>
        <w:rPr>
          <w:rFonts w:ascii="Times New Roman" w:hAnsi="Times New Roman" w:cs="Times New Roman"/>
          <w:sz w:val="24"/>
          <w:szCs w:val="24"/>
        </w:rPr>
        <w:t>e</w:t>
      </w:r>
      <w:r w:rsidR="00EF07DF">
        <w:rPr>
          <w:rFonts w:ascii="Times New Roman" w:hAnsi="Times New Roman" w:cs="Times New Roman"/>
          <w:sz w:val="24"/>
          <w:szCs w:val="24"/>
        </w:rPr>
        <w:t>.</w:t>
      </w:r>
      <w:r>
        <w:rPr>
          <w:rFonts w:ascii="Times New Roman" w:hAnsi="Times New Roman" w:cs="Times New Roman"/>
          <w:sz w:val="24"/>
          <w:szCs w:val="24"/>
        </w:rPr>
        <w:t>, feeling nervous or anxious, and worrying a lot about different things) is endorsed, plus functional impairment</w:t>
      </w:r>
      <w:r w:rsidR="00EF07DF">
        <w:rPr>
          <w:rFonts w:ascii="Times New Roman" w:hAnsi="Times New Roman" w:cs="Times New Roman"/>
          <w:sz w:val="24"/>
          <w:szCs w:val="24"/>
        </w:rPr>
        <w:t>.</w:t>
      </w:r>
    </w:p>
    <w:p w14:paraId="477EED92" w14:textId="77777777" w:rsidR="0078067D" w:rsidRPr="004C5AB8" w:rsidRDefault="0078067D" w:rsidP="0078067D">
      <w:pPr>
        <w:rPr>
          <w:rFonts w:ascii="Times New Roman" w:hAnsi="Times New Roman" w:cs="Times New Roman"/>
          <w:sz w:val="24"/>
          <w:szCs w:val="24"/>
          <w:lang w:val="en-IE"/>
        </w:rPr>
      </w:pPr>
    </w:p>
    <w:p w14:paraId="6B6CE569" w14:textId="435B3B39" w:rsidR="0078067D" w:rsidRDefault="0078067D" w:rsidP="0078067D">
      <w:pPr>
        <w:rPr>
          <w:rFonts w:ascii="Times New Roman" w:hAnsi="Times New Roman" w:cs="Times New Roman"/>
          <w:sz w:val="24"/>
          <w:szCs w:val="24"/>
        </w:rPr>
      </w:pPr>
      <w:r w:rsidRPr="004C5AB8">
        <w:rPr>
          <w:rFonts w:ascii="Times New Roman" w:hAnsi="Times New Roman" w:cs="Times New Roman"/>
          <w:b/>
          <w:bCs/>
          <w:iCs/>
          <w:sz w:val="24"/>
          <w:szCs w:val="24"/>
        </w:rPr>
        <w:t>ICD-11 Posttraumatic Stress Disorder and Complex Posttraumatic Stress Disorder</w:t>
      </w:r>
      <w:r w:rsidRPr="007F6055">
        <w:rPr>
          <w:rFonts w:ascii="Times New Roman" w:hAnsi="Times New Roman" w:cs="Times New Roman"/>
          <w:sz w:val="24"/>
          <w:szCs w:val="24"/>
        </w:rPr>
        <w:t>:</w:t>
      </w:r>
      <w:r>
        <w:rPr>
          <w:rFonts w:ascii="Times New Roman" w:hAnsi="Times New Roman" w:cs="Times New Roman"/>
          <w:sz w:val="24"/>
          <w:szCs w:val="24"/>
        </w:rPr>
        <w:t xml:space="preserve"> We assessed these disorders using the</w:t>
      </w:r>
      <w:r w:rsidRPr="00F83CF6">
        <w:rPr>
          <w:rFonts w:ascii="Times New Roman" w:hAnsi="Times New Roman" w:cs="Times New Roman"/>
          <w:sz w:val="24"/>
          <w:szCs w:val="24"/>
        </w:rPr>
        <w:t xml:space="preserve"> </w:t>
      </w:r>
      <w:r w:rsidRPr="00D84EDE">
        <w:rPr>
          <w:rFonts w:ascii="Times New Roman" w:hAnsi="Times New Roman" w:cs="Times New Roman"/>
          <w:iCs/>
          <w:sz w:val="24"/>
          <w:szCs w:val="24"/>
        </w:rPr>
        <w:t>International Trauma Questionnaire</w:t>
      </w:r>
      <w:r>
        <w:rPr>
          <w:rFonts w:ascii="Times New Roman" w:hAnsi="Times New Roman" w:cs="Times New Roman"/>
          <w:sz w:val="24"/>
          <w:szCs w:val="24"/>
        </w:rPr>
        <w:t xml:space="preserve"> which captures all diagnostic criteria for PTSD (6B40) and Complex PTSD (6B41) in ICD-11</w:t>
      </w:r>
      <w:r w:rsidR="00EF07DF">
        <w:rPr>
          <w:rFonts w:ascii="Times New Roman" w:hAnsi="Times New Roman" w:cs="Times New Roman"/>
          <w:sz w:val="24"/>
          <w:szCs w:val="24"/>
        </w:rPr>
        <w:t>.</w:t>
      </w:r>
      <w:r>
        <w:rPr>
          <w:rFonts w:ascii="Times New Roman" w:hAnsi="Times New Roman" w:cs="Times New Roman"/>
          <w:sz w:val="24"/>
          <w:szCs w:val="24"/>
        </w:rPr>
        <w:t xml:space="preserve"> Diagnostic requirements for ICD-11 PTSD are met if there is evidence of (1) exposure to a traumatic event (this was assessed using the International Trauma Exposure Measure), (2) the traumatic exposure occurred more than one month ago, (3) the presence of least one symptom from the three PTSD symptom clusters of </w:t>
      </w:r>
      <w:r w:rsidRPr="00F83CF6">
        <w:rPr>
          <w:rFonts w:ascii="Times New Roman" w:hAnsi="Times New Roman" w:cs="Times New Roman"/>
          <w:sz w:val="24"/>
          <w:szCs w:val="24"/>
        </w:rPr>
        <w:t xml:space="preserve">re-experiencing in the here and now, avoidance, and sense of current threat, and </w:t>
      </w:r>
      <w:r>
        <w:rPr>
          <w:rFonts w:ascii="Times New Roman" w:hAnsi="Times New Roman" w:cs="Times New Roman"/>
          <w:sz w:val="24"/>
          <w:szCs w:val="24"/>
        </w:rPr>
        <w:t>(4) the presence of functional impairment associated with these symptoms</w:t>
      </w:r>
      <w:r w:rsidR="00EF07DF">
        <w:rPr>
          <w:rFonts w:ascii="Times New Roman" w:hAnsi="Times New Roman" w:cs="Times New Roman"/>
          <w:sz w:val="24"/>
          <w:szCs w:val="24"/>
        </w:rPr>
        <w:t>.</w:t>
      </w:r>
      <w:r>
        <w:rPr>
          <w:rFonts w:ascii="Times New Roman" w:hAnsi="Times New Roman" w:cs="Times New Roman"/>
          <w:sz w:val="24"/>
          <w:szCs w:val="24"/>
        </w:rPr>
        <w:t xml:space="preserve"> Diagnostic requirements for ICD-11 CPTSD are met if all PTSD criteria are satisfied </w:t>
      </w:r>
      <w:r w:rsidRPr="00BA6AF7">
        <w:rPr>
          <w:rFonts w:ascii="Times New Roman" w:hAnsi="Times New Roman" w:cs="Times New Roman"/>
          <w:i/>
          <w:iCs/>
          <w:sz w:val="24"/>
          <w:szCs w:val="24"/>
        </w:rPr>
        <w:t>and</w:t>
      </w:r>
      <w:r>
        <w:rPr>
          <w:rFonts w:ascii="Times New Roman" w:hAnsi="Times New Roman" w:cs="Times New Roman"/>
          <w:sz w:val="24"/>
          <w:szCs w:val="24"/>
        </w:rPr>
        <w:t xml:space="preserve"> at least one symptom from the three ‘Disturbance in Self-Organisation’ symptom clusters of affective dysregulation, </w:t>
      </w:r>
      <w:r w:rsidRPr="00F83CF6">
        <w:rPr>
          <w:rFonts w:ascii="Times New Roman" w:hAnsi="Times New Roman" w:cs="Times New Roman"/>
          <w:sz w:val="24"/>
          <w:szCs w:val="24"/>
        </w:rPr>
        <w:t>negative self-concept, and disturbed relationships</w:t>
      </w:r>
      <w:r>
        <w:rPr>
          <w:rFonts w:ascii="Times New Roman" w:hAnsi="Times New Roman" w:cs="Times New Roman"/>
          <w:sz w:val="24"/>
          <w:szCs w:val="24"/>
        </w:rPr>
        <w:t xml:space="preserve"> are present</w:t>
      </w:r>
      <w:r w:rsidRPr="00F83CF6">
        <w:rPr>
          <w:rFonts w:ascii="Times New Roman" w:hAnsi="Times New Roman" w:cs="Times New Roman"/>
          <w:sz w:val="24"/>
          <w:szCs w:val="24"/>
        </w:rPr>
        <w:t>,</w:t>
      </w:r>
      <w:r>
        <w:rPr>
          <w:rFonts w:ascii="Times New Roman" w:hAnsi="Times New Roman" w:cs="Times New Roman"/>
          <w:sz w:val="24"/>
          <w:szCs w:val="24"/>
        </w:rPr>
        <w:t xml:space="preserve"> and there is evidence of functional impairment associated with these symptoms</w:t>
      </w:r>
      <w:r w:rsidR="00EF07DF">
        <w:rPr>
          <w:rFonts w:ascii="Times New Roman" w:hAnsi="Times New Roman" w:cs="Times New Roman"/>
          <w:sz w:val="24"/>
          <w:szCs w:val="24"/>
        </w:rPr>
        <w:t>.</w:t>
      </w:r>
      <w:r>
        <w:rPr>
          <w:rFonts w:ascii="Times New Roman" w:hAnsi="Times New Roman" w:cs="Times New Roman"/>
          <w:sz w:val="24"/>
          <w:szCs w:val="24"/>
        </w:rPr>
        <w:t xml:space="preserve"> Participants report how bothered they have been by the symptoms over the past week using a five-point Likert scale (</w:t>
      </w:r>
      <w:r w:rsidRPr="00B757BE">
        <w:rPr>
          <w:rFonts w:ascii="Times New Roman" w:hAnsi="Times New Roman" w:cs="Times New Roman"/>
          <w:sz w:val="24"/>
          <w:szCs w:val="24"/>
        </w:rPr>
        <w:t>0 = </w:t>
      </w:r>
      <w:r>
        <w:rPr>
          <w:rFonts w:ascii="Times New Roman" w:hAnsi="Times New Roman" w:cs="Times New Roman"/>
          <w:sz w:val="24"/>
          <w:szCs w:val="24"/>
        </w:rPr>
        <w:t>Not at all</w:t>
      </w:r>
      <w:r w:rsidRPr="00B757BE">
        <w:rPr>
          <w:rFonts w:ascii="Times New Roman" w:hAnsi="Times New Roman" w:cs="Times New Roman"/>
          <w:sz w:val="24"/>
          <w:szCs w:val="24"/>
        </w:rPr>
        <w:t>, 1 = </w:t>
      </w:r>
      <w:r>
        <w:rPr>
          <w:rFonts w:ascii="Times New Roman" w:hAnsi="Times New Roman" w:cs="Times New Roman"/>
          <w:sz w:val="24"/>
          <w:szCs w:val="24"/>
        </w:rPr>
        <w:t>A little bit</w:t>
      </w:r>
      <w:r w:rsidRPr="00B757BE">
        <w:rPr>
          <w:rFonts w:ascii="Times New Roman" w:hAnsi="Times New Roman" w:cs="Times New Roman"/>
          <w:sz w:val="24"/>
          <w:szCs w:val="24"/>
        </w:rPr>
        <w:t>, 2 = </w:t>
      </w:r>
      <w:r>
        <w:rPr>
          <w:rFonts w:ascii="Times New Roman" w:hAnsi="Times New Roman" w:cs="Times New Roman"/>
          <w:sz w:val="24"/>
          <w:szCs w:val="24"/>
        </w:rPr>
        <w:t>Moderately</w:t>
      </w:r>
      <w:r w:rsidRPr="00B757BE">
        <w:rPr>
          <w:rFonts w:ascii="Times New Roman" w:hAnsi="Times New Roman" w:cs="Times New Roman"/>
          <w:sz w:val="24"/>
          <w:szCs w:val="24"/>
        </w:rPr>
        <w:t>, 3 = </w:t>
      </w:r>
      <w:r>
        <w:rPr>
          <w:rFonts w:ascii="Times New Roman" w:hAnsi="Times New Roman" w:cs="Times New Roman"/>
          <w:sz w:val="24"/>
          <w:szCs w:val="24"/>
        </w:rPr>
        <w:t>Quite a bit</w:t>
      </w:r>
      <w:r w:rsidRPr="00B757BE">
        <w:rPr>
          <w:rFonts w:ascii="Times New Roman" w:hAnsi="Times New Roman" w:cs="Times New Roman"/>
          <w:sz w:val="24"/>
          <w:szCs w:val="24"/>
        </w:rPr>
        <w:t>, and 4 = </w:t>
      </w:r>
      <w:r>
        <w:rPr>
          <w:rFonts w:ascii="Times New Roman" w:hAnsi="Times New Roman" w:cs="Times New Roman"/>
          <w:sz w:val="24"/>
          <w:szCs w:val="24"/>
        </w:rPr>
        <w:t xml:space="preserve">Extremely), and a symptom is deemed to be present based on responses </w:t>
      </w:r>
      <w:r w:rsidRPr="00AD6F2C">
        <w:rPr>
          <w:rFonts w:ascii="Times New Roman" w:hAnsi="Times New Roman" w:cs="Times New Roman"/>
          <w:sz w:val="24"/>
          <w:szCs w:val="24"/>
          <w:u w:val="single"/>
        </w:rPr>
        <w:t>&gt;</w:t>
      </w:r>
      <w:r>
        <w:rPr>
          <w:rFonts w:ascii="Times New Roman" w:hAnsi="Times New Roman" w:cs="Times New Roman"/>
          <w:sz w:val="24"/>
          <w:szCs w:val="24"/>
        </w:rPr>
        <w:t xml:space="preserve"> 2 on the Likert scale</w:t>
      </w:r>
      <w:r w:rsidR="00EF07DF">
        <w:rPr>
          <w:rFonts w:ascii="Times New Roman" w:hAnsi="Times New Roman" w:cs="Times New Roman"/>
          <w:sz w:val="24"/>
          <w:szCs w:val="24"/>
        </w:rPr>
        <w:t>.</w:t>
      </w:r>
      <w:r>
        <w:rPr>
          <w:rFonts w:ascii="Times New Roman" w:hAnsi="Times New Roman" w:cs="Times New Roman"/>
          <w:sz w:val="24"/>
          <w:szCs w:val="24"/>
        </w:rPr>
        <w:t xml:space="preserve"> Separate sets of three items are used to measure functional impairment associated with the PTSD symptoms, and the Disturbance in Self-Organization symptoms</w:t>
      </w:r>
      <w:r w:rsidR="00EF07DF">
        <w:rPr>
          <w:rFonts w:ascii="Times New Roman" w:hAnsi="Times New Roman" w:cs="Times New Roman"/>
          <w:sz w:val="24"/>
          <w:szCs w:val="24"/>
        </w:rPr>
        <w:t>.</w:t>
      </w:r>
      <w:r>
        <w:rPr>
          <w:rFonts w:ascii="Times New Roman" w:hAnsi="Times New Roman" w:cs="Times New Roman"/>
          <w:sz w:val="24"/>
          <w:szCs w:val="24"/>
        </w:rPr>
        <w:t xml:space="preserve"> </w:t>
      </w:r>
      <w:r w:rsidRPr="00F83CF6">
        <w:rPr>
          <w:rFonts w:ascii="Times New Roman" w:hAnsi="Times New Roman" w:cs="Times New Roman"/>
          <w:sz w:val="24"/>
          <w:szCs w:val="24"/>
        </w:rPr>
        <w:lastRenderedPageBreak/>
        <w:t>The ICD-11 diagnostic rules permit a diagnosis of PTSD or CPTSD, but not both</w:t>
      </w:r>
      <w:r w:rsidR="00EF07DF">
        <w:rPr>
          <w:rFonts w:ascii="Times New Roman" w:hAnsi="Times New Roman" w:cs="Times New Roman"/>
          <w:sz w:val="24"/>
          <w:szCs w:val="24"/>
        </w:rPr>
        <w:t>.</w:t>
      </w:r>
      <w:r w:rsidRPr="00F83CF6">
        <w:rPr>
          <w:rFonts w:ascii="Times New Roman" w:hAnsi="Times New Roman" w:cs="Times New Roman"/>
          <w:sz w:val="24"/>
          <w:szCs w:val="24"/>
        </w:rPr>
        <w:t xml:space="preserve"> Thus, if a person meets criteria for CPTSD, they </w:t>
      </w:r>
      <w:r>
        <w:rPr>
          <w:rFonts w:ascii="Times New Roman" w:hAnsi="Times New Roman" w:cs="Times New Roman"/>
          <w:sz w:val="24"/>
          <w:szCs w:val="24"/>
        </w:rPr>
        <w:t>do not</w:t>
      </w:r>
      <w:r w:rsidRPr="00F83CF6">
        <w:rPr>
          <w:rFonts w:ascii="Times New Roman" w:hAnsi="Times New Roman" w:cs="Times New Roman"/>
          <w:sz w:val="24"/>
          <w:szCs w:val="24"/>
        </w:rPr>
        <w:t xml:space="preserve"> also receive a PTSD diagnosis</w:t>
      </w:r>
      <w:r w:rsidR="00EF07DF">
        <w:rPr>
          <w:rFonts w:ascii="Times New Roman" w:hAnsi="Times New Roman" w:cs="Times New Roman"/>
          <w:sz w:val="24"/>
          <w:szCs w:val="24"/>
        </w:rPr>
        <w:t>.</w:t>
      </w:r>
    </w:p>
    <w:p w14:paraId="4BA9D226" w14:textId="77777777" w:rsidR="0078067D" w:rsidRPr="00A63482" w:rsidRDefault="0078067D" w:rsidP="0078067D">
      <w:pPr>
        <w:rPr>
          <w:rFonts w:ascii="Times New Roman" w:hAnsi="Times New Roman" w:cs="Times New Roman"/>
          <w:sz w:val="24"/>
          <w:szCs w:val="24"/>
        </w:rPr>
      </w:pPr>
    </w:p>
    <w:p w14:paraId="4CEFCFF3" w14:textId="3D00DFE0" w:rsidR="0078067D" w:rsidRPr="00A63482" w:rsidRDefault="0078067D" w:rsidP="0078067D">
      <w:pPr>
        <w:rPr>
          <w:rFonts w:ascii="Times New Roman" w:hAnsi="Times New Roman" w:cs="Times New Roman"/>
          <w:sz w:val="24"/>
          <w:szCs w:val="24"/>
        </w:rPr>
      </w:pPr>
      <w:r w:rsidRPr="006D22BC">
        <w:rPr>
          <w:rFonts w:ascii="Times New Roman" w:hAnsi="Times New Roman" w:cs="Times New Roman"/>
          <w:b/>
          <w:bCs/>
          <w:sz w:val="24"/>
          <w:szCs w:val="24"/>
        </w:rPr>
        <w:t>ICD-11 Prolonged Grief Disorder</w:t>
      </w:r>
      <w:r>
        <w:rPr>
          <w:rFonts w:ascii="Times New Roman" w:hAnsi="Times New Roman" w:cs="Times New Roman"/>
          <w:sz w:val="24"/>
          <w:szCs w:val="24"/>
        </w:rPr>
        <w:t>: We assessed prolonged grief disorder using the</w:t>
      </w:r>
      <w:r w:rsidRPr="00F83CF6">
        <w:rPr>
          <w:rFonts w:ascii="Times New Roman" w:hAnsi="Times New Roman" w:cs="Times New Roman"/>
          <w:sz w:val="24"/>
          <w:szCs w:val="24"/>
        </w:rPr>
        <w:t xml:space="preserve"> </w:t>
      </w:r>
      <w:r w:rsidRPr="004503F5">
        <w:rPr>
          <w:rFonts w:ascii="Times New Roman" w:hAnsi="Times New Roman" w:cs="Times New Roman"/>
          <w:iCs/>
          <w:sz w:val="24"/>
          <w:szCs w:val="24"/>
        </w:rPr>
        <w:t>International Grief Questionnaire</w:t>
      </w:r>
      <w:r w:rsidRPr="00F83CF6">
        <w:rPr>
          <w:rFonts w:ascii="Times New Roman" w:hAnsi="Times New Roman" w:cs="Times New Roman"/>
          <w:sz w:val="24"/>
          <w:szCs w:val="24"/>
        </w:rPr>
        <w:t xml:space="preserve"> </w:t>
      </w:r>
      <w:r>
        <w:rPr>
          <w:rFonts w:ascii="Times New Roman" w:hAnsi="Times New Roman" w:cs="Times New Roman"/>
          <w:sz w:val="24"/>
          <w:szCs w:val="24"/>
        </w:rPr>
        <w:t>which capturing all diagnostic requirements for ICD-11 PGD (code 6B42)</w:t>
      </w:r>
      <w:r w:rsidR="00EF07DF">
        <w:rPr>
          <w:rFonts w:ascii="Times New Roman" w:hAnsi="Times New Roman" w:cs="Times New Roman"/>
          <w:sz w:val="24"/>
          <w:szCs w:val="24"/>
        </w:rPr>
        <w:t>.</w:t>
      </w:r>
      <w:r>
        <w:rPr>
          <w:rFonts w:ascii="Times New Roman" w:hAnsi="Times New Roman" w:cs="Times New Roman"/>
          <w:sz w:val="24"/>
          <w:szCs w:val="24"/>
        </w:rPr>
        <w:t xml:space="preserve"> Diagnostic requirements for ICD-11 PGD are met if participants (1) are bereaved, (2) the bereavement occurred more than six months ago, (3) have at least one of the two ‘essential’ grief symptoms (i</w:t>
      </w:r>
      <w:r w:rsidR="00EF07DF">
        <w:rPr>
          <w:rFonts w:ascii="Times New Roman" w:hAnsi="Times New Roman" w:cs="Times New Roman"/>
          <w:sz w:val="24"/>
          <w:szCs w:val="24"/>
        </w:rPr>
        <w:t>.</w:t>
      </w:r>
      <w:r>
        <w:rPr>
          <w:rFonts w:ascii="Times New Roman" w:hAnsi="Times New Roman" w:cs="Times New Roman"/>
          <w:sz w:val="24"/>
          <w:szCs w:val="24"/>
        </w:rPr>
        <w:t>e</w:t>
      </w:r>
      <w:r w:rsidR="00EF07DF">
        <w:rPr>
          <w:rFonts w:ascii="Times New Roman" w:hAnsi="Times New Roman" w:cs="Times New Roman"/>
          <w:sz w:val="24"/>
          <w:szCs w:val="24"/>
        </w:rPr>
        <w:t>.</w:t>
      </w:r>
      <w:r>
        <w:rPr>
          <w:rFonts w:ascii="Times New Roman" w:hAnsi="Times New Roman" w:cs="Times New Roman"/>
          <w:sz w:val="24"/>
          <w:szCs w:val="24"/>
        </w:rPr>
        <w:t>, yearning for the deceased almost every day or thinking too much about the deceased almost every day)</w:t>
      </w:r>
      <w:r w:rsidRPr="00F83CF6">
        <w:rPr>
          <w:rFonts w:ascii="Times New Roman" w:hAnsi="Times New Roman" w:cs="Times New Roman"/>
          <w:sz w:val="24"/>
          <w:szCs w:val="24"/>
        </w:rPr>
        <w:t xml:space="preserve">, </w:t>
      </w:r>
      <w:r>
        <w:rPr>
          <w:rFonts w:ascii="Times New Roman" w:hAnsi="Times New Roman" w:cs="Times New Roman"/>
          <w:sz w:val="24"/>
          <w:szCs w:val="24"/>
        </w:rPr>
        <w:t>(4) have at least one of three ‘accessory’ symptoms (i</w:t>
      </w:r>
      <w:r w:rsidR="00EF07DF">
        <w:rPr>
          <w:rFonts w:ascii="Times New Roman" w:hAnsi="Times New Roman" w:cs="Times New Roman"/>
          <w:sz w:val="24"/>
          <w:szCs w:val="24"/>
        </w:rPr>
        <w:t>.</w:t>
      </w:r>
      <w:r>
        <w:rPr>
          <w:rFonts w:ascii="Times New Roman" w:hAnsi="Times New Roman" w:cs="Times New Roman"/>
          <w:sz w:val="24"/>
          <w:szCs w:val="24"/>
        </w:rPr>
        <w:t>e</w:t>
      </w:r>
      <w:r w:rsidR="00EF07DF">
        <w:rPr>
          <w:rFonts w:ascii="Times New Roman" w:hAnsi="Times New Roman" w:cs="Times New Roman"/>
          <w:sz w:val="24"/>
          <w:szCs w:val="24"/>
        </w:rPr>
        <w:t>.</w:t>
      </w:r>
      <w:r>
        <w:rPr>
          <w:rFonts w:ascii="Times New Roman" w:hAnsi="Times New Roman" w:cs="Times New Roman"/>
          <w:sz w:val="24"/>
          <w:szCs w:val="24"/>
        </w:rPr>
        <w:t>, feeling guilty or angry, having trouble accepting the death, and feeling sad or emotionally numb), (5) report functional impairment associated with these symptoms, and (6) indicate that their grief response has lasted for longer than would be expected based on their social, cultural, or religious context</w:t>
      </w:r>
      <w:r w:rsidR="00EF07DF">
        <w:rPr>
          <w:rFonts w:ascii="Times New Roman" w:hAnsi="Times New Roman" w:cs="Times New Roman"/>
          <w:sz w:val="24"/>
          <w:szCs w:val="24"/>
        </w:rPr>
        <w:t>.</w:t>
      </w:r>
      <w:r w:rsidRPr="00BE77B3">
        <w:rPr>
          <w:rFonts w:ascii="Times New Roman" w:hAnsi="Times New Roman" w:cs="Times New Roman"/>
          <w:sz w:val="24"/>
          <w:szCs w:val="24"/>
        </w:rPr>
        <w:t xml:space="preserve"> </w:t>
      </w:r>
      <w:r>
        <w:rPr>
          <w:rFonts w:ascii="Times New Roman" w:hAnsi="Times New Roman" w:cs="Times New Roman"/>
          <w:sz w:val="24"/>
          <w:szCs w:val="24"/>
        </w:rPr>
        <w:t>Participants indicated how bothered they have been the five PGD symptoms over the past week using a five-point Likert scale (</w:t>
      </w:r>
      <w:r w:rsidRPr="00B757BE">
        <w:rPr>
          <w:rFonts w:ascii="Times New Roman" w:hAnsi="Times New Roman" w:cs="Times New Roman"/>
          <w:sz w:val="24"/>
          <w:szCs w:val="24"/>
        </w:rPr>
        <w:t>0 = </w:t>
      </w:r>
      <w:r>
        <w:rPr>
          <w:rFonts w:ascii="Times New Roman" w:hAnsi="Times New Roman" w:cs="Times New Roman"/>
          <w:sz w:val="24"/>
          <w:szCs w:val="24"/>
        </w:rPr>
        <w:t>Not at all</w:t>
      </w:r>
      <w:r w:rsidRPr="00B757BE">
        <w:rPr>
          <w:rFonts w:ascii="Times New Roman" w:hAnsi="Times New Roman" w:cs="Times New Roman"/>
          <w:sz w:val="24"/>
          <w:szCs w:val="24"/>
        </w:rPr>
        <w:t>, 1 = </w:t>
      </w:r>
      <w:r>
        <w:rPr>
          <w:rFonts w:ascii="Times New Roman" w:hAnsi="Times New Roman" w:cs="Times New Roman"/>
          <w:sz w:val="24"/>
          <w:szCs w:val="24"/>
        </w:rPr>
        <w:t>A little bit</w:t>
      </w:r>
      <w:r w:rsidRPr="00B757BE">
        <w:rPr>
          <w:rFonts w:ascii="Times New Roman" w:hAnsi="Times New Roman" w:cs="Times New Roman"/>
          <w:sz w:val="24"/>
          <w:szCs w:val="24"/>
        </w:rPr>
        <w:t>, 2 = </w:t>
      </w:r>
      <w:r>
        <w:rPr>
          <w:rFonts w:ascii="Times New Roman" w:hAnsi="Times New Roman" w:cs="Times New Roman"/>
          <w:sz w:val="24"/>
          <w:szCs w:val="24"/>
        </w:rPr>
        <w:t>Moderately</w:t>
      </w:r>
      <w:r w:rsidRPr="00B757BE">
        <w:rPr>
          <w:rFonts w:ascii="Times New Roman" w:hAnsi="Times New Roman" w:cs="Times New Roman"/>
          <w:sz w:val="24"/>
          <w:szCs w:val="24"/>
        </w:rPr>
        <w:t>, 3 = </w:t>
      </w:r>
      <w:r>
        <w:rPr>
          <w:rFonts w:ascii="Times New Roman" w:hAnsi="Times New Roman" w:cs="Times New Roman"/>
          <w:sz w:val="24"/>
          <w:szCs w:val="24"/>
        </w:rPr>
        <w:t>Quite a bit</w:t>
      </w:r>
      <w:r w:rsidRPr="00B757BE">
        <w:rPr>
          <w:rFonts w:ascii="Times New Roman" w:hAnsi="Times New Roman" w:cs="Times New Roman"/>
          <w:sz w:val="24"/>
          <w:szCs w:val="24"/>
        </w:rPr>
        <w:t>, and 4 = </w:t>
      </w:r>
      <w:r>
        <w:rPr>
          <w:rFonts w:ascii="Times New Roman" w:hAnsi="Times New Roman" w:cs="Times New Roman"/>
          <w:sz w:val="24"/>
          <w:szCs w:val="24"/>
        </w:rPr>
        <w:t xml:space="preserve">Extremely), and a symptom is deemed to be present based on responses </w:t>
      </w:r>
      <w:r w:rsidRPr="00AD6F2C">
        <w:rPr>
          <w:rFonts w:ascii="Times New Roman" w:hAnsi="Times New Roman" w:cs="Times New Roman"/>
          <w:sz w:val="24"/>
          <w:szCs w:val="24"/>
          <w:u w:val="single"/>
        </w:rPr>
        <w:t>&gt;</w:t>
      </w:r>
      <w:r>
        <w:rPr>
          <w:rFonts w:ascii="Times New Roman" w:hAnsi="Times New Roman" w:cs="Times New Roman"/>
          <w:sz w:val="24"/>
          <w:szCs w:val="24"/>
        </w:rPr>
        <w:t xml:space="preserve"> 2 on the Likert scale</w:t>
      </w:r>
      <w:r w:rsidR="00EF07DF">
        <w:rPr>
          <w:rFonts w:ascii="Times New Roman" w:hAnsi="Times New Roman" w:cs="Times New Roman"/>
          <w:sz w:val="24"/>
          <w:szCs w:val="24"/>
        </w:rPr>
        <w:t>.</w:t>
      </w:r>
      <w:r>
        <w:rPr>
          <w:rFonts w:ascii="Times New Roman" w:hAnsi="Times New Roman" w:cs="Times New Roman"/>
          <w:sz w:val="24"/>
          <w:szCs w:val="24"/>
        </w:rPr>
        <w:t xml:space="preserve"> Functional impairment related to the symptoms is assessed using a ‘Yes’ or ‘No’ response format</w:t>
      </w:r>
      <w:r w:rsidR="00EF07DF">
        <w:rPr>
          <w:rFonts w:ascii="Times New Roman" w:hAnsi="Times New Roman" w:cs="Times New Roman"/>
          <w:sz w:val="24"/>
          <w:szCs w:val="24"/>
        </w:rPr>
        <w:t>.</w:t>
      </w:r>
      <w:r>
        <w:rPr>
          <w:rFonts w:ascii="Times New Roman" w:hAnsi="Times New Roman" w:cs="Times New Roman"/>
          <w:sz w:val="24"/>
          <w:szCs w:val="24"/>
        </w:rPr>
        <w:t xml:space="preserve"> </w:t>
      </w:r>
    </w:p>
    <w:p w14:paraId="27097672" w14:textId="77777777" w:rsidR="0078067D" w:rsidRDefault="0078067D" w:rsidP="0078067D">
      <w:pPr>
        <w:rPr>
          <w:rFonts w:ascii="Times New Roman" w:hAnsi="Times New Roman" w:cs="Times New Roman"/>
          <w:sz w:val="24"/>
          <w:szCs w:val="24"/>
        </w:rPr>
      </w:pPr>
    </w:p>
    <w:p w14:paraId="3111ACBC" w14:textId="3DB381FF" w:rsidR="0078067D" w:rsidRDefault="0078067D" w:rsidP="0078067D">
      <w:pPr>
        <w:rPr>
          <w:rFonts w:ascii="Times New Roman" w:hAnsi="Times New Roman" w:cs="Times New Roman"/>
          <w:sz w:val="24"/>
          <w:szCs w:val="24"/>
        </w:rPr>
      </w:pPr>
      <w:r w:rsidRPr="00DC16B4">
        <w:rPr>
          <w:rFonts w:ascii="Times New Roman" w:hAnsi="Times New Roman" w:cs="Times New Roman"/>
          <w:b/>
          <w:bCs/>
          <w:sz w:val="24"/>
          <w:szCs w:val="24"/>
        </w:rPr>
        <w:t>Alcohol Use Disorder:</w:t>
      </w:r>
      <w:r w:rsidRPr="0030219B">
        <w:rPr>
          <w:rFonts w:ascii="Times New Roman" w:hAnsi="Times New Roman" w:cs="Times New Roman"/>
          <w:sz w:val="24"/>
          <w:szCs w:val="24"/>
        </w:rPr>
        <w:t xml:space="preserve"> </w:t>
      </w:r>
      <w:r>
        <w:rPr>
          <w:rFonts w:ascii="Times New Roman" w:hAnsi="Times New Roman" w:cs="Times New Roman"/>
          <w:sz w:val="24"/>
          <w:szCs w:val="24"/>
        </w:rPr>
        <w:t>We used the</w:t>
      </w:r>
      <w:r w:rsidRPr="0030219B">
        <w:rPr>
          <w:rFonts w:ascii="Times New Roman" w:hAnsi="Times New Roman" w:cs="Times New Roman"/>
          <w:sz w:val="24"/>
          <w:szCs w:val="24"/>
        </w:rPr>
        <w:t xml:space="preserve"> three-item </w:t>
      </w:r>
      <w:r w:rsidRPr="006D22BC">
        <w:rPr>
          <w:rFonts w:ascii="Times New Roman" w:hAnsi="Times New Roman" w:cs="Times New Roman"/>
          <w:sz w:val="24"/>
          <w:szCs w:val="24"/>
        </w:rPr>
        <w:t>Alcohol Use Disorders Identification Test-Concise</w:t>
      </w:r>
      <w:r w:rsidRPr="0030219B">
        <w:rPr>
          <w:rFonts w:ascii="Times New Roman" w:hAnsi="Times New Roman" w:cs="Times New Roman"/>
          <w:sz w:val="24"/>
          <w:szCs w:val="24"/>
        </w:rPr>
        <w:t xml:space="preserve"> (AUDIT-C</w:t>
      </w:r>
      <w:r>
        <w:rPr>
          <w:rFonts w:ascii="Times New Roman" w:hAnsi="Times New Roman" w:cs="Times New Roman"/>
          <w:sz w:val="24"/>
          <w:szCs w:val="24"/>
        </w:rPr>
        <w:t>) which asks participants about their drinking behaviour over last six months (i</w:t>
      </w:r>
      <w:r w:rsidR="00EF07DF">
        <w:rPr>
          <w:rFonts w:ascii="Times New Roman" w:hAnsi="Times New Roman" w:cs="Times New Roman"/>
          <w:sz w:val="24"/>
          <w:szCs w:val="24"/>
        </w:rPr>
        <w:t>.</w:t>
      </w:r>
      <w:r>
        <w:rPr>
          <w:rFonts w:ascii="Times New Roman" w:hAnsi="Times New Roman" w:cs="Times New Roman"/>
          <w:sz w:val="24"/>
          <w:szCs w:val="24"/>
        </w:rPr>
        <w:t>e</w:t>
      </w:r>
      <w:r w:rsidR="00EF07DF">
        <w:rPr>
          <w:rFonts w:ascii="Times New Roman" w:hAnsi="Times New Roman" w:cs="Times New Roman"/>
          <w:sz w:val="24"/>
          <w:szCs w:val="24"/>
        </w:rPr>
        <w:t>.</w:t>
      </w:r>
      <w:r>
        <w:rPr>
          <w:rFonts w:ascii="Times New Roman" w:hAnsi="Times New Roman" w:cs="Times New Roman"/>
          <w:sz w:val="24"/>
          <w:szCs w:val="24"/>
        </w:rPr>
        <w:t>, ‘</w:t>
      </w:r>
      <w:r w:rsidRPr="00C23536">
        <w:rPr>
          <w:rFonts w:ascii="Times New Roman" w:hAnsi="Times New Roman" w:cs="Times New Roman"/>
          <w:sz w:val="24"/>
          <w:szCs w:val="24"/>
        </w:rPr>
        <w:t>How often do you have a drink containing alcohol?</w:t>
      </w:r>
      <w:r>
        <w:rPr>
          <w:rFonts w:ascii="Times New Roman" w:hAnsi="Times New Roman" w:cs="Times New Roman"/>
          <w:sz w:val="24"/>
          <w:szCs w:val="24"/>
        </w:rPr>
        <w:t>’, ‘</w:t>
      </w:r>
      <w:r w:rsidRPr="00C23536">
        <w:rPr>
          <w:rFonts w:ascii="Times New Roman" w:hAnsi="Times New Roman" w:cs="Times New Roman"/>
          <w:sz w:val="24"/>
          <w:szCs w:val="24"/>
        </w:rPr>
        <w:t>How many drinks containing alcohol do you have on a typical day when you are drinking?</w:t>
      </w:r>
      <w:r>
        <w:rPr>
          <w:rFonts w:ascii="Times New Roman" w:hAnsi="Times New Roman" w:cs="Times New Roman"/>
          <w:sz w:val="24"/>
          <w:szCs w:val="24"/>
        </w:rPr>
        <w:t>’, and ‘</w:t>
      </w:r>
      <w:r w:rsidRPr="00C23536">
        <w:rPr>
          <w:rFonts w:ascii="Times New Roman" w:hAnsi="Times New Roman" w:cs="Times New Roman"/>
          <w:sz w:val="24"/>
          <w:szCs w:val="24"/>
        </w:rPr>
        <w:t>How often do you have six or more drinks on one occasion?</w:t>
      </w:r>
      <w:r>
        <w:rPr>
          <w:rFonts w:ascii="Times New Roman" w:hAnsi="Times New Roman" w:cs="Times New Roman"/>
          <w:sz w:val="24"/>
          <w:szCs w:val="24"/>
        </w:rPr>
        <w:t>’)</w:t>
      </w:r>
      <w:r w:rsidR="00EF07DF">
        <w:rPr>
          <w:rFonts w:ascii="Times New Roman" w:hAnsi="Times New Roman" w:cs="Times New Roman"/>
          <w:sz w:val="24"/>
          <w:szCs w:val="24"/>
        </w:rPr>
        <w:t>.</w:t>
      </w:r>
      <w:r>
        <w:rPr>
          <w:rFonts w:ascii="Times New Roman" w:hAnsi="Times New Roman" w:cs="Times New Roman"/>
          <w:sz w:val="24"/>
          <w:szCs w:val="24"/>
        </w:rPr>
        <w:t xml:space="preserve"> Responses are recorded on a 0-4 Likert scale with separate response options for each question, and total scores range from 0-12</w:t>
      </w:r>
      <w:r w:rsidR="00EF07DF">
        <w:rPr>
          <w:rFonts w:ascii="Times New Roman" w:hAnsi="Times New Roman" w:cs="Times New Roman"/>
          <w:sz w:val="24"/>
          <w:szCs w:val="24"/>
        </w:rPr>
        <w:t>.</w:t>
      </w:r>
      <w:r>
        <w:rPr>
          <w:rFonts w:ascii="Times New Roman" w:hAnsi="Times New Roman" w:cs="Times New Roman"/>
          <w:sz w:val="24"/>
          <w:szCs w:val="24"/>
        </w:rPr>
        <w:t xml:space="preserve"> The United Kingdom government guidelines indicate that </w:t>
      </w:r>
      <w:r w:rsidRPr="0030219B">
        <w:rPr>
          <w:rFonts w:ascii="Times New Roman" w:hAnsi="Times New Roman" w:cs="Times New Roman"/>
          <w:sz w:val="24"/>
          <w:szCs w:val="24"/>
        </w:rPr>
        <w:t xml:space="preserve">scores </w:t>
      </w:r>
      <w:r w:rsidRPr="0030219B">
        <w:rPr>
          <w:rFonts w:ascii="Times New Roman" w:hAnsi="Times New Roman" w:cs="Times New Roman"/>
          <w:sz w:val="24"/>
          <w:szCs w:val="24"/>
          <w:u w:val="single"/>
        </w:rPr>
        <w:t>&gt;</w:t>
      </w:r>
      <w:r w:rsidRPr="0030219B">
        <w:rPr>
          <w:rFonts w:ascii="Times New Roman" w:hAnsi="Times New Roman" w:cs="Times New Roman"/>
          <w:sz w:val="24"/>
          <w:szCs w:val="24"/>
        </w:rPr>
        <w:t xml:space="preserve"> 5 </w:t>
      </w:r>
      <w:r>
        <w:rPr>
          <w:rFonts w:ascii="Times New Roman" w:hAnsi="Times New Roman" w:cs="Times New Roman"/>
          <w:sz w:val="24"/>
          <w:szCs w:val="24"/>
        </w:rPr>
        <w:t xml:space="preserve">are indicative of hazardous </w:t>
      </w:r>
      <w:r w:rsidRPr="0030219B">
        <w:rPr>
          <w:rFonts w:ascii="Times New Roman" w:hAnsi="Times New Roman" w:cs="Times New Roman"/>
          <w:sz w:val="24"/>
          <w:szCs w:val="24"/>
        </w:rPr>
        <w:t>drinking</w:t>
      </w:r>
      <w:r>
        <w:rPr>
          <w:rFonts w:ascii="Times New Roman" w:hAnsi="Times New Roman" w:cs="Times New Roman"/>
          <w:sz w:val="24"/>
          <w:szCs w:val="24"/>
        </w:rPr>
        <w:t>, and probable Alcohol Use Disorder status</w:t>
      </w:r>
      <w:r w:rsidR="00EF07DF">
        <w:rPr>
          <w:rFonts w:ascii="Times New Roman" w:hAnsi="Times New Roman" w:cs="Times New Roman"/>
          <w:sz w:val="24"/>
          <w:szCs w:val="24"/>
        </w:rPr>
        <w:t>.</w:t>
      </w:r>
    </w:p>
    <w:p w14:paraId="0E1C806A" w14:textId="77777777" w:rsidR="0078067D" w:rsidRDefault="0078067D" w:rsidP="0078067D">
      <w:pPr>
        <w:rPr>
          <w:rFonts w:ascii="Times New Roman" w:hAnsi="Times New Roman" w:cs="Times New Roman"/>
          <w:sz w:val="24"/>
          <w:szCs w:val="24"/>
        </w:rPr>
      </w:pPr>
    </w:p>
    <w:p w14:paraId="6DF13577" w14:textId="111D4DAB" w:rsidR="00015EE2" w:rsidRPr="00883510" w:rsidRDefault="0078067D" w:rsidP="00883510">
      <w:pPr>
        <w:rPr>
          <w:rFonts w:ascii="Times New Roman" w:hAnsi="Times New Roman" w:cs="Times New Roman"/>
          <w:sz w:val="24"/>
          <w:szCs w:val="24"/>
        </w:rPr>
      </w:pPr>
      <w:r w:rsidRPr="00DC16B4">
        <w:rPr>
          <w:rFonts w:ascii="Times New Roman" w:hAnsi="Times New Roman" w:cs="Times New Roman"/>
          <w:b/>
          <w:bCs/>
          <w:sz w:val="24"/>
          <w:szCs w:val="24"/>
        </w:rPr>
        <w:t>Cannabis Use Disorder</w:t>
      </w:r>
      <w:r w:rsidRPr="0030219B">
        <w:rPr>
          <w:rFonts w:ascii="Times New Roman" w:hAnsi="Times New Roman" w:cs="Times New Roman"/>
          <w:sz w:val="24"/>
          <w:szCs w:val="24"/>
        </w:rPr>
        <w:t xml:space="preserve">: </w:t>
      </w:r>
      <w:r>
        <w:rPr>
          <w:rFonts w:ascii="Times New Roman" w:hAnsi="Times New Roman" w:cs="Times New Roman"/>
          <w:sz w:val="24"/>
          <w:szCs w:val="24"/>
        </w:rPr>
        <w:t>We used the short</w:t>
      </w:r>
      <w:r w:rsidRPr="0030219B">
        <w:rPr>
          <w:rFonts w:ascii="Times New Roman" w:hAnsi="Times New Roman" w:cs="Times New Roman"/>
          <w:sz w:val="24"/>
          <w:szCs w:val="24"/>
        </w:rPr>
        <w:t xml:space="preserve"> </w:t>
      </w:r>
      <w:r>
        <w:rPr>
          <w:rFonts w:ascii="Times New Roman" w:hAnsi="Times New Roman" w:cs="Times New Roman"/>
          <w:sz w:val="24"/>
          <w:szCs w:val="24"/>
        </w:rPr>
        <w:t xml:space="preserve">form of the </w:t>
      </w:r>
      <w:r w:rsidRPr="00DC16B4">
        <w:rPr>
          <w:rFonts w:ascii="Times New Roman" w:hAnsi="Times New Roman" w:cs="Times New Roman"/>
          <w:sz w:val="24"/>
          <w:szCs w:val="24"/>
        </w:rPr>
        <w:t>Cannabis Use Disorder Identification Test-Revised</w:t>
      </w:r>
      <w:r w:rsidRPr="004C21EF">
        <w:rPr>
          <w:rFonts w:ascii="Times New Roman" w:hAnsi="Times New Roman" w:cs="Times New Roman"/>
          <w:i/>
          <w:iCs/>
          <w:sz w:val="24"/>
          <w:szCs w:val="24"/>
        </w:rPr>
        <w:t xml:space="preserve"> </w:t>
      </w:r>
      <w:r w:rsidRPr="008B515E">
        <w:rPr>
          <w:rFonts w:ascii="Times New Roman" w:hAnsi="Times New Roman" w:cs="Times New Roman"/>
          <w:sz w:val="24"/>
          <w:szCs w:val="24"/>
        </w:rPr>
        <w:t>(CUDIT-</w:t>
      </w:r>
      <w:r>
        <w:rPr>
          <w:rFonts w:ascii="Times New Roman" w:hAnsi="Times New Roman" w:cs="Times New Roman"/>
          <w:sz w:val="24"/>
          <w:szCs w:val="24"/>
        </w:rPr>
        <w:t>R) which contains four items</w:t>
      </w:r>
      <w:r w:rsidR="00EF07DF">
        <w:rPr>
          <w:rFonts w:ascii="Times New Roman" w:hAnsi="Times New Roman" w:cs="Times New Roman"/>
          <w:sz w:val="24"/>
          <w:szCs w:val="24"/>
        </w:rPr>
        <w:t>.</w:t>
      </w:r>
      <w:r>
        <w:rPr>
          <w:rFonts w:ascii="Times New Roman" w:hAnsi="Times New Roman" w:cs="Times New Roman"/>
          <w:sz w:val="24"/>
          <w:szCs w:val="24"/>
        </w:rPr>
        <w:t xml:space="preserve"> The first item screens for cannabis use in the past six months on a ‘Yes’ or ‘No’ scale</w:t>
      </w:r>
      <w:r w:rsidR="00EF07DF">
        <w:rPr>
          <w:rFonts w:ascii="Times New Roman" w:hAnsi="Times New Roman" w:cs="Times New Roman"/>
          <w:sz w:val="24"/>
          <w:szCs w:val="24"/>
        </w:rPr>
        <w:t>.</w:t>
      </w:r>
      <w:r>
        <w:rPr>
          <w:rFonts w:ascii="Times New Roman" w:hAnsi="Times New Roman" w:cs="Times New Roman"/>
          <w:sz w:val="24"/>
          <w:szCs w:val="24"/>
        </w:rPr>
        <w:t xml:space="preserve"> Those indicating cannabis use in the last six months then answer three questions assessing hazardous use (‘</w:t>
      </w:r>
      <w:r w:rsidRPr="003D4518">
        <w:rPr>
          <w:rFonts w:ascii="Times New Roman" w:hAnsi="Times New Roman" w:cs="Times New Roman"/>
          <w:sz w:val="24"/>
          <w:szCs w:val="24"/>
        </w:rPr>
        <w:t>How often during the past 6 months did you find that you were not able to stop using cannabis once you had started?</w:t>
      </w:r>
      <w:r>
        <w:rPr>
          <w:rFonts w:ascii="Times New Roman" w:hAnsi="Times New Roman" w:cs="Times New Roman"/>
          <w:sz w:val="24"/>
          <w:szCs w:val="24"/>
        </w:rPr>
        <w:t>’, ‘</w:t>
      </w:r>
      <w:r w:rsidRPr="003D4518">
        <w:rPr>
          <w:rFonts w:ascii="Times New Roman" w:hAnsi="Times New Roman" w:cs="Times New Roman"/>
          <w:sz w:val="24"/>
          <w:szCs w:val="24"/>
        </w:rPr>
        <w:t>How often in the past 6 months have you devoted a great deal of your time to getting, using, or recovering from cannabis?</w:t>
      </w:r>
      <w:r>
        <w:rPr>
          <w:rFonts w:ascii="Times New Roman" w:hAnsi="Times New Roman" w:cs="Times New Roman"/>
          <w:sz w:val="24"/>
          <w:szCs w:val="24"/>
        </w:rPr>
        <w:t>’, and ‘</w:t>
      </w:r>
      <w:r w:rsidRPr="003D4518">
        <w:rPr>
          <w:rFonts w:ascii="Times New Roman" w:hAnsi="Times New Roman" w:cs="Times New Roman"/>
          <w:sz w:val="24"/>
          <w:szCs w:val="24"/>
        </w:rPr>
        <w:t>How often in the past 6 months have you had a problem with your memory or concentration after using cannabis?</w:t>
      </w:r>
      <w:r>
        <w:rPr>
          <w:rFonts w:ascii="Times New Roman" w:hAnsi="Times New Roman" w:cs="Times New Roman"/>
          <w:sz w:val="24"/>
          <w:szCs w:val="24"/>
        </w:rPr>
        <w:t>’)</w:t>
      </w:r>
      <w:r w:rsidR="00EF07DF">
        <w:rPr>
          <w:rFonts w:ascii="Times New Roman" w:hAnsi="Times New Roman" w:cs="Times New Roman"/>
          <w:sz w:val="24"/>
          <w:szCs w:val="24"/>
        </w:rPr>
        <w:t>.</w:t>
      </w:r>
      <w:r>
        <w:rPr>
          <w:rFonts w:ascii="Times New Roman" w:hAnsi="Times New Roman" w:cs="Times New Roman"/>
          <w:sz w:val="24"/>
          <w:szCs w:val="24"/>
        </w:rPr>
        <w:t xml:space="preserve"> These items are answered on a five-point Likert scale (</w:t>
      </w:r>
      <w:r w:rsidRPr="00B757BE">
        <w:rPr>
          <w:rFonts w:ascii="Times New Roman" w:hAnsi="Times New Roman" w:cs="Times New Roman"/>
          <w:sz w:val="24"/>
          <w:szCs w:val="24"/>
        </w:rPr>
        <w:t>0 = </w:t>
      </w:r>
      <w:r>
        <w:rPr>
          <w:rFonts w:ascii="Times New Roman" w:hAnsi="Times New Roman" w:cs="Times New Roman"/>
          <w:sz w:val="24"/>
          <w:szCs w:val="24"/>
        </w:rPr>
        <w:t>Never</w:t>
      </w:r>
      <w:r w:rsidRPr="00B757BE">
        <w:rPr>
          <w:rFonts w:ascii="Times New Roman" w:hAnsi="Times New Roman" w:cs="Times New Roman"/>
          <w:sz w:val="24"/>
          <w:szCs w:val="24"/>
        </w:rPr>
        <w:t>, 1 = </w:t>
      </w:r>
      <w:r>
        <w:rPr>
          <w:rFonts w:ascii="Times New Roman" w:hAnsi="Times New Roman" w:cs="Times New Roman"/>
          <w:sz w:val="24"/>
          <w:szCs w:val="24"/>
        </w:rPr>
        <w:t>Less than monthly</w:t>
      </w:r>
      <w:r w:rsidRPr="00B757BE">
        <w:rPr>
          <w:rFonts w:ascii="Times New Roman" w:hAnsi="Times New Roman" w:cs="Times New Roman"/>
          <w:sz w:val="24"/>
          <w:szCs w:val="24"/>
        </w:rPr>
        <w:t>, 2 = </w:t>
      </w:r>
      <w:r>
        <w:rPr>
          <w:rFonts w:ascii="Times New Roman" w:hAnsi="Times New Roman" w:cs="Times New Roman"/>
          <w:sz w:val="24"/>
          <w:szCs w:val="24"/>
        </w:rPr>
        <w:t>Monthly</w:t>
      </w:r>
      <w:r w:rsidRPr="00B757BE">
        <w:rPr>
          <w:rFonts w:ascii="Times New Roman" w:hAnsi="Times New Roman" w:cs="Times New Roman"/>
          <w:sz w:val="24"/>
          <w:szCs w:val="24"/>
        </w:rPr>
        <w:t>, 3 = </w:t>
      </w:r>
      <w:r>
        <w:rPr>
          <w:rFonts w:ascii="Times New Roman" w:hAnsi="Times New Roman" w:cs="Times New Roman"/>
          <w:sz w:val="24"/>
          <w:szCs w:val="24"/>
        </w:rPr>
        <w:t>Weekly</w:t>
      </w:r>
      <w:r w:rsidRPr="00B757BE">
        <w:rPr>
          <w:rFonts w:ascii="Times New Roman" w:hAnsi="Times New Roman" w:cs="Times New Roman"/>
          <w:sz w:val="24"/>
          <w:szCs w:val="24"/>
        </w:rPr>
        <w:t>, and 4 = </w:t>
      </w:r>
      <w:r>
        <w:rPr>
          <w:rFonts w:ascii="Times New Roman" w:hAnsi="Times New Roman" w:cs="Times New Roman"/>
          <w:sz w:val="24"/>
          <w:szCs w:val="24"/>
        </w:rPr>
        <w:t>Daily or almost daily) and scores range from 0-12</w:t>
      </w:r>
      <w:r w:rsidR="00EF07DF">
        <w:rPr>
          <w:rFonts w:ascii="Times New Roman" w:hAnsi="Times New Roman" w:cs="Times New Roman"/>
          <w:sz w:val="24"/>
          <w:szCs w:val="24"/>
        </w:rPr>
        <w:t>.</w:t>
      </w:r>
      <w:r>
        <w:rPr>
          <w:rFonts w:ascii="Times New Roman" w:hAnsi="Times New Roman" w:cs="Times New Roman"/>
          <w:sz w:val="24"/>
          <w:szCs w:val="24"/>
        </w:rPr>
        <w:t xml:space="preserve"> The scale developers provided evidence that scores </w:t>
      </w:r>
      <w:r w:rsidRPr="00C46F9F">
        <w:rPr>
          <w:rFonts w:ascii="Times New Roman" w:hAnsi="Times New Roman" w:cs="Times New Roman"/>
          <w:sz w:val="24"/>
          <w:szCs w:val="24"/>
          <w:u w:val="single"/>
        </w:rPr>
        <w:t>&gt;</w:t>
      </w:r>
      <w:r>
        <w:rPr>
          <w:rFonts w:ascii="Times New Roman" w:hAnsi="Times New Roman" w:cs="Times New Roman"/>
          <w:sz w:val="24"/>
          <w:szCs w:val="24"/>
        </w:rPr>
        <w:t xml:space="preserve"> 2 have good sensitivity and specificity for identifying cases of Cannabis Use Disorder</w:t>
      </w:r>
      <w:r w:rsidR="00EF07DF">
        <w:rPr>
          <w:rFonts w:ascii="Times New Roman" w:hAnsi="Times New Roman" w:cs="Times New Roman"/>
          <w:sz w:val="24"/>
          <w:szCs w:val="24"/>
        </w:rPr>
        <w:t>.</w:t>
      </w:r>
    </w:p>
    <w:sectPr w:rsidR="00015EE2" w:rsidRPr="00883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09A"/>
    <w:multiLevelType w:val="hybridMultilevel"/>
    <w:tmpl w:val="A3A2FF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E472655"/>
    <w:multiLevelType w:val="hybridMultilevel"/>
    <w:tmpl w:val="A3A2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9542090">
    <w:abstractNumId w:val="0"/>
  </w:num>
  <w:num w:numId="2" w16cid:durableId="104000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98"/>
    <w:rsid w:val="00015EE2"/>
    <w:rsid w:val="00224524"/>
    <w:rsid w:val="00241C40"/>
    <w:rsid w:val="00244950"/>
    <w:rsid w:val="003D73BA"/>
    <w:rsid w:val="004503F5"/>
    <w:rsid w:val="00450602"/>
    <w:rsid w:val="004B74E7"/>
    <w:rsid w:val="004C5AB8"/>
    <w:rsid w:val="006078A7"/>
    <w:rsid w:val="006568D0"/>
    <w:rsid w:val="00690533"/>
    <w:rsid w:val="006D22BC"/>
    <w:rsid w:val="007161F3"/>
    <w:rsid w:val="0074784A"/>
    <w:rsid w:val="0078067D"/>
    <w:rsid w:val="007D2297"/>
    <w:rsid w:val="0080625A"/>
    <w:rsid w:val="00846998"/>
    <w:rsid w:val="00883510"/>
    <w:rsid w:val="0088531B"/>
    <w:rsid w:val="00A129B8"/>
    <w:rsid w:val="00A63482"/>
    <w:rsid w:val="00AF284F"/>
    <w:rsid w:val="00B155F6"/>
    <w:rsid w:val="00BA6AF7"/>
    <w:rsid w:val="00BE77B3"/>
    <w:rsid w:val="00CC4F50"/>
    <w:rsid w:val="00CE2035"/>
    <w:rsid w:val="00CE356A"/>
    <w:rsid w:val="00D84EDE"/>
    <w:rsid w:val="00DA7CAD"/>
    <w:rsid w:val="00DC16B4"/>
    <w:rsid w:val="00DF0AAA"/>
    <w:rsid w:val="00E7242A"/>
    <w:rsid w:val="00EF07DF"/>
    <w:rsid w:val="00FC6650"/>
    <w:rsid w:val="00FD0C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F448"/>
  <w15:chartTrackingRefBased/>
  <w15:docId w15:val="{C153ACE5-4899-4349-96B6-8766299E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015EE2"/>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015EE2"/>
    <w:rPr>
      <w:rFonts w:ascii="Calibri" w:hAnsi="Calibri" w:cs="Calibri"/>
      <w:lang w:val="en-US"/>
    </w:rPr>
  </w:style>
  <w:style w:type="paragraph" w:styleId="ListParagraph">
    <w:name w:val="List Paragraph"/>
    <w:basedOn w:val="Normal"/>
    <w:uiPriority w:val="34"/>
    <w:qFormat/>
    <w:rsid w:val="00244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Hyland</dc:creator>
  <cp:keywords/>
  <dc:description/>
  <cp:lastModifiedBy>Philip Hyland</cp:lastModifiedBy>
  <cp:revision>7</cp:revision>
  <dcterms:created xsi:type="dcterms:W3CDTF">2023-10-25T10:21:00Z</dcterms:created>
  <dcterms:modified xsi:type="dcterms:W3CDTF">2024-01-17T13:31:00Z</dcterms:modified>
</cp:coreProperties>
</file>