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46D33" w14:textId="75BA085D" w:rsidR="0088576C" w:rsidRDefault="00B72378" w:rsidP="008C5A44">
      <w:pPr>
        <w:spacing w:after="240" w:line="480" w:lineRule="auto"/>
        <w:rPr>
          <w:rFonts w:ascii="Calibri" w:hAnsi="Calibri" w:cs="Calibri"/>
          <w:b/>
          <w:bCs/>
          <w:sz w:val="28"/>
          <w:szCs w:val="28"/>
        </w:rPr>
      </w:pPr>
      <w:r w:rsidRPr="00B72378">
        <w:rPr>
          <w:rFonts w:ascii="Calibri" w:hAnsi="Calibri" w:cs="Calibri"/>
          <w:b/>
          <w:bCs/>
          <w:sz w:val="28"/>
          <w:szCs w:val="28"/>
        </w:rPr>
        <w:t>The impact of Childhood Trauma and Cannabis Use on Paranoia: A Structural Equation Model Approach</w:t>
      </w:r>
      <w:r w:rsidR="005710CE">
        <w:rPr>
          <w:rFonts w:ascii="Calibri" w:hAnsi="Calibri" w:cs="Calibri"/>
          <w:b/>
          <w:bCs/>
          <w:sz w:val="28"/>
          <w:szCs w:val="28"/>
        </w:rPr>
        <w:t xml:space="preserve"> – </w:t>
      </w:r>
      <w:r w:rsidR="002B4A3B">
        <w:rPr>
          <w:rFonts w:ascii="Calibri" w:hAnsi="Calibri" w:cs="Calibri"/>
          <w:b/>
          <w:bCs/>
          <w:sz w:val="28"/>
          <w:szCs w:val="28"/>
        </w:rPr>
        <w:t xml:space="preserve">Online </w:t>
      </w:r>
      <w:r w:rsidR="005710CE">
        <w:rPr>
          <w:rFonts w:ascii="Calibri" w:hAnsi="Calibri" w:cs="Calibri"/>
          <w:b/>
          <w:bCs/>
          <w:sz w:val="28"/>
          <w:szCs w:val="28"/>
        </w:rPr>
        <w:t>Supplementary Material</w:t>
      </w:r>
    </w:p>
    <w:p w14:paraId="4A6A6E00" w14:textId="77777777" w:rsidR="00B92B90" w:rsidRDefault="00B92B90" w:rsidP="00B92B90">
      <w:pPr>
        <w:spacing w:after="240" w:line="480" w:lineRule="auto"/>
        <w:rPr>
          <w:rFonts w:ascii="Calibri" w:hAnsi="Calibri" w:cs="Calibri"/>
          <w:b/>
          <w:bCs/>
          <w:sz w:val="22"/>
          <w:szCs w:val="22"/>
        </w:rPr>
      </w:pPr>
      <w:r w:rsidRPr="00AC0E3C">
        <w:rPr>
          <w:rFonts w:ascii="Calibri" w:hAnsi="Calibri" w:cs="Calibri"/>
          <w:sz w:val="22"/>
          <w:szCs w:val="22"/>
        </w:rPr>
        <w:t>Giulia Trotta</w:t>
      </w:r>
      <w:r>
        <w:rPr>
          <w:rFonts w:ascii="Calibri" w:hAnsi="Calibri" w:cs="Calibri"/>
          <w:sz w:val="22"/>
          <w:szCs w:val="22"/>
          <w:vertAlign w:val="superscript"/>
        </w:rPr>
        <w:t>1</w:t>
      </w:r>
      <w:r w:rsidRPr="00AC0E3C">
        <w:rPr>
          <w:rFonts w:ascii="Calibri" w:hAnsi="Calibri" w:cs="Calibri"/>
          <w:sz w:val="22"/>
          <w:szCs w:val="22"/>
        </w:rPr>
        <w:t xml:space="preserve">, </w:t>
      </w:r>
      <w:proofErr w:type="spellStart"/>
      <w:r w:rsidRPr="00AC0E3C">
        <w:rPr>
          <w:rFonts w:ascii="Calibri" w:hAnsi="Calibri" w:cs="Calibri"/>
          <w:sz w:val="22"/>
          <w:szCs w:val="22"/>
        </w:rPr>
        <w:t>Edoardo</w:t>
      </w:r>
      <w:proofErr w:type="spellEnd"/>
      <w:r w:rsidRPr="00AC0E3C">
        <w:rPr>
          <w:rFonts w:ascii="Calibri" w:hAnsi="Calibri" w:cs="Calibri"/>
          <w:sz w:val="22"/>
          <w:szCs w:val="22"/>
        </w:rPr>
        <w:t xml:space="preserve"> Spinazzola</w:t>
      </w:r>
      <w:r>
        <w:rPr>
          <w:rFonts w:ascii="Calibri" w:hAnsi="Calibri" w:cs="Calibri"/>
          <w:sz w:val="22"/>
          <w:szCs w:val="22"/>
          <w:vertAlign w:val="superscript"/>
        </w:rPr>
        <w:t>2</w:t>
      </w:r>
      <w:r w:rsidRPr="00AC0E3C">
        <w:rPr>
          <w:rFonts w:ascii="Calibri" w:hAnsi="Calibri" w:cs="Calibri"/>
          <w:sz w:val="22"/>
          <w:szCs w:val="22"/>
        </w:rPr>
        <w:t xml:space="preserve">, </w:t>
      </w:r>
      <w:r>
        <w:rPr>
          <w:rFonts w:ascii="Calibri" w:hAnsi="Calibri" w:cs="Calibri"/>
          <w:sz w:val="22"/>
          <w:szCs w:val="22"/>
        </w:rPr>
        <w:t>Hannah Degen</w:t>
      </w:r>
      <w:r>
        <w:rPr>
          <w:rFonts w:ascii="Calibri" w:hAnsi="Calibri" w:cs="Calibri"/>
          <w:sz w:val="22"/>
          <w:szCs w:val="22"/>
          <w:vertAlign w:val="superscript"/>
        </w:rPr>
        <w:t>2</w:t>
      </w:r>
      <w:r>
        <w:rPr>
          <w:rFonts w:ascii="Calibri" w:hAnsi="Calibri" w:cs="Calibri"/>
          <w:sz w:val="22"/>
          <w:szCs w:val="22"/>
        </w:rPr>
        <w:t xml:space="preserve">, </w:t>
      </w:r>
      <w:proofErr w:type="spellStart"/>
      <w:r w:rsidRPr="00AC0E3C">
        <w:rPr>
          <w:rFonts w:ascii="Calibri" w:hAnsi="Calibri" w:cs="Calibri"/>
          <w:sz w:val="22"/>
          <w:szCs w:val="22"/>
        </w:rPr>
        <w:t>Zhikun</w:t>
      </w:r>
      <w:proofErr w:type="spellEnd"/>
      <w:r w:rsidRPr="00AC0E3C">
        <w:rPr>
          <w:rFonts w:ascii="Calibri" w:hAnsi="Calibri" w:cs="Calibri"/>
          <w:sz w:val="22"/>
          <w:szCs w:val="22"/>
        </w:rPr>
        <w:t xml:space="preserve"> Li</w:t>
      </w:r>
      <w:r>
        <w:rPr>
          <w:rFonts w:ascii="Calibri" w:hAnsi="Calibri" w:cs="Calibri"/>
          <w:sz w:val="22"/>
          <w:szCs w:val="22"/>
          <w:vertAlign w:val="superscript"/>
        </w:rPr>
        <w:t>1</w:t>
      </w:r>
      <w:r w:rsidRPr="00AC0E3C">
        <w:rPr>
          <w:rFonts w:ascii="Calibri" w:hAnsi="Calibri" w:cs="Calibri"/>
          <w:sz w:val="22"/>
          <w:szCs w:val="22"/>
        </w:rPr>
        <w:t xml:space="preserve">, </w:t>
      </w:r>
      <w:r>
        <w:rPr>
          <w:rFonts w:ascii="Calibri" w:hAnsi="Calibri" w:cs="Calibri"/>
          <w:sz w:val="22"/>
          <w:szCs w:val="22"/>
        </w:rPr>
        <w:t>Isabelle Austin-Zimmerman</w:t>
      </w:r>
      <w:r>
        <w:rPr>
          <w:rFonts w:ascii="Calibri" w:hAnsi="Calibri" w:cs="Calibri"/>
          <w:sz w:val="22"/>
          <w:szCs w:val="22"/>
          <w:vertAlign w:val="superscript"/>
        </w:rPr>
        <w:t>1</w:t>
      </w:r>
      <w:r w:rsidRPr="00AC0E3C">
        <w:rPr>
          <w:rFonts w:ascii="Calibri" w:hAnsi="Calibri" w:cs="Calibri"/>
          <w:sz w:val="22"/>
          <w:szCs w:val="22"/>
        </w:rPr>
        <w:t xml:space="preserve">, </w:t>
      </w:r>
      <w:r>
        <w:rPr>
          <w:rFonts w:ascii="Calibri" w:hAnsi="Calibri" w:cs="Calibri"/>
          <w:sz w:val="22"/>
          <w:szCs w:val="22"/>
        </w:rPr>
        <w:t>Bok Man Leung</w:t>
      </w:r>
      <w:r>
        <w:rPr>
          <w:rFonts w:ascii="Calibri" w:hAnsi="Calibri" w:cs="Calibri"/>
          <w:sz w:val="22"/>
          <w:szCs w:val="22"/>
          <w:vertAlign w:val="superscript"/>
        </w:rPr>
        <w:t>2,3</w:t>
      </w:r>
      <w:r>
        <w:rPr>
          <w:rFonts w:ascii="Calibri" w:hAnsi="Calibri" w:cs="Calibri"/>
          <w:sz w:val="22"/>
          <w:szCs w:val="22"/>
        </w:rPr>
        <w:t xml:space="preserve">, </w:t>
      </w:r>
      <w:proofErr w:type="spellStart"/>
      <w:r>
        <w:rPr>
          <w:rFonts w:ascii="Calibri" w:hAnsi="Calibri" w:cs="Calibri"/>
          <w:sz w:val="22"/>
          <w:szCs w:val="22"/>
        </w:rPr>
        <w:t>Yifei</w:t>
      </w:r>
      <w:proofErr w:type="spellEnd"/>
      <w:r>
        <w:rPr>
          <w:rFonts w:ascii="Calibri" w:hAnsi="Calibri" w:cs="Calibri"/>
          <w:sz w:val="22"/>
          <w:szCs w:val="22"/>
        </w:rPr>
        <w:t xml:space="preserve"> Lang</w:t>
      </w:r>
      <w:r>
        <w:rPr>
          <w:rFonts w:ascii="Calibri" w:hAnsi="Calibri" w:cs="Calibri"/>
          <w:sz w:val="22"/>
          <w:szCs w:val="22"/>
          <w:vertAlign w:val="superscript"/>
        </w:rPr>
        <w:t>2</w:t>
      </w:r>
      <w:r>
        <w:rPr>
          <w:rFonts w:ascii="Calibri" w:hAnsi="Calibri" w:cs="Calibri"/>
          <w:sz w:val="22"/>
          <w:szCs w:val="22"/>
        </w:rPr>
        <w:t>, Victoria Rodriguez</w:t>
      </w:r>
      <w:r w:rsidRPr="003A642B">
        <w:rPr>
          <w:rFonts w:ascii="Calibri" w:hAnsi="Calibri" w:cs="Calibri"/>
          <w:sz w:val="22"/>
          <w:szCs w:val="22"/>
          <w:vertAlign w:val="superscript"/>
        </w:rPr>
        <w:t>2,</w:t>
      </w:r>
      <w:r>
        <w:rPr>
          <w:rFonts w:ascii="Calibri" w:hAnsi="Calibri" w:cs="Calibri"/>
          <w:sz w:val="22"/>
          <w:szCs w:val="22"/>
          <w:vertAlign w:val="superscript"/>
        </w:rPr>
        <w:t>4</w:t>
      </w:r>
      <w:r>
        <w:rPr>
          <w:rFonts w:ascii="Calibri" w:hAnsi="Calibri" w:cs="Calibri"/>
          <w:sz w:val="22"/>
          <w:szCs w:val="22"/>
        </w:rPr>
        <w:t>, Monica Aas</w:t>
      </w:r>
      <w:r w:rsidRPr="00F37E7F">
        <w:rPr>
          <w:rFonts w:ascii="Calibri" w:hAnsi="Calibri" w:cs="Calibri"/>
          <w:sz w:val="22"/>
          <w:szCs w:val="22"/>
          <w:vertAlign w:val="superscript"/>
        </w:rPr>
        <w:t>1</w:t>
      </w:r>
      <w:r>
        <w:rPr>
          <w:rFonts w:ascii="Calibri" w:hAnsi="Calibri" w:cs="Calibri"/>
          <w:sz w:val="22"/>
          <w:szCs w:val="22"/>
        </w:rPr>
        <w:t>, Lucia Sideli</w:t>
      </w:r>
      <w:r w:rsidRPr="001A2FCF">
        <w:rPr>
          <w:rFonts w:ascii="Calibri" w:hAnsi="Calibri" w:cs="Calibri"/>
          <w:sz w:val="22"/>
          <w:szCs w:val="22"/>
          <w:vertAlign w:val="superscript"/>
        </w:rPr>
        <w:t>5</w:t>
      </w:r>
      <w:r>
        <w:rPr>
          <w:rFonts w:ascii="Calibri" w:hAnsi="Calibri" w:cs="Calibri"/>
          <w:sz w:val="22"/>
          <w:szCs w:val="22"/>
        </w:rPr>
        <w:t xml:space="preserve">, </w:t>
      </w:r>
      <w:r w:rsidRPr="006E2655">
        <w:rPr>
          <w:rFonts w:ascii="Calibri" w:hAnsi="Calibri" w:cs="Calibri"/>
          <w:sz w:val="22"/>
          <w:szCs w:val="22"/>
        </w:rPr>
        <w:t>Kim Wolff</w:t>
      </w:r>
      <w:r w:rsidRPr="006E2655">
        <w:rPr>
          <w:rFonts w:ascii="Calibri" w:hAnsi="Calibri" w:cs="Calibri"/>
          <w:sz w:val="22"/>
          <w:szCs w:val="22"/>
          <w:vertAlign w:val="superscript"/>
        </w:rPr>
        <w:t>6</w:t>
      </w:r>
      <w:r w:rsidRPr="006E2655">
        <w:rPr>
          <w:rFonts w:ascii="Calibri" w:hAnsi="Calibri" w:cs="Calibri"/>
          <w:sz w:val="22"/>
          <w:szCs w:val="22"/>
        </w:rPr>
        <w:t>, Tom</w:t>
      </w:r>
      <w:r>
        <w:rPr>
          <w:rFonts w:ascii="Calibri" w:hAnsi="Calibri" w:cs="Calibri"/>
          <w:sz w:val="22"/>
          <w:szCs w:val="22"/>
        </w:rPr>
        <w:t xml:space="preserve"> P. Freeman</w:t>
      </w:r>
      <w:r>
        <w:rPr>
          <w:rFonts w:ascii="Calibri" w:hAnsi="Calibri" w:cs="Calibri"/>
          <w:sz w:val="22"/>
          <w:szCs w:val="22"/>
          <w:vertAlign w:val="superscript"/>
        </w:rPr>
        <w:t>7</w:t>
      </w:r>
      <w:r>
        <w:rPr>
          <w:rFonts w:ascii="Calibri" w:hAnsi="Calibri" w:cs="Calibri"/>
          <w:sz w:val="22"/>
          <w:szCs w:val="22"/>
        </w:rPr>
        <w:t xml:space="preserve">, </w:t>
      </w:r>
      <w:r w:rsidRPr="00AC0E3C">
        <w:rPr>
          <w:rFonts w:ascii="Calibri" w:hAnsi="Calibri" w:cs="Calibri"/>
          <w:sz w:val="22"/>
          <w:szCs w:val="22"/>
        </w:rPr>
        <w:t>Robin M. Murray</w:t>
      </w:r>
      <w:r>
        <w:rPr>
          <w:rFonts w:ascii="Calibri" w:hAnsi="Calibri" w:cs="Calibri"/>
          <w:sz w:val="22"/>
          <w:szCs w:val="22"/>
          <w:vertAlign w:val="superscript"/>
        </w:rPr>
        <w:t>2</w:t>
      </w:r>
      <w:r w:rsidRPr="00AC0E3C">
        <w:rPr>
          <w:rFonts w:ascii="Calibri" w:hAnsi="Calibri" w:cs="Calibri"/>
          <w:sz w:val="22"/>
          <w:szCs w:val="22"/>
        </w:rPr>
        <w:t xml:space="preserve">, </w:t>
      </w:r>
      <w:r>
        <w:rPr>
          <w:rFonts w:ascii="Calibri" w:hAnsi="Calibri" w:cs="Calibri"/>
          <w:sz w:val="22"/>
          <w:szCs w:val="22"/>
        </w:rPr>
        <w:t>Chloe C. Y. Wong</w:t>
      </w:r>
      <w:r>
        <w:rPr>
          <w:rFonts w:ascii="Calibri" w:hAnsi="Calibri" w:cs="Calibri"/>
          <w:sz w:val="22"/>
          <w:szCs w:val="22"/>
          <w:vertAlign w:val="superscript"/>
        </w:rPr>
        <w:t>1</w:t>
      </w:r>
      <w:r>
        <w:rPr>
          <w:rFonts w:ascii="Calibri" w:hAnsi="Calibri" w:cs="Calibri"/>
          <w:sz w:val="22"/>
          <w:szCs w:val="22"/>
        </w:rPr>
        <w:t xml:space="preserve">, </w:t>
      </w:r>
      <w:r w:rsidRPr="00AC0E3C">
        <w:rPr>
          <w:rFonts w:ascii="Calibri" w:hAnsi="Calibri" w:cs="Calibri"/>
          <w:sz w:val="22"/>
          <w:szCs w:val="22"/>
        </w:rPr>
        <w:t>Luis Alameda</w:t>
      </w:r>
      <w:r>
        <w:rPr>
          <w:rFonts w:ascii="Calibri" w:hAnsi="Calibri" w:cs="Calibri"/>
          <w:sz w:val="22"/>
          <w:szCs w:val="22"/>
          <w:vertAlign w:val="superscript"/>
        </w:rPr>
        <w:t>2,8,9*</w:t>
      </w:r>
      <w:r w:rsidRPr="00AC0E3C">
        <w:rPr>
          <w:rFonts w:ascii="Calibri" w:hAnsi="Calibri" w:cs="Calibri"/>
          <w:sz w:val="22"/>
          <w:szCs w:val="22"/>
        </w:rPr>
        <w:t xml:space="preserve">, </w:t>
      </w:r>
      <w:r>
        <w:rPr>
          <w:rFonts w:ascii="Calibri" w:hAnsi="Calibri" w:cs="Calibri"/>
          <w:sz w:val="22"/>
          <w:szCs w:val="22"/>
        </w:rPr>
        <w:t xml:space="preserve">and </w:t>
      </w:r>
      <w:r w:rsidRPr="00AC0E3C">
        <w:rPr>
          <w:rFonts w:ascii="Calibri" w:hAnsi="Calibri" w:cs="Calibri"/>
          <w:sz w:val="22"/>
          <w:szCs w:val="22"/>
        </w:rPr>
        <w:t>Marta Di Forti</w:t>
      </w:r>
      <w:r>
        <w:rPr>
          <w:rFonts w:ascii="Calibri" w:hAnsi="Calibri" w:cs="Calibri"/>
          <w:sz w:val="22"/>
          <w:szCs w:val="22"/>
          <w:vertAlign w:val="superscript"/>
        </w:rPr>
        <w:t>1,10*</w:t>
      </w:r>
      <w:r w:rsidRPr="004F3F04">
        <w:rPr>
          <w:rFonts w:ascii="Calibri" w:hAnsi="Calibri" w:cs="Calibri"/>
          <w:b/>
          <w:bCs/>
          <w:sz w:val="22"/>
          <w:szCs w:val="22"/>
        </w:rPr>
        <w:t xml:space="preserve"> </w:t>
      </w:r>
    </w:p>
    <w:p w14:paraId="700AD741" w14:textId="77777777" w:rsidR="00B92B90" w:rsidRPr="00AC0E3C" w:rsidRDefault="00B92B90" w:rsidP="00B92B90">
      <w:pPr>
        <w:spacing w:after="240" w:line="276" w:lineRule="auto"/>
        <w:rPr>
          <w:rFonts w:ascii="Calibri" w:hAnsi="Calibri" w:cs="Calibri"/>
          <w:sz w:val="20"/>
          <w:szCs w:val="20"/>
        </w:rPr>
      </w:pPr>
      <w:r w:rsidRPr="00AC0E3C">
        <w:rPr>
          <w:rFonts w:ascii="Calibri" w:hAnsi="Calibri" w:cs="Calibri"/>
          <w:sz w:val="20"/>
          <w:szCs w:val="20"/>
          <w:vertAlign w:val="superscript"/>
        </w:rPr>
        <w:t>1</w:t>
      </w:r>
      <w:r w:rsidRPr="00AC0E3C">
        <w:rPr>
          <w:rFonts w:ascii="Calibri" w:hAnsi="Calibri" w:cs="Calibri"/>
          <w:sz w:val="20"/>
          <w:szCs w:val="20"/>
        </w:rPr>
        <w:t xml:space="preserve"> Social, Genetic and Developmental Psychiatry Centre, Institute of Psychiatry, Psychology and Neuroscience, King’s College London, London, UK.</w:t>
      </w:r>
    </w:p>
    <w:p w14:paraId="6AF0CFF9" w14:textId="77777777" w:rsidR="00B92B90" w:rsidRDefault="00B92B90" w:rsidP="00B92B90">
      <w:pPr>
        <w:spacing w:after="240" w:line="276" w:lineRule="auto"/>
        <w:rPr>
          <w:rFonts w:ascii="Calibri" w:hAnsi="Calibri" w:cs="Calibri"/>
          <w:sz w:val="20"/>
          <w:szCs w:val="20"/>
        </w:rPr>
      </w:pPr>
      <w:r w:rsidRPr="00AC0E3C">
        <w:rPr>
          <w:rFonts w:ascii="Calibri" w:hAnsi="Calibri" w:cs="Calibri"/>
          <w:sz w:val="20"/>
          <w:szCs w:val="20"/>
          <w:vertAlign w:val="superscript"/>
        </w:rPr>
        <w:t>2</w:t>
      </w:r>
      <w:r w:rsidRPr="00AC0E3C">
        <w:rPr>
          <w:rFonts w:ascii="Calibri" w:hAnsi="Calibri" w:cs="Calibri"/>
          <w:sz w:val="20"/>
          <w:szCs w:val="20"/>
        </w:rPr>
        <w:t xml:space="preserve"> Department of Psychosis Studies, Institute of Psychiatry, Psychology and Neuroscience. King’s College of London, London, UK. </w:t>
      </w:r>
    </w:p>
    <w:p w14:paraId="33676AEF" w14:textId="77777777" w:rsidR="00B92B90" w:rsidRPr="001A2FCF" w:rsidRDefault="00B92B90" w:rsidP="00B92B90">
      <w:pPr>
        <w:spacing w:after="240" w:line="276" w:lineRule="auto"/>
        <w:rPr>
          <w:rFonts w:ascii="Calibri" w:hAnsi="Calibri" w:cs="Calibri"/>
          <w:sz w:val="20"/>
          <w:szCs w:val="20"/>
          <w:lang w:val="pt-BR"/>
        </w:rPr>
      </w:pPr>
      <w:r w:rsidRPr="003A642B">
        <w:rPr>
          <w:rFonts w:ascii="Calibri" w:hAnsi="Calibri" w:cs="Calibri"/>
          <w:sz w:val="20"/>
          <w:szCs w:val="20"/>
          <w:vertAlign w:val="superscript"/>
          <w:lang w:val="pt-BR"/>
        </w:rPr>
        <w:t>3</w:t>
      </w:r>
      <w:r>
        <w:rPr>
          <w:rFonts w:ascii="Calibri" w:hAnsi="Calibri" w:cs="Calibri"/>
          <w:sz w:val="20"/>
          <w:szCs w:val="20"/>
          <w:vertAlign w:val="superscript"/>
          <w:lang w:val="pt-BR"/>
        </w:rPr>
        <w:t xml:space="preserve"> </w:t>
      </w:r>
      <w:r w:rsidRPr="001A2FCF">
        <w:rPr>
          <w:rFonts w:ascii="Calibri" w:hAnsi="Calibri" w:cs="Calibri"/>
          <w:sz w:val="20"/>
          <w:szCs w:val="20"/>
        </w:rPr>
        <w:t>Department of Psychiatry, LKS Faculty of Medicine, The University of Hong Kong, Hong Kong SAR, China</w:t>
      </w:r>
      <w:r>
        <w:rPr>
          <w:rFonts w:ascii="Calibri" w:hAnsi="Calibri" w:cs="Calibri"/>
          <w:sz w:val="20"/>
          <w:szCs w:val="20"/>
        </w:rPr>
        <w:t>.</w:t>
      </w:r>
    </w:p>
    <w:p w14:paraId="217E26D2" w14:textId="77777777" w:rsidR="00B92B90" w:rsidRDefault="00B92B90" w:rsidP="00B92B90">
      <w:pPr>
        <w:spacing w:after="240" w:line="276" w:lineRule="auto"/>
        <w:rPr>
          <w:rFonts w:ascii="Calibri" w:hAnsi="Calibri" w:cs="Calibri"/>
          <w:sz w:val="20"/>
          <w:szCs w:val="20"/>
        </w:rPr>
      </w:pPr>
      <w:r w:rsidRPr="003A642B">
        <w:rPr>
          <w:rFonts w:ascii="Calibri" w:hAnsi="Calibri" w:cs="Calibri"/>
          <w:sz w:val="20"/>
          <w:szCs w:val="20"/>
          <w:vertAlign w:val="superscript"/>
        </w:rPr>
        <w:t>4</w:t>
      </w:r>
      <w:r>
        <w:rPr>
          <w:rFonts w:ascii="Calibri" w:hAnsi="Calibri" w:cs="Calibri"/>
          <w:sz w:val="20"/>
          <w:szCs w:val="20"/>
          <w:vertAlign w:val="superscript"/>
        </w:rPr>
        <w:t xml:space="preserve"> </w:t>
      </w:r>
      <w:proofErr w:type="spellStart"/>
      <w:r>
        <w:rPr>
          <w:rFonts w:ascii="Calibri" w:hAnsi="Calibri" w:cs="Calibri"/>
          <w:sz w:val="20"/>
          <w:szCs w:val="20"/>
          <w:lang w:val="pt-BR"/>
        </w:rPr>
        <w:t>Camden</w:t>
      </w:r>
      <w:proofErr w:type="spellEnd"/>
      <w:r>
        <w:rPr>
          <w:rFonts w:ascii="Calibri" w:hAnsi="Calibri" w:cs="Calibri"/>
          <w:sz w:val="20"/>
          <w:szCs w:val="20"/>
          <w:lang w:val="pt-BR"/>
        </w:rPr>
        <w:t xml:space="preserve"> Early </w:t>
      </w:r>
      <w:proofErr w:type="spellStart"/>
      <w:r>
        <w:rPr>
          <w:rFonts w:ascii="Calibri" w:hAnsi="Calibri" w:cs="Calibri"/>
          <w:sz w:val="20"/>
          <w:szCs w:val="20"/>
          <w:lang w:val="pt-BR"/>
        </w:rPr>
        <w:t>Intervention</w:t>
      </w:r>
      <w:proofErr w:type="spellEnd"/>
      <w:r>
        <w:rPr>
          <w:rFonts w:ascii="Calibri" w:hAnsi="Calibri" w:cs="Calibri"/>
          <w:sz w:val="20"/>
          <w:szCs w:val="20"/>
          <w:lang w:val="pt-BR"/>
        </w:rPr>
        <w:t xml:space="preserve"> Service, North London NHS Foundation Trust. London, UK.</w:t>
      </w:r>
    </w:p>
    <w:p w14:paraId="7FA41183" w14:textId="77777777" w:rsidR="00B92B90" w:rsidRDefault="00B92B90" w:rsidP="00B92B90">
      <w:pPr>
        <w:spacing w:after="240" w:line="276" w:lineRule="auto"/>
        <w:rPr>
          <w:rFonts w:ascii="Calibri" w:hAnsi="Calibri" w:cs="Calibri"/>
          <w:sz w:val="20"/>
          <w:szCs w:val="20"/>
          <w:lang w:val="pt-BR"/>
        </w:rPr>
      </w:pPr>
      <w:r>
        <w:rPr>
          <w:rFonts w:ascii="Calibri" w:hAnsi="Calibri" w:cs="Calibri"/>
          <w:sz w:val="20"/>
          <w:szCs w:val="20"/>
          <w:vertAlign w:val="superscript"/>
        </w:rPr>
        <w:t xml:space="preserve">5 </w:t>
      </w:r>
      <w:proofErr w:type="spellStart"/>
      <w:r>
        <w:rPr>
          <w:rFonts w:ascii="Calibri" w:hAnsi="Calibri" w:cs="Calibri"/>
          <w:sz w:val="20"/>
          <w:szCs w:val="20"/>
          <w:lang w:val="pt-BR"/>
        </w:rPr>
        <w:t>Department</w:t>
      </w:r>
      <w:proofErr w:type="spellEnd"/>
      <w:r>
        <w:rPr>
          <w:rFonts w:ascii="Calibri" w:hAnsi="Calibri" w:cs="Calibri"/>
          <w:sz w:val="20"/>
          <w:szCs w:val="20"/>
          <w:lang w:val="pt-BR"/>
        </w:rPr>
        <w:t xml:space="preserve"> </w:t>
      </w:r>
      <w:proofErr w:type="spellStart"/>
      <w:r>
        <w:rPr>
          <w:rFonts w:ascii="Calibri" w:hAnsi="Calibri" w:cs="Calibri"/>
          <w:sz w:val="20"/>
          <w:szCs w:val="20"/>
          <w:lang w:val="pt-BR"/>
        </w:rPr>
        <w:t>of</w:t>
      </w:r>
      <w:proofErr w:type="spellEnd"/>
      <w:r>
        <w:rPr>
          <w:rFonts w:ascii="Calibri" w:hAnsi="Calibri" w:cs="Calibri"/>
          <w:sz w:val="20"/>
          <w:szCs w:val="20"/>
          <w:lang w:val="pt-BR"/>
        </w:rPr>
        <w:t xml:space="preserve"> </w:t>
      </w:r>
      <w:proofErr w:type="spellStart"/>
      <w:r>
        <w:rPr>
          <w:rFonts w:ascii="Calibri" w:hAnsi="Calibri" w:cs="Calibri"/>
          <w:sz w:val="20"/>
          <w:szCs w:val="20"/>
          <w:lang w:val="pt-BR"/>
        </w:rPr>
        <w:t>Human</w:t>
      </w:r>
      <w:proofErr w:type="spellEnd"/>
      <w:r>
        <w:rPr>
          <w:rFonts w:ascii="Calibri" w:hAnsi="Calibri" w:cs="Calibri"/>
          <w:sz w:val="20"/>
          <w:szCs w:val="20"/>
          <w:lang w:val="pt-BR"/>
        </w:rPr>
        <w:t xml:space="preserve"> Science, LUMSA </w:t>
      </w:r>
      <w:proofErr w:type="spellStart"/>
      <w:r>
        <w:rPr>
          <w:rFonts w:ascii="Calibri" w:hAnsi="Calibri" w:cs="Calibri"/>
          <w:sz w:val="20"/>
          <w:szCs w:val="20"/>
          <w:lang w:val="pt-BR"/>
        </w:rPr>
        <w:t>University</w:t>
      </w:r>
      <w:proofErr w:type="spellEnd"/>
      <w:r>
        <w:rPr>
          <w:rFonts w:ascii="Calibri" w:hAnsi="Calibri" w:cs="Calibri"/>
          <w:sz w:val="20"/>
          <w:szCs w:val="20"/>
          <w:lang w:val="pt-BR"/>
        </w:rPr>
        <w:t xml:space="preserve">, </w:t>
      </w:r>
      <w:proofErr w:type="spellStart"/>
      <w:r>
        <w:rPr>
          <w:rFonts w:ascii="Calibri" w:hAnsi="Calibri" w:cs="Calibri"/>
          <w:sz w:val="20"/>
          <w:szCs w:val="20"/>
          <w:lang w:val="pt-BR"/>
        </w:rPr>
        <w:t>Rome</w:t>
      </w:r>
      <w:proofErr w:type="spellEnd"/>
      <w:r>
        <w:rPr>
          <w:rFonts w:ascii="Calibri" w:hAnsi="Calibri" w:cs="Calibri"/>
          <w:sz w:val="20"/>
          <w:szCs w:val="20"/>
          <w:lang w:val="pt-BR"/>
        </w:rPr>
        <w:t>, Italy.</w:t>
      </w:r>
    </w:p>
    <w:p w14:paraId="5440DCE1" w14:textId="77777777" w:rsidR="00B92B90" w:rsidRPr="006E2655" w:rsidRDefault="00B92B90" w:rsidP="00B92B90">
      <w:pPr>
        <w:spacing w:after="240" w:line="276" w:lineRule="auto"/>
        <w:jc w:val="both"/>
        <w:rPr>
          <w:rFonts w:ascii="Calibri" w:hAnsi="Calibri" w:cs="Calibri"/>
          <w:sz w:val="20"/>
          <w:szCs w:val="20"/>
        </w:rPr>
      </w:pPr>
      <w:r w:rsidRPr="001A2FCF">
        <w:rPr>
          <w:rFonts w:ascii="Calibri" w:hAnsi="Calibri" w:cs="Calibri"/>
          <w:sz w:val="20"/>
          <w:szCs w:val="20"/>
          <w:vertAlign w:val="superscript"/>
          <w:lang w:val="pt-BR"/>
        </w:rPr>
        <w:t>6</w:t>
      </w:r>
      <w:r>
        <w:rPr>
          <w:rFonts w:ascii="Calibri" w:hAnsi="Calibri" w:cs="Calibri"/>
          <w:sz w:val="20"/>
          <w:szCs w:val="20"/>
          <w:vertAlign w:val="superscript"/>
          <w:lang w:val="pt-BR"/>
        </w:rPr>
        <w:t xml:space="preserve"> </w:t>
      </w:r>
      <w:proofErr w:type="spellStart"/>
      <w:r w:rsidRPr="006E2655">
        <w:rPr>
          <w:rFonts w:ascii="Calibri" w:hAnsi="Calibri" w:cs="Calibri"/>
          <w:sz w:val="20"/>
          <w:szCs w:val="20"/>
          <w:lang w:val="pt-BR"/>
        </w:rPr>
        <w:t>King’s</w:t>
      </w:r>
      <w:proofErr w:type="spellEnd"/>
      <w:r w:rsidRPr="006E2655">
        <w:rPr>
          <w:rFonts w:ascii="Calibri" w:hAnsi="Calibri" w:cs="Calibri"/>
          <w:sz w:val="20"/>
          <w:szCs w:val="20"/>
          <w:lang w:val="pt-BR"/>
        </w:rPr>
        <w:t xml:space="preserve"> </w:t>
      </w:r>
      <w:proofErr w:type="spellStart"/>
      <w:r w:rsidRPr="006E2655">
        <w:rPr>
          <w:rFonts w:ascii="Calibri" w:hAnsi="Calibri" w:cs="Calibri"/>
          <w:sz w:val="20"/>
          <w:szCs w:val="20"/>
          <w:lang w:val="pt-BR"/>
        </w:rPr>
        <w:t>Forensics</w:t>
      </w:r>
      <w:proofErr w:type="spellEnd"/>
      <w:r w:rsidRPr="006E2655">
        <w:rPr>
          <w:rFonts w:ascii="Calibri" w:hAnsi="Calibri" w:cs="Calibri"/>
          <w:sz w:val="20"/>
          <w:szCs w:val="20"/>
          <w:lang w:val="pt-BR"/>
        </w:rPr>
        <w:t xml:space="preserve">, </w:t>
      </w:r>
      <w:proofErr w:type="spellStart"/>
      <w:r w:rsidRPr="006E2655">
        <w:rPr>
          <w:rFonts w:ascii="Calibri" w:hAnsi="Calibri" w:cs="Calibri"/>
          <w:sz w:val="20"/>
          <w:szCs w:val="20"/>
          <w:lang w:val="pt-BR"/>
        </w:rPr>
        <w:t>Department</w:t>
      </w:r>
      <w:proofErr w:type="spellEnd"/>
      <w:r w:rsidRPr="006E2655">
        <w:rPr>
          <w:rFonts w:ascii="Calibri" w:hAnsi="Calibri" w:cs="Calibri"/>
          <w:sz w:val="20"/>
          <w:szCs w:val="20"/>
          <w:lang w:val="pt-BR"/>
        </w:rPr>
        <w:t xml:space="preserve"> </w:t>
      </w:r>
      <w:proofErr w:type="spellStart"/>
      <w:r w:rsidRPr="006E2655">
        <w:rPr>
          <w:rFonts w:ascii="Calibri" w:hAnsi="Calibri" w:cs="Calibri"/>
          <w:sz w:val="20"/>
          <w:szCs w:val="20"/>
          <w:lang w:val="pt-BR"/>
        </w:rPr>
        <w:t>of</w:t>
      </w:r>
      <w:proofErr w:type="spellEnd"/>
      <w:r w:rsidRPr="006E2655">
        <w:rPr>
          <w:rFonts w:ascii="Calibri" w:hAnsi="Calibri" w:cs="Calibri"/>
          <w:sz w:val="20"/>
          <w:szCs w:val="20"/>
          <w:lang w:val="pt-BR"/>
        </w:rPr>
        <w:t xml:space="preserve"> </w:t>
      </w:r>
      <w:proofErr w:type="spellStart"/>
      <w:r w:rsidRPr="006E2655">
        <w:rPr>
          <w:rFonts w:ascii="Calibri" w:hAnsi="Calibri" w:cs="Calibri"/>
          <w:sz w:val="20"/>
          <w:szCs w:val="20"/>
          <w:lang w:val="pt-BR"/>
        </w:rPr>
        <w:t>Analytical</w:t>
      </w:r>
      <w:proofErr w:type="spellEnd"/>
      <w:r w:rsidRPr="006E2655">
        <w:rPr>
          <w:rFonts w:ascii="Calibri" w:hAnsi="Calibri" w:cs="Calibri"/>
          <w:sz w:val="20"/>
          <w:szCs w:val="20"/>
          <w:lang w:val="pt-BR"/>
        </w:rPr>
        <w:t xml:space="preserve">, Environmental &amp; </w:t>
      </w:r>
      <w:proofErr w:type="spellStart"/>
      <w:r w:rsidRPr="006E2655">
        <w:rPr>
          <w:rFonts w:ascii="Calibri" w:hAnsi="Calibri" w:cs="Calibri"/>
          <w:sz w:val="20"/>
          <w:szCs w:val="20"/>
          <w:lang w:val="pt-BR"/>
        </w:rPr>
        <w:t>Forensic</w:t>
      </w:r>
      <w:proofErr w:type="spellEnd"/>
      <w:r w:rsidRPr="006E2655">
        <w:rPr>
          <w:rFonts w:ascii="Calibri" w:hAnsi="Calibri" w:cs="Calibri"/>
          <w:sz w:val="20"/>
          <w:szCs w:val="20"/>
          <w:lang w:val="pt-BR"/>
        </w:rPr>
        <w:t xml:space="preserve"> </w:t>
      </w:r>
      <w:proofErr w:type="spellStart"/>
      <w:r w:rsidRPr="006E2655">
        <w:rPr>
          <w:rFonts w:ascii="Calibri" w:hAnsi="Calibri" w:cs="Calibri"/>
          <w:sz w:val="20"/>
          <w:szCs w:val="20"/>
          <w:lang w:val="pt-BR"/>
        </w:rPr>
        <w:t>Sciences</w:t>
      </w:r>
      <w:proofErr w:type="spellEnd"/>
      <w:r w:rsidRPr="006E2655">
        <w:rPr>
          <w:rFonts w:ascii="Calibri" w:hAnsi="Calibri" w:cs="Calibri"/>
          <w:sz w:val="20"/>
          <w:szCs w:val="20"/>
          <w:lang w:val="pt-BR"/>
        </w:rPr>
        <w:t xml:space="preserve">, </w:t>
      </w:r>
      <w:proofErr w:type="spellStart"/>
      <w:r w:rsidRPr="006E2655">
        <w:rPr>
          <w:rFonts w:ascii="Calibri" w:hAnsi="Calibri" w:cs="Calibri"/>
          <w:sz w:val="20"/>
          <w:szCs w:val="20"/>
          <w:lang w:val="pt-BR"/>
        </w:rPr>
        <w:t>Institute</w:t>
      </w:r>
      <w:proofErr w:type="spellEnd"/>
      <w:r w:rsidRPr="006E2655">
        <w:rPr>
          <w:rFonts w:ascii="Calibri" w:hAnsi="Calibri" w:cs="Calibri"/>
          <w:sz w:val="20"/>
          <w:szCs w:val="20"/>
          <w:lang w:val="pt-BR"/>
        </w:rPr>
        <w:t xml:space="preserve"> </w:t>
      </w:r>
      <w:proofErr w:type="spellStart"/>
      <w:r w:rsidRPr="006E2655">
        <w:rPr>
          <w:rFonts w:ascii="Calibri" w:hAnsi="Calibri" w:cs="Calibri"/>
          <w:sz w:val="20"/>
          <w:szCs w:val="20"/>
          <w:lang w:val="pt-BR"/>
        </w:rPr>
        <w:t>of</w:t>
      </w:r>
      <w:proofErr w:type="spellEnd"/>
      <w:r w:rsidRPr="006E2655">
        <w:rPr>
          <w:rFonts w:ascii="Calibri" w:hAnsi="Calibri" w:cs="Calibri"/>
          <w:sz w:val="20"/>
          <w:szCs w:val="20"/>
          <w:lang w:val="pt-BR"/>
        </w:rPr>
        <w:t xml:space="preserve"> Pharmaceutical </w:t>
      </w:r>
      <w:proofErr w:type="spellStart"/>
      <w:r w:rsidRPr="006E2655">
        <w:rPr>
          <w:rFonts w:ascii="Calibri" w:hAnsi="Calibri" w:cs="Calibri"/>
          <w:sz w:val="20"/>
          <w:szCs w:val="20"/>
          <w:lang w:val="pt-BR"/>
        </w:rPr>
        <w:t>Sciences</w:t>
      </w:r>
      <w:proofErr w:type="spellEnd"/>
      <w:r w:rsidRPr="006E2655">
        <w:rPr>
          <w:rFonts w:ascii="Calibri" w:hAnsi="Calibri" w:cs="Calibri"/>
          <w:sz w:val="20"/>
          <w:szCs w:val="20"/>
          <w:lang w:val="pt-BR"/>
        </w:rPr>
        <w:t xml:space="preserve">, </w:t>
      </w:r>
      <w:proofErr w:type="spellStart"/>
      <w:r w:rsidRPr="006E2655">
        <w:rPr>
          <w:rFonts w:ascii="Calibri" w:hAnsi="Calibri" w:cs="Calibri"/>
          <w:sz w:val="20"/>
          <w:szCs w:val="20"/>
          <w:lang w:val="pt-BR"/>
        </w:rPr>
        <w:t>King’s</w:t>
      </w:r>
      <w:proofErr w:type="spellEnd"/>
      <w:r w:rsidRPr="006E2655">
        <w:rPr>
          <w:rFonts w:ascii="Calibri" w:hAnsi="Calibri" w:cs="Calibri"/>
          <w:sz w:val="20"/>
          <w:szCs w:val="20"/>
          <w:lang w:val="pt-BR"/>
        </w:rPr>
        <w:t xml:space="preserve"> </w:t>
      </w:r>
      <w:proofErr w:type="spellStart"/>
      <w:r w:rsidRPr="006E2655">
        <w:rPr>
          <w:rFonts w:ascii="Calibri" w:hAnsi="Calibri" w:cs="Calibri"/>
          <w:sz w:val="20"/>
          <w:szCs w:val="20"/>
          <w:lang w:val="pt-BR"/>
        </w:rPr>
        <w:t>College</w:t>
      </w:r>
      <w:proofErr w:type="spellEnd"/>
      <w:r w:rsidRPr="006E2655">
        <w:rPr>
          <w:rFonts w:ascii="Calibri" w:hAnsi="Calibri" w:cs="Calibri"/>
          <w:sz w:val="20"/>
          <w:szCs w:val="20"/>
          <w:lang w:val="pt-BR"/>
        </w:rPr>
        <w:t xml:space="preserve"> </w:t>
      </w:r>
      <w:proofErr w:type="spellStart"/>
      <w:r w:rsidRPr="006E2655">
        <w:rPr>
          <w:rFonts w:ascii="Calibri" w:hAnsi="Calibri" w:cs="Calibri"/>
          <w:sz w:val="20"/>
          <w:szCs w:val="20"/>
          <w:lang w:val="pt-BR"/>
        </w:rPr>
        <w:t>of</w:t>
      </w:r>
      <w:proofErr w:type="spellEnd"/>
      <w:r w:rsidRPr="006E2655">
        <w:rPr>
          <w:rFonts w:ascii="Calibri" w:hAnsi="Calibri" w:cs="Calibri"/>
          <w:sz w:val="20"/>
          <w:szCs w:val="20"/>
          <w:lang w:val="pt-BR"/>
        </w:rPr>
        <w:t xml:space="preserve"> London, London, </w:t>
      </w:r>
      <w:r>
        <w:rPr>
          <w:rFonts w:ascii="Calibri" w:hAnsi="Calibri" w:cs="Calibri"/>
          <w:sz w:val="20"/>
          <w:szCs w:val="20"/>
          <w:lang w:val="pt-BR"/>
        </w:rPr>
        <w:t>UK.</w:t>
      </w:r>
    </w:p>
    <w:p w14:paraId="57667B2E" w14:textId="77777777" w:rsidR="00B92B90" w:rsidRPr="00AC0E3C" w:rsidRDefault="00B92B90" w:rsidP="00B92B90">
      <w:pPr>
        <w:spacing w:after="240" w:line="276" w:lineRule="auto"/>
        <w:rPr>
          <w:rFonts w:ascii="Calibri" w:hAnsi="Calibri" w:cs="Calibri"/>
          <w:sz w:val="20"/>
          <w:szCs w:val="20"/>
        </w:rPr>
      </w:pPr>
      <w:r>
        <w:rPr>
          <w:rFonts w:ascii="Calibri" w:hAnsi="Calibri" w:cs="Calibri"/>
          <w:sz w:val="20"/>
          <w:szCs w:val="20"/>
          <w:vertAlign w:val="superscript"/>
        </w:rPr>
        <w:t xml:space="preserve">7 </w:t>
      </w:r>
      <w:r w:rsidRPr="0093738A">
        <w:rPr>
          <w:rFonts w:ascii="Calibri" w:hAnsi="Calibri" w:cs="Calibri"/>
          <w:sz w:val="20"/>
          <w:szCs w:val="20"/>
        </w:rPr>
        <w:t>A</w:t>
      </w:r>
      <w:r>
        <w:rPr>
          <w:rFonts w:ascii="Calibri" w:hAnsi="Calibri" w:cs="Calibri"/>
          <w:sz w:val="20"/>
          <w:szCs w:val="20"/>
        </w:rPr>
        <w:t>ddiction and Mental Health Group, Department of Psychology, University of Bath, UK.</w:t>
      </w:r>
    </w:p>
    <w:p w14:paraId="11906C94" w14:textId="77777777" w:rsidR="00B92B90" w:rsidRPr="00220714" w:rsidRDefault="00B92B90" w:rsidP="00B92B90">
      <w:pPr>
        <w:spacing w:after="240" w:line="276" w:lineRule="auto"/>
        <w:rPr>
          <w:rFonts w:ascii="Calibri" w:hAnsi="Calibri" w:cs="Calibri"/>
          <w:sz w:val="20"/>
          <w:szCs w:val="20"/>
          <w:lang w:val="pt-BR"/>
        </w:rPr>
      </w:pPr>
      <w:r>
        <w:rPr>
          <w:rFonts w:ascii="Calibri" w:hAnsi="Calibri" w:cs="Calibri"/>
          <w:sz w:val="20"/>
          <w:szCs w:val="20"/>
          <w:vertAlign w:val="superscript"/>
        </w:rPr>
        <w:t>8</w:t>
      </w:r>
      <w:r w:rsidRPr="00AC0E3C">
        <w:rPr>
          <w:rFonts w:ascii="Calibri" w:hAnsi="Calibri" w:cs="Calibri"/>
          <w:sz w:val="20"/>
          <w:szCs w:val="20"/>
        </w:rPr>
        <w:t xml:space="preserve"> Service of General Psychiatry, Treatment and Early Intervention in Psychosis Program, Lausanne. </w:t>
      </w:r>
      <w:proofErr w:type="spellStart"/>
      <w:r w:rsidRPr="00220714">
        <w:rPr>
          <w:rFonts w:ascii="Calibri" w:hAnsi="Calibri" w:cs="Calibri"/>
          <w:sz w:val="20"/>
          <w:szCs w:val="20"/>
          <w:lang w:val="pt-BR"/>
        </w:rPr>
        <w:t>University</w:t>
      </w:r>
      <w:proofErr w:type="spellEnd"/>
      <w:r w:rsidRPr="00220714">
        <w:rPr>
          <w:rFonts w:ascii="Calibri" w:hAnsi="Calibri" w:cs="Calibri"/>
          <w:sz w:val="20"/>
          <w:szCs w:val="20"/>
          <w:lang w:val="pt-BR"/>
        </w:rPr>
        <w:t xml:space="preserve"> Hospital (CHUV), Lausanne, </w:t>
      </w:r>
      <w:proofErr w:type="spellStart"/>
      <w:r w:rsidRPr="00220714">
        <w:rPr>
          <w:rFonts w:ascii="Calibri" w:hAnsi="Calibri" w:cs="Calibri"/>
          <w:sz w:val="20"/>
          <w:szCs w:val="20"/>
          <w:lang w:val="pt-BR"/>
        </w:rPr>
        <w:t>Switzerland</w:t>
      </w:r>
      <w:proofErr w:type="spellEnd"/>
    </w:p>
    <w:p w14:paraId="6CA22D93" w14:textId="77777777" w:rsidR="00B92B90" w:rsidRDefault="00B92B90" w:rsidP="00B92B90">
      <w:pPr>
        <w:spacing w:after="240" w:line="276" w:lineRule="auto"/>
        <w:rPr>
          <w:rFonts w:ascii="Calibri" w:hAnsi="Calibri" w:cs="Calibri"/>
          <w:sz w:val="20"/>
          <w:szCs w:val="20"/>
          <w:lang w:val="pt-BR"/>
        </w:rPr>
      </w:pPr>
      <w:r>
        <w:rPr>
          <w:rFonts w:ascii="Calibri" w:hAnsi="Calibri" w:cs="Calibri"/>
          <w:sz w:val="20"/>
          <w:szCs w:val="20"/>
          <w:vertAlign w:val="superscript"/>
          <w:lang w:val="pt-BR"/>
        </w:rPr>
        <w:t>9</w:t>
      </w:r>
      <w:r w:rsidRPr="00220714">
        <w:rPr>
          <w:rFonts w:ascii="Calibri" w:hAnsi="Calibri" w:cs="Calibri"/>
          <w:sz w:val="20"/>
          <w:szCs w:val="20"/>
          <w:lang w:val="pt-BR"/>
        </w:rPr>
        <w:t xml:space="preserve"> Centro </w:t>
      </w:r>
      <w:proofErr w:type="spellStart"/>
      <w:r w:rsidRPr="00220714">
        <w:rPr>
          <w:rFonts w:ascii="Calibri" w:hAnsi="Calibri" w:cs="Calibri"/>
          <w:sz w:val="20"/>
          <w:szCs w:val="20"/>
          <w:lang w:val="pt-BR"/>
        </w:rPr>
        <w:t>Investigacion</w:t>
      </w:r>
      <w:proofErr w:type="spellEnd"/>
      <w:r w:rsidRPr="00220714">
        <w:rPr>
          <w:rFonts w:ascii="Calibri" w:hAnsi="Calibri" w:cs="Calibri"/>
          <w:sz w:val="20"/>
          <w:szCs w:val="20"/>
          <w:lang w:val="pt-BR"/>
        </w:rPr>
        <w:t xml:space="preserve"> </w:t>
      </w:r>
      <w:proofErr w:type="spellStart"/>
      <w:r w:rsidRPr="00220714">
        <w:rPr>
          <w:rFonts w:ascii="Calibri" w:hAnsi="Calibri" w:cs="Calibri"/>
          <w:sz w:val="20"/>
          <w:szCs w:val="20"/>
          <w:lang w:val="pt-BR"/>
        </w:rPr>
        <w:t>Biomedica</w:t>
      </w:r>
      <w:proofErr w:type="spellEnd"/>
      <w:r w:rsidRPr="00220714">
        <w:rPr>
          <w:rFonts w:ascii="Calibri" w:hAnsi="Calibri" w:cs="Calibri"/>
          <w:sz w:val="20"/>
          <w:szCs w:val="20"/>
          <w:lang w:val="pt-BR"/>
        </w:rPr>
        <w:t xml:space="preserve"> </w:t>
      </w:r>
      <w:proofErr w:type="spellStart"/>
      <w:r w:rsidRPr="00220714">
        <w:rPr>
          <w:rFonts w:ascii="Calibri" w:hAnsi="Calibri" w:cs="Calibri"/>
          <w:sz w:val="20"/>
          <w:szCs w:val="20"/>
          <w:lang w:val="pt-BR"/>
        </w:rPr>
        <w:t>en</w:t>
      </w:r>
      <w:proofErr w:type="spellEnd"/>
      <w:r w:rsidRPr="00220714">
        <w:rPr>
          <w:rFonts w:ascii="Calibri" w:hAnsi="Calibri" w:cs="Calibri"/>
          <w:sz w:val="20"/>
          <w:szCs w:val="20"/>
          <w:lang w:val="pt-BR"/>
        </w:rPr>
        <w:t xml:space="preserve"> </w:t>
      </w:r>
      <w:proofErr w:type="spellStart"/>
      <w:r w:rsidRPr="00220714">
        <w:rPr>
          <w:rFonts w:ascii="Calibri" w:hAnsi="Calibri" w:cs="Calibri"/>
          <w:sz w:val="20"/>
          <w:szCs w:val="20"/>
          <w:lang w:val="pt-BR"/>
        </w:rPr>
        <w:t>Red</w:t>
      </w:r>
      <w:proofErr w:type="spellEnd"/>
      <w:r w:rsidRPr="00220714">
        <w:rPr>
          <w:rFonts w:ascii="Calibri" w:hAnsi="Calibri" w:cs="Calibri"/>
          <w:sz w:val="20"/>
          <w:szCs w:val="20"/>
          <w:lang w:val="pt-BR"/>
        </w:rPr>
        <w:t xml:space="preserve"> de Salud Mental (CIBERSAM); Instituto de Biomedicina de Sevilla (IBIS), Hospital </w:t>
      </w:r>
      <w:proofErr w:type="spellStart"/>
      <w:r w:rsidRPr="00220714">
        <w:rPr>
          <w:rFonts w:ascii="Calibri" w:hAnsi="Calibri" w:cs="Calibri"/>
          <w:sz w:val="20"/>
          <w:szCs w:val="20"/>
          <w:lang w:val="pt-BR"/>
        </w:rPr>
        <w:t>Universitario</w:t>
      </w:r>
      <w:proofErr w:type="spellEnd"/>
      <w:r w:rsidRPr="00220714">
        <w:rPr>
          <w:rFonts w:ascii="Calibri" w:hAnsi="Calibri" w:cs="Calibri"/>
          <w:sz w:val="20"/>
          <w:szCs w:val="20"/>
          <w:lang w:val="pt-BR"/>
        </w:rPr>
        <w:t xml:space="preserve"> </w:t>
      </w:r>
      <w:proofErr w:type="spellStart"/>
      <w:r w:rsidRPr="00220714">
        <w:rPr>
          <w:rFonts w:ascii="Calibri" w:hAnsi="Calibri" w:cs="Calibri"/>
          <w:sz w:val="20"/>
          <w:szCs w:val="20"/>
          <w:lang w:val="pt-BR"/>
        </w:rPr>
        <w:t>Virgen</w:t>
      </w:r>
      <w:proofErr w:type="spellEnd"/>
      <w:r w:rsidRPr="00220714">
        <w:rPr>
          <w:rFonts w:ascii="Calibri" w:hAnsi="Calibri" w:cs="Calibri"/>
          <w:sz w:val="20"/>
          <w:szCs w:val="20"/>
          <w:lang w:val="pt-BR"/>
        </w:rPr>
        <w:t xml:space="preserve"> </w:t>
      </w:r>
      <w:proofErr w:type="spellStart"/>
      <w:r w:rsidRPr="00220714">
        <w:rPr>
          <w:rFonts w:ascii="Calibri" w:hAnsi="Calibri" w:cs="Calibri"/>
          <w:sz w:val="20"/>
          <w:szCs w:val="20"/>
          <w:lang w:val="pt-BR"/>
        </w:rPr>
        <w:t>del</w:t>
      </w:r>
      <w:proofErr w:type="spellEnd"/>
      <w:r w:rsidRPr="00220714">
        <w:rPr>
          <w:rFonts w:ascii="Calibri" w:hAnsi="Calibri" w:cs="Calibri"/>
          <w:sz w:val="20"/>
          <w:szCs w:val="20"/>
          <w:lang w:val="pt-BR"/>
        </w:rPr>
        <w:t xml:space="preserve"> Rocio, Departamento de Psiquiatria, </w:t>
      </w:r>
      <w:proofErr w:type="spellStart"/>
      <w:r w:rsidRPr="00220714">
        <w:rPr>
          <w:rFonts w:ascii="Calibri" w:hAnsi="Calibri" w:cs="Calibri"/>
          <w:sz w:val="20"/>
          <w:szCs w:val="20"/>
          <w:lang w:val="pt-BR"/>
        </w:rPr>
        <w:t>Universidad</w:t>
      </w:r>
      <w:proofErr w:type="spellEnd"/>
      <w:r w:rsidRPr="00220714">
        <w:rPr>
          <w:rFonts w:ascii="Calibri" w:hAnsi="Calibri" w:cs="Calibri"/>
          <w:sz w:val="20"/>
          <w:szCs w:val="20"/>
          <w:lang w:val="pt-BR"/>
        </w:rPr>
        <w:t xml:space="preserve"> de Sevilla, Sevilla, Spain. </w:t>
      </w:r>
    </w:p>
    <w:p w14:paraId="24BB4901" w14:textId="77777777" w:rsidR="00B92B90" w:rsidRPr="001A2FCF" w:rsidRDefault="00B92B90" w:rsidP="00B92B90">
      <w:pPr>
        <w:spacing w:after="240" w:line="276" w:lineRule="auto"/>
        <w:rPr>
          <w:rFonts w:ascii="Calibri" w:hAnsi="Calibri" w:cs="Calibri"/>
          <w:sz w:val="20"/>
          <w:szCs w:val="20"/>
          <w:lang w:val="pt-BR"/>
        </w:rPr>
      </w:pPr>
      <w:r w:rsidRPr="00C94756">
        <w:rPr>
          <w:rFonts w:ascii="Calibri" w:hAnsi="Calibri" w:cs="Calibri"/>
          <w:sz w:val="20"/>
          <w:szCs w:val="20"/>
          <w:vertAlign w:val="superscript"/>
          <w:lang w:val="pt-BR"/>
        </w:rPr>
        <w:t>10</w:t>
      </w:r>
      <w:r>
        <w:rPr>
          <w:rFonts w:ascii="Calibri" w:hAnsi="Calibri" w:cs="Calibri"/>
          <w:sz w:val="20"/>
          <w:szCs w:val="20"/>
          <w:lang w:val="pt-BR"/>
        </w:rPr>
        <w:t xml:space="preserve"> South London </w:t>
      </w:r>
      <w:proofErr w:type="spellStart"/>
      <w:r>
        <w:rPr>
          <w:rFonts w:ascii="Calibri" w:hAnsi="Calibri" w:cs="Calibri"/>
          <w:sz w:val="20"/>
          <w:szCs w:val="20"/>
          <w:lang w:val="pt-BR"/>
        </w:rPr>
        <w:t>and</w:t>
      </w:r>
      <w:proofErr w:type="spellEnd"/>
      <w:r>
        <w:rPr>
          <w:rFonts w:ascii="Calibri" w:hAnsi="Calibri" w:cs="Calibri"/>
          <w:sz w:val="20"/>
          <w:szCs w:val="20"/>
          <w:lang w:val="pt-BR"/>
        </w:rPr>
        <w:t xml:space="preserve"> </w:t>
      </w:r>
      <w:proofErr w:type="spellStart"/>
      <w:r>
        <w:rPr>
          <w:rFonts w:ascii="Calibri" w:hAnsi="Calibri" w:cs="Calibri"/>
          <w:sz w:val="20"/>
          <w:szCs w:val="20"/>
          <w:lang w:val="pt-BR"/>
        </w:rPr>
        <w:t>Maudsley</w:t>
      </w:r>
      <w:proofErr w:type="spellEnd"/>
      <w:r>
        <w:rPr>
          <w:rFonts w:ascii="Calibri" w:hAnsi="Calibri" w:cs="Calibri"/>
          <w:sz w:val="20"/>
          <w:szCs w:val="20"/>
          <w:lang w:val="pt-BR"/>
        </w:rPr>
        <w:t xml:space="preserve"> NHS Foundation Trust, London</w:t>
      </w:r>
    </w:p>
    <w:p w14:paraId="2F99BD91" w14:textId="77777777" w:rsidR="002E4EEE" w:rsidRPr="00A63EBE" w:rsidRDefault="002E4EEE" w:rsidP="002E4EEE">
      <w:pPr>
        <w:spacing w:after="240" w:line="276" w:lineRule="auto"/>
        <w:rPr>
          <w:rFonts w:ascii="Calibri" w:hAnsi="Calibri" w:cs="Calibri"/>
          <w:sz w:val="20"/>
          <w:szCs w:val="20"/>
        </w:rPr>
      </w:pPr>
      <w:r w:rsidRPr="00CE332E">
        <w:rPr>
          <w:rFonts w:ascii="Calibri" w:hAnsi="Calibri" w:cs="Calibri"/>
          <w:sz w:val="20"/>
          <w:szCs w:val="20"/>
          <w:vertAlign w:val="superscript"/>
        </w:rPr>
        <w:t>*</w:t>
      </w:r>
      <w:r>
        <w:rPr>
          <w:rFonts w:ascii="Calibri" w:hAnsi="Calibri" w:cs="Calibri"/>
          <w:sz w:val="20"/>
          <w:szCs w:val="20"/>
        </w:rPr>
        <w:t>Both authors contributed equally</w:t>
      </w:r>
    </w:p>
    <w:p w14:paraId="4D7DBD82" w14:textId="77777777" w:rsidR="002E4EEE" w:rsidRPr="00AC0E3C" w:rsidRDefault="002E4EEE" w:rsidP="0035689F">
      <w:pPr>
        <w:spacing w:after="240" w:line="276" w:lineRule="auto"/>
        <w:rPr>
          <w:rFonts w:ascii="Calibri" w:hAnsi="Calibri" w:cs="Calibri"/>
          <w:sz w:val="20"/>
          <w:szCs w:val="20"/>
        </w:rPr>
      </w:pPr>
    </w:p>
    <w:p w14:paraId="7D6984E4" w14:textId="77777777" w:rsidR="005710CE" w:rsidRDefault="005710CE" w:rsidP="00B72378">
      <w:pPr>
        <w:spacing w:after="240"/>
        <w:rPr>
          <w:rFonts w:ascii="Calibri" w:hAnsi="Calibri" w:cs="Calibri"/>
          <w:b/>
          <w:bCs/>
          <w:sz w:val="28"/>
          <w:szCs w:val="28"/>
        </w:rPr>
      </w:pPr>
    </w:p>
    <w:p w14:paraId="2BDF6A8B" w14:textId="77777777" w:rsidR="0088576C" w:rsidRPr="00073383" w:rsidRDefault="0088576C">
      <w:pPr>
        <w:rPr>
          <w:rFonts w:ascii="Calibri" w:hAnsi="Calibri" w:cs="Calibri"/>
          <w:b/>
          <w:bCs/>
          <w:sz w:val="28"/>
          <w:szCs w:val="28"/>
        </w:rPr>
      </w:pPr>
      <w:r w:rsidRPr="00073383">
        <w:rPr>
          <w:rFonts w:ascii="Calibri" w:hAnsi="Calibri" w:cs="Calibri"/>
          <w:b/>
          <w:bCs/>
          <w:sz w:val="28"/>
          <w:szCs w:val="28"/>
        </w:rPr>
        <w:br w:type="page"/>
      </w:r>
    </w:p>
    <w:p w14:paraId="656B5180" w14:textId="69647EC5" w:rsidR="007312E2" w:rsidRDefault="00C6454B">
      <w:pPr>
        <w:pStyle w:val="TOC1"/>
        <w:rPr>
          <w:rFonts w:asciiTheme="minorHAnsi" w:eastAsiaTheme="minorEastAsia" w:hAnsiTheme="minorHAnsi" w:cstheme="minorBidi"/>
          <w:b w:val="0"/>
          <w:bCs w:val="0"/>
          <w:caps w:val="0"/>
          <w:lang w:eastAsia="en-GB"/>
        </w:rPr>
      </w:pPr>
      <w:r w:rsidRPr="00073383">
        <w:rPr>
          <w:rFonts w:ascii="Calibri" w:hAnsi="Calibri" w:cs="Calibri"/>
          <w:i/>
          <w:iCs/>
        </w:rPr>
        <w:lastRenderedPageBreak/>
        <w:fldChar w:fldCharType="begin"/>
      </w:r>
      <w:r w:rsidRPr="00073383">
        <w:rPr>
          <w:rFonts w:ascii="Calibri" w:hAnsi="Calibri" w:cs="Calibri"/>
          <w:i/>
          <w:iCs/>
        </w:rPr>
        <w:instrText xml:space="preserve"> TOC \o "1-3" \h \z \u </w:instrText>
      </w:r>
      <w:r w:rsidRPr="00073383">
        <w:rPr>
          <w:rFonts w:ascii="Calibri" w:hAnsi="Calibri" w:cs="Calibri"/>
          <w:i/>
          <w:iCs/>
        </w:rPr>
        <w:fldChar w:fldCharType="separate"/>
      </w:r>
      <w:hyperlink w:anchor="_Toc200722075" w:history="1">
        <w:r w:rsidR="007312E2" w:rsidRPr="004A430F">
          <w:rPr>
            <w:rStyle w:val="Hyperlink"/>
          </w:rPr>
          <w:t>1. Participant Recruitment, Sample Composition, and Subgroup Breakdown</w:t>
        </w:r>
        <w:r w:rsidR="007312E2">
          <w:rPr>
            <w:webHidden/>
          </w:rPr>
          <w:tab/>
        </w:r>
        <w:r w:rsidR="007312E2">
          <w:rPr>
            <w:webHidden/>
          </w:rPr>
          <w:fldChar w:fldCharType="begin"/>
        </w:r>
        <w:r w:rsidR="007312E2">
          <w:rPr>
            <w:webHidden/>
          </w:rPr>
          <w:instrText xml:space="preserve"> PAGEREF _Toc200722075 \h </w:instrText>
        </w:r>
        <w:r w:rsidR="007312E2">
          <w:rPr>
            <w:webHidden/>
          </w:rPr>
        </w:r>
        <w:r w:rsidR="007312E2">
          <w:rPr>
            <w:webHidden/>
          </w:rPr>
          <w:fldChar w:fldCharType="separate"/>
        </w:r>
        <w:r w:rsidR="001F2198">
          <w:rPr>
            <w:webHidden/>
          </w:rPr>
          <w:t>4</w:t>
        </w:r>
        <w:r w:rsidR="007312E2">
          <w:rPr>
            <w:webHidden/>
          </w:rPr>
          <w:fldChar w:fldCharType="end"/>
        </w:r>
      </w:hyperlink>
    </w:p>
    <w:p w14:paraId="612288BE" w14:textId="72B2813F" w:rsidR="007312E2" w:rsidRDefault="007312E2">
      <w:pPr>
        <w:pStyle w:val="TOC2"/>
        <w:rPr>
          <w:rFonts w:asciiTheme="minorHAnsi" w:eastAsiaTheme="minorEastAsia" w:hAnsiTheme="minorHAnsi" w:cstheme="minorBidi"/>
          <w:i w:val="0"/>
          <w:iCs w:val="0"/>
          <w:sz w:val="24"/>
          <w:szCs w:val="24"/>
          <w:lang w:eastAsia="en-GB"/>
        </w:rPr>
      </w:pPr>
      <w:hyperlink w:anchor="_Toc200722076" w:history="1">
        <w:r w:rsidRPr="004A430F">
          <w:rPr>
            <w:rStyle w:val="Hyperlink"/>
            <w:rFonts w:ascii="Calibri" w:hAnsi="Calibri" w:cs="Calibri"/>
          </w:rPr>
          <w:t>1.1. Recruitment and Sample Composition</w:t>
        </w:r>
        <w:r>
          <w:rPr>
            <w:webHidden/>
          </w:rPr>
          <w:tab/>
        </w:r>
        <w:r>
          <w:rPr>
            <w:webHidden/>
          </w:rPr>
          <w:fldChar w:fldCharType="begin"/>
        </w:r>
        <w:r>
          <w:rPr>
            <w:webHidden/>
          </w:rPr>
          <w:instrText xml:space="preserve"> PAGEREF _Toc200722076 \h </w:instrText>
        </w:r>
        <w:r>
          <w:rPr>
            <w:webHidden/>
          </w:rPr>
        </w:r>
        <w:r>
          <w:rPr>
            <w:webHidden/>
          </w:rPr>
          <w:fldChar w:fldCharType="separate"/>
        </w:r>
        <w:r w:rsidR="001F2198">
          <w:rPr>
            <w:webHidden/>
          </w:rPr>
          <w:t>4</w:t>
        </w:r>
        <w:r>
          <w:rPr>
            <w:webHidden/>
          </w:rPr>
          <w:fldChar w:fldCharType="end"/>
        </w:r>
      </w:hyperlink>
    </w:p>
    <w:p w14:paraId="04E4DAC9" w14:textId="392D5488" w:rsidR="007312E2" w:rsidRDefault="007312E2">
      <w:pPr>
        <w:pStyle w:val="TOC3"/>
        <w:rPr>
          <w:rFonts w:asciiTheme="minorHAnsi" w:eastAsiaTheme="minorEastAsia" w:hAnsiTheme="minorHAnsi" w:cstheme="minorBidi"/>
          <w:sz w:val="24"/>
          <w:szCs w:val="24"/>
          <w:lang w:eastAsia="en-GB"/>
        </w:rPr>
      </w:pPr>
      <w:hyperlink w:anchor="_Toc200722077" w:history="1">
        <w:r w:rsidRPr="004A430F">
          <w:rPr>
            <w:rStyle w:val="Hyperlink"/>
          </w:rPr>
          <w:t>Figure S1. Flowchart of participants included in the study.</w:t>
        </w:r>
        <w:r>
          <w:rPr>
            <w:webHidden/>
          </w:rPr>
          <w:tab/>
        </w:r>
        <w:r>
          <w:rPr>
            <w:webHidden/>
          </w:rPr>
          <w:fldChar w:fldCharType="begin"/>
        </w:r>
        <w:r>
          <w:rPr>
            <w:webHidden/>
          </w:rPr>
          <w:instrText xml:space="preserve"> PAGEREF _Toc200722077 \h </w:instrText>
        </w:r>
        <w:r>
          <w:rPr>
            <w:webHidden/>
          </w:rPr>
        </w:r>
        <w:r>
          <w:rPr>
            <w:webHidden/>
          </w:rPr>
          <w:fldChar w:fldCharType="separate"/>
        </w:r>
        <w:r w:rsidR="001F2198">
          <w:rPr>
            <w:webHidden/>
          </w:rPr>
          <w:t>4</w:t>
        </w:r>
        <w:r>
          <w:rPr>
            <w:webHidden/>
          </w:rPr>
          <w:fldChar w:fldCharType="end"/>
        </w:r>
      </w:hyperlink>
    </w:p>
    <w:p w14:paraId="5AAA0ADD" w14:textId="04B6184C" w:rsidR="007312E2" w:rsidRDefault="007312E2">
      <w:pPr>
        <w:pStyle w:val="TOC2"/>
        <w:rPr>
          <w:rFonts w:asciiTheme="minorHAnsi" w:eastAsiaTheme="minorEastAsia" w:hAnsiTheme="minorHAnsi" w:cstheme="minorBidi"/>
          <w:i w:val="0"/>
          <w:iCs w:val="0"/>
          <w:sz w:val="24"/>
          <w:szCs w:val="24"/>
          <w:lang w:eastAsia="en-GB"/>
        </w:rPr>
      </w:pPr>
      <w:hyperlink w:anchor="_Toc200722078" w:history="1">
        <w:r w:rsidRPr="004A430F">
          <w:rPr>
            <w:rStyle w:val="Hyperlink"/>
            <w:rFonts w:ascii="Calibri" w:hAnsi="Calibri" w:cs="Calibri"/>
          </w:rPr>
          <w:t>1.2. Ethnic Composition of the Sample and Comparison with General Population</w:t>
        </w:r>
        <w:r>
          <w:rPr>
            <w:webHidden/>
          </w:rPr>
          <w:tab/>
        </w:r>
        <w:r>
          <w:rPr>
            <w:webHidden/>
          </w:rPr>
          <w:fldChar w:fldCharType="begin"/>
        </w:r>
        <w:r>
          <w:rPr>
            <w:webHidden/>
          </w:rPr>
          <w:instrText xml:space="preserve"> PAGEREF _Toc200722078 \h </w:instrText>
        </w:r>
        <w:r>
          <w:rPr>
            <w:webHidden/>
          </w:rPr>
        </w:r>
        <w:r>
          <w:rPr>
            <w:webHidden/>
          </w:rPr>
          <w:fldChar w:fldCharType="separate"/>
        </w:r>
        <w:r w:rsidR="001F2198">
          <w:rPr>
            <w:webHidden/>
          </w:rPr>
          <w:t>5</w:t>
        </w:r>
        <w:r>
          <w:rPr>
            <w:webHidden/>
          </w:rPr>
          <w:fldChar w:fldCharType="end"/>
        </w:r>
      </w:hyperlink>
    </w:p>
    <w:p w14:paraId="486FA2D1" w14:textId="46E39692" w:rsidR="007312E2" w:rsidRDefault="007312E2">
      <w:pPr>
        <w:pStyle w:val="TOC3"/>
        <w:rPr>
          <w:rFonts w:asciiTheme="minorHAnsi" w:eastAsiaTheme="minorEastAsia" w:hAnsiTheme="minorHAnsi" w:cstheme="minorBidi"/>
          <w:sz w:val="24"/>
          <w:szCs w:val="24"/>
          <w:lang w:eastAsia="en-GB"/>
        </w:rPr>
      </w:pPr>
      <w:hyperlink w:anchor="_Toc200722079" w:history="1">
        <w:r w:rsidRPr="004A430F">
          <w:rPr>
            <w:rStyle w:val="Hyperlink"/>
          </w:rPr>
          <w:t>Figure S2. Ethnic Composition: London (ONS 2021) vs. CAMe Survey.</w:t>
        </w:r>
        <w:r>
          <w:rPr>
            <w:webHidden/>
          </w:rPr>
          <w:tab/>
        </w:r>
        <w:r>
          <w:rPr>
            <w:webHidden/>
          </w:rPr>
          <w:fldChar w:fldCharType="begin"/>
        </w:r>
        <w:r>
          <w:rPr>
            <w:webHidden/>
          </w:rPr>
          <w:instrText xml:space="preserve"> PAGEREF _Toc200722079 \h </w:instrText>
        </w:r>
        <w:r>
          <w:rPr>
            <w:webHidden/>
          </w:rPr>
        </w:r>
        <w:r>
          <w:rPr>
            <w:webHidden/>
          </w:rPr>
          <w:fldChar w:fldCharType="separate"/>
        </w:r>
        <w:r w:rsidR="001F2198">
          <w:rPr>
            <w:webHidden/>
          </w:rPr>
          <w:t>6</w:t>
        </w:r>
        <w:r>
          <w:rPr>
            <w:webHidden/>
          </w:rPr>
          <w:fldChar w:fldCharType="end"/>
        </w:r>
      </w:hyperlink>
    </w:p>
    <w:p w14:paraId="7DC6004B" w14:textId="722C8396" w:rsidR="007312E2" w:rsidRDefault="007312E2">
      <w:pPr>
        <w:pStyle w:val="TOC2"/>
        <w:rPr>
          <w:rFonts w:asciiTheme="minorHAnsi" w:eastAsiaTheme="minorEastAsia" w:hAnsiTheme="minorHAnsi" w:cstheme="minorBidi"/>
          <w:i w:val="0"/>
          <w:iCs w:val="0"/>
          <w:sz w:val="24"/>
          <w:szCs w:val="24"/>
          <w:lang w:eastAsia="en-GB"/>
        </w:rPr>
      </w:pPr>
      <w:hyperlink w:anchor="_Toc200722080" w:history="1">
        <w:r w:rsidRPr="004A430F">
          <w:rPr>
            <w:rStyle w:val="Hyperlink"/>
            <w:rFonts w:ascii="Calibri" w:hAnsi="Calibri" w:cs="Calibri"/>
          </w:rPr>
          <w:t>1.3. Demographic and Clinical Characteristics by Cannabis Use</w:t>
        </w:r>
        <w:r>
          <w:rPr>
            <w:webHidden/>
          </w:rPr>
          <w:tab/>
        </w:r>
        <w:r>
          <w:rPr>
            <w:webHidden/>
          </w:rPr>
          <w:fldChar w:fldCharType="begin"/>
        </w:r>
        <w:r>
          <w:rPr>
            <w:webHidden/>
          </w:rPr>
          <w:instrText xml:space="preserve"> PAGEREF _Toc200722080 \h </w:instrText>
        </w:r>
        <w:r>
          <w:rPr>
            <w:webHidden/>
          </w:rPr>
        </w:r>
        <w:r>
          <w:rPr>
            <w:webHidden/>
          </w:rPr>
          <w:fldChar w:fldCharType="separate"/>
        </w:r>
        <w:r w:rsidR="001F2198">
          <w:rPr>
            <w:webHidden/>
          </w:rPr>
          <w:t>7</w:t>
        </w:r>
        <w:r>
          <w:rPr>
            <w:webHidden/>
          </w:rPr>
          <w:fldChar w:fldCharType="end"/>
        </w:r>
      </w:hyperlink>
    </w:p>
    <w:p w14:paraId="30062B51" w14:textId="503D58DA" w:rsidR="007312E2" w:rsidRDefault="007312E2">
      <w:pPr>
        <w:pStyle w:val="TOC3"/>
        <w:rPr>
          <w:rFonts w:asciiTheme="minorHAnsi" w:eastAsiaTheme="minorEastAsia" w:hAnsiTheme="minorHAnsi" w:cstheme="minorBidi"/>
          <w:sz w:val="24"/>
          <w:szCs w:val="24"/>
          <w:lang w:eastAsia="en-GB"/>
        </w:rPr>
      </w:pPr>
      <w:hyperlink w:anchor="_Toc200722081" w:history="1">
        <w:r w:rsidRPr="004A430F">
          <w:rPr>
            <w:rStyle w:val="Hyperlink"/>
            <w:b/>
            <w:bCs/>
            <w:i/>
            <w:iCs/>
          </w:rPr>
          <w:t xml:space="preserve">Table S1. </w:t>
        </w:r>
        <w:r w:rsidRPr="004A430F">
          <w:rPr>
            <w:rStyle w:val="Hyperlink"/>
            <w:i/>
            <w:iCs/>
          </w:rPr>
          <w:t>Descriptive Characteristics of the Sample by Cannabis Use</w:t>
        </w:r>
        <w:r>
          <w:rPr>
            <w:webHidden/>
          </w:rPr>
          <w:tab/>
        </w:r>
        <w:r>
          <w:rPr>
            <w:webHidden/>
          </w:rPr>
          <w:fldChar w:fldCharType="begin"/>
        </w:r>
        <w:r>
          <w:rPr>
            <w:webHidden/>
          </w:rPr>
          <w:instrText xml:space="preserve"> PAGEREF _Toc200722081 \h </w:instrText>
        </w:r>
        <w:r>
          <w:rPr>
            <w:webHidden/>
          </w:rPr>
        </w:r>
        <w:r>
          <w:rPr>
            <w:webHidden/>
          </w:rPr>
          <w:fldChar w:fldCharType="separate"/>
        </w:r>
        <w:r w:rsidR="001F2198">
          <w:rPr>
            <w:webHidden/>
          </w:rPr>
          <w:t>8</w:t>
        </w:r>
        <w:r>
          <w:rPr>
            <w:webHidden/>
          </w:rPr>
          <w:fldChar w:fldCharType="end"/>
        </w:r>
      </w:hyperlink>
    </w:p>
    <w:p w14:paraId="77B895D1" w14:textId="413A0D20" w:rsidR="007312E2" w:rsidRDefault="007312E2">
      <w:pPr>
        <w:pStyle w:val="TOC2"/>
        <w:rPr>
          <w:rFonts w:asciiTheme="minorHAnsi" w:eastAsiaTheme="minorEastAsia" w:hAnsiTheme="minorHAnsi" w:cstheme="minorBidi"/>
          <w:i w:val="0"/>
          <w:iCs w:val="0"/>
          <w:sz w:val="24"/>
          <w:szCs w:val="24"/>
          <w:lang w:eastAsia="en-GB"/>
        </w:rPr>
      </w:pPr>
      <w:hyperlink w:anchor="_Toc200722082" w:history="1">
        <w:r w:rsidRPr="004A430F">
          <w:rPr>
            <w:rStyle w:val="Hyperlink"/>
            <w:rFonts w:ascii="Calibri" w:hAnsi="Calibri" w:cs="Calibri"/>
          </w:rPr>
          <w:t>1.4. Paranoia Scores by Trauma Subtype and Exposure Status</w:t>
        </w:r>
        <w:r>
          <w:rPr>
            <w:webHidden/>
          </w:rPr>
          <w:tab/>
        </w:r>
        <w:r>
          <w:rPr>
            <w:webHidden/>
          </w:rPr>
          <w:fldChar w:fldCharType="begin"/>
        </w:r>
        <w:r>
          <w:rPr>
            <w:webHidden/>
          </w:rPr>
          <w:instrText xml:space="preserve"> PAGEREF _Toc200722082 \h </w:instrText>
        </w:r>
        <w:r>
          <w:rPr>
            <w:webHidden/>
          </w:rPr>
        </w:r>
        <w:r>
          <w:rPr>
            <w:webHidden/>
          </w:rPr>
          <w:fldChar w:fldCharType="separate"/>
        </w:r>
        <w:r w:rsidR="001F2198">
          <w:rPr>
            <w:webHidden/>
          </w:rPr>
          <w:t>9</w:t>
        </w:r>
        <w:r>
          <w:rPr>
            <w:webHidden/>
          </w:rPr>
          <w:fldChar w:fldCharType="end"/>
        </w:r>
      </w:hyperlink>
    </w:p>
    <w:p w14:paraId="7F58797E" w14:textId="438FB1C9" w:rsidR="007312E2" w:rsidRDefault="007312E2">
      <w:pPr>
        <w:pStyle w:val="TOC3"/>
        <w:rPr>
          <w:rFonts w:asciiTheme="minorHAnsi" w:eastAsiaTheme="minorEastAsia" w:hAnsiTheme="minorHAnsi" w:cstheme="minorBidi"/>
          <w:sz w:val="24"/>
          <w:szCs w:val="24"/>
          <w:lang w:eastAsia="en-GB"/>
        </w:rPr>
      </w:pPr>
      <w:hyperlink w:anchor="_Toc200722083" w:history="1">
        <w:r w:rsidRPr="004A430F">
          <w:rPr>
            <w:rStyle w:val="Hyperlink"/>
            <w:b/>
            <w:bCs/>
            <w:i/>
            <w:iCs/>
          </w:rPr>
          <w:t xml:space="preserve">Table S2. </w:t>
        </w:r>
        <w:r w:rsidRPr="004A430F">
          <w:rPr>
            <w:rStyle w:val="Hyperlink"/>
            <w:i/>
            <w:iCs/>
          </w:rPr>
          <w:t>Paranoia Scores (GPTS) by Trauma Type and Exposure Status</w:t>
        </w:r>
        <w:r>
          <w:rPr>
            <w:webHidden/>
          </w:rPr>
          <w:tab/>
        </w:r>
        <w:r>
          <w:rPr>
            <w:webHidden/>
          </w:rPr>
          <w:fldChar w:fldCharType="begin"/>
        </w:r>
        <w:r>
          <w:rPr>
            <w:webHidden/>
          </w:rPr>
          <w:instrText xml:space="preserve"> PAGEREF _Toc200722083 \h </w:instrText>
        </w:r>
        <w:r>
          <w:rPr>
            <w:webHidden/>
          </w:rPr>
        </w:r>
        <w:r>
          <w:rPr>
            <w:webHidden/>
          </w:rPr>
          <w:fldChar w:fldCharType="separate"/>
        </w:r>
        <w:r w:rsidR="001F2198">
          <w:rPr>
            <w:webHidden/>
          </w:rPr>
          <w:t>9</w:t>
        </w:r>
        <w:r>
          <w:rPr>
            <w:webHidden/>
          </w:rPr>
          <w:fldChar w:fldCharType="end"/>
        </w:r>
      </w:hyperlink>
    </w:p>
    <w:p w14:paraId="0039DFAC" w14:textId="04BC2987" w:rsidR="007312E2" w:rsidRDefault="007312E2">
      <w:pPr>
        <w:pStyle w:val="TOC1"/>
        <w:rPr>
          <w:rFonts w:asciiTheme="minorHAnsi" w:eastAsiaTheme="minorEastAsia" w:hAnsiTheme="minorHAnsi" w:cstheme="minorBidi"/>
          <w:b w:val="0"/>
          <w:bCs w:val="0"/>
          <w:caps w:val="0"/>
          <w:lang w:eastAsia="en-GB"/>
        </w:rPr>
      </w:pPr>
      <w:hyperlink w:anchor="_Toc200722084" w:history="1">
        <w:r w:rsidRPr="004A430F">
          <w:rPr>
            <w:rStyle w:val="Hyperlink"/>
          </w:rPr>
          <w:t>2. Collinearity Assessment Among Trauma Variables</w:t>
        </w:r>
        <w:r>
          <w:rPr>
            <w:webHidden/>
          </w:rPr>
          <w:tab/>
        </w:r>
        <w:r>
          <w:rPr>
            <w:webHidden/>
          </w:rPr>
          <w:fldChar w:fldCharType="begin"/>
        </w:r>
        <w:r>
          <w:rPr>
            <w:webHidden/>
          </w:rPr>
          <w:instrText xml:space="preserve"> PAGEREF _Toc200722084 \h </w:instrText>
        </w:r>
        <w:r>
          <w:rPr>
            <w:webHidden/>
          </w:rPr>
        </w:r>
        <w:r>
          <w:rPr>
            <w:webHidden/>
          </w:rPr>
          <w:fldChar w:fldCharType="separate"/>
        </w:r>
        <w:r w:rsidR="001F2198">
          <w:rPr>
            <w:webHidden/>
          </w:rPr>
          <w:t>10</w:t>
        </w:r>
        <w:r>
          <w:rPr>
            <w:webHidden/>
          </w:rPr>
          <w:fldChar w:fldCharType="end"/>
        </w:r>
      </w:hyperlink>
    </w:p>
    <w:p w14:paraId="47467791" w14:textId="4FFE3026" w:rsidR="007312E2" w:rsidRDefault="007312E2">
      <w:pPr>
        <w:pStyle w:val="TOC3"/>
        <w:rPr>
          <w:rFonts w:asciiTheme="minorHAnsi" w:eastAsiaTheme="minorEastAsia" w:hAnsiTheme="minorHAnsi" w:cstheme="minorBidi"/>
          <w:sz w:val="24"/>
          <w:szCs w:val="24"/>
          <w:lang w:eastAsia="en-GB"/>
        </w:rPr>
      </w:pPr>
      <w:hyperlink w:anchor="_Toc200722085" w:history="1">
        <w:r w:rsidRPr="004A430F">
          <w:rPr>
            <w:rStyle w:val="Hyperlink"/>
          </w:rPr>
          <w:t>Figure S3. Heatmap of Correlations Among Trauma Variables.</w:t>
        </w:r>
        <w:r>
          <w:rPr>
            <w:webHidden/>
          </w:rPr>
          <w:tab/>
        </w:r>
        <w:r>
          <w:rPr>
            <w:webHidden/>
          </w:rPr>
          <w:fldChar w:fldCharType="begin"/>
        </w:r>
        <w:r>
          <w:rPr>
            <w:webHidden/>
          </w:rPr>
          <w:instrText xml:space="preserve"> PAGEREF _Toc200722085 \h </w:instrText>
        </w:r>
        <w:r>
          <w:rPr>
            <w:webHidden/>
          </w:rPr>
        </w:r>
        <w:r>
          <w:rPr>
            <w:webHidden/>
          </w:rPr>
          <w:fldChar w:fldCharType="separate"/>
        </w:r>
        <w:r w:rsidR="001F2198">
          <w:rPr>
            <w:webHidden/>
          </w:rPr>
          <w:t>11</w:t>
        </w:r>
        <w:r>
          <w:rPr>
            <w:webHidden/>
          </w:rPr>
          <w:fldChar w:fldCharType="end"/>
        </w:r>
      </w:hyperlink>
    </w:p>
    <w:p w14:paraId="7565C459" w14:textId="1FFB0C3E" w:rsidR="007312E2" w:rsidRDefault="007312E2">
      <w:pPr>
        <w:pStyle w:val="TOC1"/>
        <w:rPr>
          <w:rFonts w:asciiTheme="minorHAnsi" w:eastAsiaTheme="minorEastAsia" w:hAnsiTheme="minorHAnsi" w:cstheme="minorBidi"/>
          <w:b w:val="0"/>
          <w:bCs w:val="0"/>
          <w:caps w:val="0"/>
          <w:lang w:eastAsia="en-GB"/>
        </w:rPr>
      </w:pPr>
      <w:hyperlink w:anchor="_Toc200722086" w:history="1">
        <w:r w:rsidRPr="004A430F">
          <w:rPr>
            <w:rStyle w:val="Hyperlink"/>
          </w:rPr>
          <w:t>3. THC Unit as a Measure of Cannabis Consumption</w:t>
        </w:r>
        <w:r>
          <w:rPr>
            <w:webHidden/>
          </w:rPr>
          <w:tab/>
        </w:r>
        <w:r>
          <w:rPr>
            <w:webHidden/>
          </w:rPr>
          <w:fldChar w:fldCharType="begin"/>
        </w:r>
        <w:r>
          <w:rPr>
            <w:webHidden/>
          </w:rPr>
          <w:instrText xml:space="preserve"> PAGEREF _Toc200722086 \h </w:instrText>
        </w:r>
        <w:r>
          <w:rPr>
            <w:webHidden/>
          </w:rPr>
        </w:r>
        <w:r>
          <w:rPr>
            <w:webHidden/>
          </w:rPr>
          <w:fldChar w:fldCharType="separate"/>
        </w:r>
        <w:r w:rsidR="001F2198">
          <w:rPr>
            <w:webHidden/>
          </w:rPr>
          <w:t>12</w:t>
        </w:r>
        <w:r>
          <w:rPr>
            <w:webHidden/>
          </w:rPr>
          <w:fldChar w:fldCharType="end"/>
        </w:r>
      </w:hyperlink>
    </w:p>
    <w:p w14:paraId="5C2A8E48" w14:textId="5CE352F2" w:rsidR="007312E2" w:rsidRDefault="007312E2">
      <w:pPr>
        <w:pStyle w:val="TOC2"/>
        <w:rPr>
          <w:rFonts w:asciiTheme="minorHAnsi" w:eastAsiaTheme="minorEastAsia" w:hAnsiTheme="minorHAnsi" w:cstheme="minorBidi"/>
          <w:i w:val="0"/>
          <w:iCs w:val="0"/>
          <w:sz w:val="24"/>
          <w:szCs w:val="24"/>
          <w:lang w:eastAsia="en-GB"/>
        </w:rPr>
      </w:pPr>
      <w:hyperlink w:anchor="_Toc200722087" w:history="1">
        <w:r w:rsidRPr="004A430F">
          <w:rPr>
            <w:rStyle w:val="Hyperlink"/>
          </w:rPr>
          <w:t>3.1. Methodological Details on THC Unit Definition and Handling Missingness</w:t>
        </w:r>
        <w:r>
          <w:rPr>
            <w:webHidden/>
          </w:rPr>
          <w:tab/>
        </w:r>
        <w:r>
          <w:rPr>
            <w:webHidden/>
          </w:rPr>
          <w:fldChar w:fldCharType="begin"/>
        </w:r>
        <w:r>
          <w:rPr>
            <w:webHidden/>
          </w:rPr>
          <w:instrText xml:space="preserve"> PAGEREF _Toc200722087 \h </w:instrText>
        </w:r>
        <w:r>
          <w:rPr>
            <w:webHidden/>
          </w:rPr>
        </w:r>
        <w:r>
          <w:rPr>
            <w:webHidden/>
          </w:rPr>
          <w:fldChar w:fldCharType="separate"/>
        </w:r>
        <w:r w:rsidR="001F2198">
          <w:rPr>
            <w:webHidden/>
          </w:rPr>
          <w:t>12</w:t>
        </w:r>
        <w:r>
          <w:rPr>
            <w:webHidden/>
          </w:rPr>
          <w:fldChar w:fldCharType="end"/>
        </w:r>
      </w:hyperlink>
    </w:p>
    <w:p w14:paraId="67A1350C" w14:textId="2A300F3D" w:rsidR="007312E2" w:rsidRDefault="007312E2">
      <w:pPr>
        <w:pStyle w:val="TOC2"/>
        <w:rPr>
          <w:rFonts w:asciiTheme="minorHAnsi" w:eastAsiaTheme="minorEastAsia" w:hAnsiTheme="minorHAnsi" w:cstheme="minorBidi"/>
          <w:i w:val="0"/>
          <w:iCs w:val="0"/>
          <w:sz w:val="24"/>
          <w:szCs w:val="24"/>
          <w:lang w:eastAsia="en-GB"/>
        </w:rPr>
      </w:pPr>
      <w:hyperlink w:anchor="_Toc200722088" w:history="1">
        <w:r w:rsidRPr="004A430F">
          <w:rPr>
            <w:rStyle w:val="Hyperlink"/>
            <w:rFonts w:ascii="Calibri" w:hAnsi="Calibri" w:cs="Calibri"/>
          </w:rPr>
          <w:t>3.2. THC Unit Validation Against Objective THC Blood Levels</w:t>
        </w:r>
        <w:r>
          <w:rPr>
            <w:webHidden/>
          </w:rPr>
          <w:tab/>
        </w:r>
        <w:r>
          <w:rPr>
            <w:webHidden/>
          </w:rPr>
          <w:fldChar w:fldCharType="begin"/>
        </w:r>
        <w:r>
          <w:rPr>
            <w:webHidden/>
          </w:rPr>
          <w:instrText xml:space="preserve"> PAGEREF _Toc200722088 \h </w:instrText>
        </w:r>
        <w:r>
          <w:rPr>
            <w:webHidden/>
          </w:rPr>
        </w:r>
        <w:r>
          <w:rPr>
            <w:webHidden/>
          </w:rPr>
          <w:fldChar w:fldCharType="separate"/>
        </w:r>
        <w:r w:rsidR="001F2198">
          <w:rPr>
            <w:webHidden/>
          </w:rPr>
          <w:t>13</w:t>
        </w:r>
        <w:r>
          <w:rPr>
            <w:webHidden/>
          </w:rPr>
          <w:fldChar w:fldCharType="end"/>
        </w:r>
      </w:hyperlink>
    </w:p>
    <w:p w14:paraId="2E7D05D8" w14:textId="4A44F578" w:rsidR="007312E2" w:rsidRDefault="007312E2">
      <w:pPr>
        <w:pStyle w:val="TOC2"/>
        <w:rPr>
          <w:rFonts w:asciiTheme="minorHAnsi" w:eastAsiaTheme="minorEastAsia" w:hAnsiTheme="minorHAnsi" w:cstheme="minorBidi"/>
          <w:i w:val="0"/>
          <w:iCs w:val="0"/>
          <w:sz w:val="24"/>
          <w:szCs w:val="24"/>
          <w:lang w:eastAsia="en-GB"/>
        </w:rPr>
      </w:pPr>
      <w:hyperlink w:anchor="_Toc200722089" w:history="1">
        <w:r w:rsidRPr="004A430F">
          <w:rPr>
            <w:rStyle w:val="Hyperlink"/>
            <w:rFonts w:ascii="Calibri" w:hAnsi="Calibri" w:cs="Calibri"/>
          </w:rPr>
          <w:t>3.3. Dose-Dependent Relationship Between THC Unit and Paranoia</w:t>
        </w:r>
        <w:r>
          <w:rPr>
            <w:webHidden/>
          </w:rPr>
          <w:tab/>
        </w:r>
        <w:r>
          <w:rPr>
            <w:webHidden/>
          </w:rPr>
          <w:fldChar w:fldCharType="begin"/>
        </w:r>
        <w:r>
          <w:rPr>
            <w:webHidden/>
          </w:rPr>
          <w:instrText xml:space="preserve"> PAGEREF _Toc200722089 \h </w:instrText>
        </w:r>
        <w:r>
          <w:rPr>
            <w:webHidden/>
          </w:rPr>
        </w:r>
        <w:r>
          <w:rPr>
            <w:webHidden/>
          </w:rPr>
          <w:fldChar w:fldCharType="separate"/>
        </w:r>
        <w:r w:rsidR="001F2198">
          <w:rPr>
            <w:webHidden/>
          </w:rPr>
          <w:t>13</w:t>
        </w:r>
        <w:r>
          <w:rPr>
            <w:webHidden/>
          </w:rPr>
          <w:fldChar w:fldCharType="end"/>
        </w:r>
      </w:hyperlink>
    </w:p>
    <w:p w14:paraId="0D560C4F" w14:textId="10C10C3B" w:rsidR="007312E2" w:rsidRDefault="007312E2">
      <w:pPr>
        <w:pStyle w:val="TOC3"/>
        <w:rPr>
          <w:rFonts w:asciiTheme="minorHAnsi" w:eastAsiaTheme="minorEastAsia" w:hAnsiTheme="minorHAnsi" w:cstheme="minorBidi"/>
          <w:sz w:val="24"/>
          <w:szCs w:val="24"/>
          <w:lang w:eastAsia="en-GB"/>
        </w:rPr>
      </w:pPr>
      <w:hyperlink w:anchor="_Toc200722090" w:history="1">
        <w:r w:rsidRPr="004A430F">
          <w:rPr>
            <w:rStyle w:val="Hyperlink"/>
          </w:rPr>
          <w:t>Figure S4. Dose-dependent Relationship Between THC Unit and Paranoia.</w:t>
        </w:r>
        <w:r>
          <w:rPr>
            <w:webHidden/>
          </w:rPr>
          <w:tab/>
        </w:r>
        <w:r>
          <w:rPr>
            <w:webHidden/>
          </w:rPr>
          <w:fldChar w:fldCharType="begin"/>
        </w:r>
        <w:r>
          <w:rPr>
            <w:webHidden/>
          </w:rPr>
          <w:instrText xml:space="preserve"> PAGEREF _Toc200722090 \h </w:instrText>
        </w:r>
        <w:r>
          <w:rPr>
            <w:webHidden/>
          </w:rPr>
        </w:r>
        <w:r>
          <w:rPr>
            <w:webHidden/>
          </w:rPr>
          <w:fldChar w:fldCharType="separate"/>
        </w:r>
        <w:r w:rsidR="001F2198">
          <w:rPr>
            <w:webHidden/>
          </w:rPr>
          <w:t>14</w:t>
        </w:r>
        <w:r>
          <w:rPr>
            <w:webHidden/>
          </w:rPr>
          <w:fldChar w:fldCharType="end"/>
        </w:r>
      </w:hyperlink>
    </w:p>
    <w:p w14:paraId="3922E833" w14:textId="79FA4D81" w:rsidR="007312E2" w:rsidRDefault="007312E2">
      <w:pPr>
        <w:pStyle w:val="TOC1"/>
        <w:rPr>
          <w:rFonts w:asciiTheme="minorHAnsi" w:eastAsiaTheme="minorEastAsia" w:hAnsiTheme="minorHAnsi" w:cstheme="minorBidi"/>
          <w:b w:val="0"/>
          <w:bCs w:val="0"/>
          <w:caps w:val="0"/>
          <w:lang w:eastAsia="en-GB"/>
        </w:rPr>
      </w:pPr>
      <w:hyperlink w:anchor="_Toc200722091" w:history="1">
        <w:r w:rsidRPr="004A430F">
          <w:rPr>
            <w:rStyle w:val="Hyperlink"/>
          </w:rPr>
          <w:t>4. Sensitivity analyses with traditional cannabis measures</w:t>
        </w:r>
        <w:r>
          <w:rPr>
            <w:webHidden/>
          </w:rPr>
          <w:tab/>
        </w:r>
        <w:r>
          <w:rPr>
            <w:webHidden/>
          </w:rPr>
          <w:fldChar w:fldCharType="begin"/>
        </w:r>
        <w:r>
          <w:rPr>
            <w:webHidden/>
          </w:rPr>
          <w:instrText xml:space="preserve"> PAGEREF _Toc200722091 \h </w:instrText>
        </w:r>
        <w:r>
          <w:rPr>
            <w:webHidden/>
          </w:rPr>
        </w:r>
        <w:r>
          <w:rPr>
            <w:webHidden/>
          </w:rPr>
          <w:fldChar w:fldCharType="separate"/>
        </w:r>
        <w:r w:rsidR="001F2198">
          <w:rPr>
            <w:webHidden/>
          </w:rPr>
          <w:t>15</w:t>
        </w:r>
        <w:r>
          <w:rPr>
            <w:webHidden/>
          </w:rPr>
          <w:fldChar w:fldCharType="end"/>
        </w:r>
      </w:hyperlink>
    </w:p>
    <w:p w14:paraId="0B32BA88" w14:textId="21526D87" w:rsidR="007312E2" w:rsidRDefault="007312E2">
      <w:pPr>
        <w:pStyle w:val="TOC2"/>
        <w:rPr>
          <w:rFonts w:asciiTheme="minorHAnsi" w:eastAsiaTheme="minorEastAsia" w:hAnsiTheme="minorHAnsi" w:cstheme="minorBidi"/>
          <w:i w:val="0"/>
          <w:iCs w:val="0"/>
          <w:sz w:val="24"/>
          <w:szCs w:val="24"/>
          <w:lang w:eastAsia="en-GB"/>
        </w:rPr>
      </w:pPr>
      <w:hyperlink w:anchor="_Toc200722092" w:history="1">
        <w:r w:rsidRPr="004A430F">
          <w:rPr>
            <w:rStyle w:val="Hyperlink"/>
          </w:rPr>
          <w:t>4.1. Cannabis use and its association with Paranoia</w:t>
        </w:r>
        <w:r>
          <w:rPr>
            <w:webHidden/>
          </w:rPr>
          <w:tab/>
        </w:r>
        <w:r>
          <w:rPr>
            <w:webHidden/>
          </w:rPr>
          <w:fldChar w:fldCharType="begin"/>
        </w:r>
        <w:r>
          <w:rPr>
            <w:webHidden/>
          </w:rPr>
          <w:instrText xml:space="preserve"> PAGEREF _Toc200722092 \h </w:instrText>
        </w:r>
        <w:r>
          <w:rPr>
            <w:webHidden/>
          </w:rPr>
        </w:r>
        <w:r>
          <w:rPr>
            <w:webHidden/>
          </w:rPr>
          <w:fldChar w:fldCharType="separate"/>
        </w:r>
        <w:r w:rsidR="001F2198">
          <w:rPr>
            <w:webHidden/>
          </w:rPr>
          <w:t>15</w:t>
        </w:r>
        <w:r>
          <w:rPr>
            <w:webHidden/>
          </w:rPr>
          <w:fldChar w:fldCharType="end"/>
        </w:r>
      </w:hyperlink>
    </w:p>
    <w:p w14:paraId="342AAA41" w14:textId="4553C583" w:rsidR="007312E2" w:rsidRDefault="007312E2">
      <w:pPr>
        <w:pStyle w:val="TOC2"/>
        <w:rPr>
          <w:rFonts w:asciiTheme="minorHAnsi" w:eastAsiaTheme="minorEastAsia" w:hAnsiTheme="minorHAnsi" w:cstheme="minorBidi"/>
          <w:i w:val="0"/>
          <w:iCs w:val="0"/>
          <w:sz w:val="24"/>
          <w:szCs w:val="24"/>
          <w:lang w:eastAsia="en-GB"/>
        </w:rPr>
      </w:pPr>
      <w:hyperlink w:anchor="_Toc200722093" w:history="1">
        <w:r w:rsidRPr="004A430F">
          <w:rPr>
            <w:rStyle w:val="Hyperlink"/>
          </w:rPr>
          <w:t>4.2. Childhood Trauma as a determinant of Cannabis Use</w:t>
        </w:r>
        <w:r>
          <w:rPr>
            <w:webHidden/>
          </w:rPr>
          <w:tab/>
        </w:r>
        <w:r>
          <w:rPr>
            <w:webHidden/>
          </w:rPr>
          <w:fldChar w:fldCharType="begin"/>
        </w:r>
        <w:r>
          <w:rPr>
            <w:webHidden/>
          </w:rPr>
          <w:instrText xml:space="preserve"> PAGEREF _Toc200722093 \h </w:instrText>
        </w:r>
        <w:r>
          <w:rPr>
            <w:webHidden/>
          </w:rPr>
        </w:r>
        <w:r>
          <w:rPr>
            <w:webHidden/>
          </w:rPr>
          <w:fldChar w:fldCharType="separate"/>
        </w:r>
        <w:r w:rsidR="001F2198">
          <w:rPr>
            <w:webHidden/>
          </w:rPr>
          <w:t>15</w:t>
        </w:r>
        <w:r>
          <w:rPr>
            <w:webHidden/>
          </w:rPr>
          <w:fldChar w:fldCharType="end"/>
        </w:r>
      </w:hyperlink>
    </w:p>
    <w:p w14:paraId="63D257F4" w14:textId="0509413C" w:rsidR="007312E2" w:rsidRDefault="007312E2">
      <w:pPr>
        <w:pStyle w:val="TOC2"/>
        <w:rPr>
          <w:rFonts w:asciiTheme="minorHAnsi" w:eastAsiaTheme="minorEastAsia" w:hAnsiTheme="minorHAnsi" w:cstheme="minorBidi"/>
          <w:i w:val="0"/>
          <w:iCs w:val="0"/>
          <w:sz w:val="24"/>
          <w:szCs w:val="24"/>
          <w:lang w:eastAsia="en-GB"/>
        </w:rPr>
      </w:pPr>
      <w:hyperlink w:anchor="_Toc200722094" w:history="1">
        <w:r w:rsidRPr="004A430F">
          <w:rPr>
            <w:rStyle w:val="Hyperlink"/>
          </w:rPr>
          <w:t>4.3. Cannabis Use as a Moderator Between Childhood Trauma and Paranoia</w:t>
        </w:r>
        <w:r>
          <w:rPr>
            <w:webHidden/>
          </w:rPr>
          <w:tab/>
        </w:r>
        <w:r>
          <w:rPr>
            <w:webHidden/>
          </w:rPr>
          <w:fldChar w:fldCharType="begin"/>
        </w:r>
        <w:r>
          <w:rPr>
            <w:webHidden/>
          </w:rPr>
          <w:instrText xml:space="preserve"> PAGEREF _Toc200722094 \h </w:instrText>
        </w:r>
        <w:r>
          <w:rPr>
            <w:webHidden/>
          </w:rPr>
        </w:r>
        <w:r>
          <w:rPr>
            <w:webHidden/>
          </w:rPr>
          <w:fldChar w:fldCharType="separate"/>
        </w:r>
        <w:r w:rsidR="001F2198">
          <w:rPr>
            <w:webHidden/>
          </w:rPr>
          <w:t>16</w:t>
        </w:r>
        <w:r>
          <w:rPr>
            <w:webHidden/>
          </w:rPr>
          <w:fldChar w:fldCharType="end"/>
        </w:r>
      </w:hyperlink>
    </w:p>
    <w:p w14:paraId="17850B67" w14:textId="699E6623" w:rsidR="007312E2" w:rsidRDefault="007312E2">
      <w:pPr>
        <w:pStyle w:val="TOC2"/>
        <w:rPr>
          <w:rFonts w:asciiTheme="minorHAnsi" w:eastAsiaTheme="minorEastAsia" w:hAnsiTheme="minorHAnsi" w:cstheme="minorBidi"/>
          <w:i w:val="0"/>
          <w:iCs w:val="0"/>
          <w:sz w:val="24"/>
          <w:szCs w:val="24"/>
          <w:lang w:eastAsia="en-GB"/>
        </w:rPr>
      </w:pPr>
      <w:hyperlink w:anchor="_Toc200722095" w:history="1">
        <w:r w:rsidRPr="004A430F">
          <w:rPr>
            <w:rStyle w:val="Hyperlink"/>
          </w:rPr>
          <w:t>4.4. Structural Equation Model Insights on Trauma, Cannabis Use, and Paranoia</w:t>
        </w:r>
        <w:r>
          <w:rPr>
            <w:webHidden/>
          </w:rPr>
          <w:tab/>
        </w:r>
        <w:r>
          <w:rPr>
            <w:webHidden/>
          </w:rPr>
          <w:fldChar w:fldCharType="begin"/>
        </w:r>
        <w:r>
          <w:rPr>
            <w:webHidden/>
          </w:rPr>
          <w:instrText xml:space="preserve"> PAGEREF _Toc200722095 \h </w:instrText>
        </w:r>
        <w:r>
          <w:rPr>
            <w:webHidden/>
          </w:rPr>
        </w:r>
        <w:r>
          <w:rPr>
            <w:webHidden/>
          </w:rPr>
          <w:fldChar w:fldCharType="separate"/>
        </w:r>
        <w:r w:rsidR="001F2198">
          <w:rPr>
            <w:webHidden/>
          </w:rPr>
          <w:t>16</w:t>
        </w:r>
        <w:r>
          <w:rPr>
            <w:webHidden/>
          </w:rPr>
          <w:fldChar w:fldCharType="end"/>
        </w:r>
      </w:hyperlink>
    </w:p>
    <w:p w14:paraId="66132723" w14:textId="1A282303" w:rsidR="007312E2" w:rsidRDefault="007312E2">
      <w:pPr>
        <w:pStyle w:val="TOC3"/>
        <w:rPr>
          <w:rFonts w:asciiTheme="minorHAnsi" w:eastAsiaTheme="minorEastAsia" w:hAnsiTheme="minorHAnsi" w:cstheme="minorBidi"/>
          <w:sz w:val="24"/>
          <w:szCs w:val="24"/>
          <w:lang w:eastAsia="en-GB"/>
        </w:rPr>
      </w:pPr>
      <w:hyperlink w:anchor="_Toc200722096" w:history="1">
        <w:r w:rsidRPr="004A430F">
          <w:rPr>
            <w:rStyle w:val="Hyperlink"/>
          </w:rPr>
          <w:t>Figure S5. Structural Equation Model – Traditional Cannabis Measures.</w:t>
        </w:r>
        <w:r>
          <w:rPr>
            <w:webHidden/>
          </w:rPr>
          <w:tab/>
        </w:r>
        <w:r>
          <w:rPr>
            <w:webHidden/>
          </w:rPr>
          <w:fldChar w:fldCharType="begin"/>
        </w:r>
        <w:r>
          <w:rPr>
            <w:webHidden/>
          </w:rPr>
          <w:instrText xml:space="preserve"> PAGEREF _Toc200722096 \h </w:instrText>
        </w:r>
        <w:r>
          <w:rPr>
            <w:webHidden/>
          </w:rPr>
        </w:r>
        <w:r>
          <w:rPr>
            <w:webHidden/>
          </w:rPr>
          <w:fldChar w:fldCharType="separate"/>
        </w:r>
        <w:r w:rsidR="001F2198">
          <w:rPr>
            <w:webHidden/>
          </w:rPr>
          <w:t>17</w:t>
        </w:r>
        <w:r>
          <w:rPr>
            <w:webHidden/>
          </w:rPr>
          <w:fldChar w:fldCharType="end"/>
        </w:r>
      </w:hyperlink>
    </w:p>
    <w:p w14:paraId="07D156D0" w14:textId="52732A1F" w:rsidR="007312E2" w:rsidRDefault="007312E2">
      <w:pPr>
        <w:pStyle w:val="TOC2"/>
        <w:rPr>
          <w:rFonts w:asciiTheme="minorHAnsi" w:eastAsiaTheme="minorEastAsia" w:hAnsiTheme="minorHAnsi" w:cstheme="minorBidi"/>
          <w:i w:val="0"/>
          <w:iCs w:val="0"/>
          <w:sz w:val="24"/>
          <w:szCs w:val="24"/>
          <w:lang w:eastAsia="en-GB"/>
        </w:rPr>
      </w:pPr>
      <w:hyperlink w:anchor="_Toc200722097" w:history="1">
        <w:r w:rsidRPr="004A430F">
          <w:rPr>
            <w:rStyle w:val="Hyperlink"/>
          </w:rPr>
          <w:t>4.5. Comparing THC Unit Analyses with Traditional Cannabis Use Measures</w:t>
        </w:r>
        <w:r>
          <w:rPr>
            <w:webHidden/>
          </w:rPr>
          <w:tab/>
        </w:r>
        <w:r>
          <w:rPr>
            <w:webHidden/>
          </w:rPr>
          <w:fldChar w:fldCharType="begin"/>
        </w:r>
        <w:r>
          <w:rPr>
            <w:webHidden/>
          </w:rPr>
          <w:instrText xml:space="preserve"> PAGEREF _Toc200722097 \h </w:instrText>
        </w:r>
        <w:r>
          <w:rPr>
            <w:webHidden/>
          </w:rPr>
        </w:r>
        <w:r>
          <w:rPr>
            <w:webHidden/>
          </w:rPr>
          <w:fldChar w:fldCharType="separate"/>
        </w:r>
        <w:r w:rsidR="001F2198">
          <w:rPr>
            <w:webHidden/>
          </w:rPr>
          <w:t>18</w:t>
        </w:r>
        <w:r>
          <w:rPr>
            <w:webHidden/>
          </w:rPr>
          <w:fldChar w:fldCharType="end"/>
        </w:r>
      </w:hyperlink>
    </w:p>
    <w:p w14:paraId="04FC2F06" w14:textId="6B7FF813" w:rsidR="007312E2" w:rsidRDefault="007312E2">
      <w:pPr>
        <w:pStyle w:val="TOC1"/>
        <w:rPr>
          <w:rFonts w:asciiTheme="minorHAnsi" w:eastAsiaTheme="minorEastAsia" w:hAnsiTheme="minorHAnsi" w:cstheme="minorBidi"/>
          <w:b w:val="0"/>
          <w:bCs w:val="0"/>
          <w:caps w:val="0"/>
          <w:lang w:eastAsia="en-GB"/>
        </w:rPr>
      </w:pPr>
      <w:hyperlink w:anchor="_Toc200722098" w:history="1">
        <w:r w:rsidRPr="004A430F">
          <w:rPr>
            <w:rStyle w:val="Hyperlink"/>
          </w:rPr>
          <w:t>5. Stratified Analyses by Gender</w:t>
        </w:r>
        <w:r>
          <w:rPr>
            <w:webHidden/>
          </w:rPr>
          <w:tab/>
        </w:r>
        <w:r>
          <w:rPr>
            <w:webHidden/>
          </w:rPr>
          <w:fldChar w:fldCharType="begin"/>
        </w:r>
        <w:r>
          <w:rPr>
            <w:webHidden/>
          </w:rPr>
          <w:instrText xml:space="preserve"> PAGEREF _Toc200722098 \h </w:instrText>
        </w:r>
        <w:r>
          <w:rPr>
            <w:webHidden/>
          </w:rPr>
        </w:r>
        <w:r>
          <w:rPr>
            <w:webHidden/>
          </w:rPr>
          <w:fldChar w:fldCharType="separate"/>
        </w:r>
        <w:r w:rsidR="001F2198">
          <w:rPr>
            <w:webHidden/>
          </w:rPr>
          <w:t>19</w:t>
        </w:r>
        <w:r>
          <w:rPr>
            <w:webHidden/>
          </w:rPr>
          <w:fldChar w:fldCharType="end"/>
        </w:r>
      </w:hyperlink>
    </w:p>
    <w:p w14:paraId="59A4BB44" w14:textId="5D2ADF84" w:rsidR="007312E2" w:rsidRDefault="007312E2">
      <w:pPr>
        <w:pStyle w:val="TOC3"/>
        <w:rPr>
          <w:rFonts w:asciiTheme="minorHAnsi" w:eastAsiaTheme="minorEastAsia" w:hAnsiTheme="minorHAnsi" w:cstheme="minorBidi"/>
          <w:sz w:val="24"/>
          <w:szCs w:val="24"/>
          <w:lang w:eastAsia="en-GB"/>
        </w:rPr>
      </w:pPr>
      <w:hyperlink w:anchor="_Toc200722099" w:history="1">
        <w:r w:rsidRPr="004A430F">
          <w:rPr>
            <w:rStyle w:val="Hyperlink"/>
          </w:rPr>
          <w:t>Figure S6A. Structural Equation Model – Males.</w:t>
        </w:r>
        <w:r>
          <w:rPr>
            <w:webHidden/>
          </w:rPr>
          <w:tab/>
        </w:r>
        <w:r>
          <w:rPr>
            <w:webHidden/>
          </w:rPr>
          <w:fldChar w:fldCharType="begin"/>
        </w:r>
        <w:r>
          <w:rPr>
            <w:webHidden/>
          </w:rPr>
          <w:instrText xml:space="preserve"> PAGEREF _Toc200722099 \h </w:instrText>
        </w:r>
        <w:r>
          <w:rPr>
            <w:webHidden/>
          </w:rPr>
        </w:r>
        <w:r>
          <w:rPr>
            <w:webHidden/>
          </w:rPr>
          <w:fldChar w:fldCharType="separate"/>
        </w:r>
        <w:r w:rsidR="001F2198">
          <w:rPr>
            <w:webHidden/>
          </w:rPr>
          <w:t>20</w:t>
        </w:r>
        <w:r>
          <w:rPr>
            <w:webHidden/>
          </w:rPr>
          <w:fldChar w:fldCharType="end"/>
        </w:r>
      </w:hyperlink>
    </w:p>
    <w:p w14:paraId="1FB1017D" w14:textId="24FE774F" w:rsidR="007312E2" w:rsidRDefault="007312E2">
      <w:pPr>
        <w:pStyle w:val="TOC3"/>
        <w:rPr>
          <w:rFonts w:asciiTheme="minorHAnsi" w:eastAsiaTheme="minorEastAsia" w:hAnsiTheme="minorHAnsi" w:cstheme="minorBidi"/>
          <w:sz w:val="24"/>
          <w:szCs w:val="24"/>
          <w:lang w:eastAsia="en-GB"/>
        </w:rPr>
      </w:pPr>
      <w:hyperlink w:anchor="_Toc200722100" w:history="1">
        <w:r w:rsidRPr="004A430F">
          <w:rPr>
            <w:rStyle w:val="Hyperlink"/>
          </w:rPr>
          <w:t>Figure S6B. Structural Equation Model – Females.</w:t>
        </w:r>
        <w:r>
          <w:rPr>
            <w:webHidden/>
          </w:rPr>
          <w:tab/>
        </w:r>
        <w:r>
          <w:rPr>
            <w:webHidden/>
          </w:rPr>
          <w:fldChar w:fldCharType="begin"/>
        </w:r>
        <w:r>
          <w:rPr>
            <w:webHidden/>
          </w:rPr>
          <w:instrText xml:space="preserve"> PAGEREF _Toc200722100 \h </w:instrText>
        </w:r>
        <w:r>
          <w:rPr>
            <w:webHidden/>
          </w:rPr>
        </w:r>
        <w:r>
          <w:rPr>
            <w:webHidden/>
          </w:rPr>
          <w:fldChar w:fldCharType="separate"/>
        </w:r>
        <w:r w:rsidR="001F2198">
          <w:rPr>
            <w:webHidden/>
          </w:rPr>
          <w:t>21</w:t>
        </w:r>
        <w:r>
          <w:rPr>
            <w:webHidden/>
          </w:rPr>
          <w:fldChar w:fldCharType="end"/>
        </w:r>
      </w:hyperlink>
    </w:p>
    <w:p w14:paraId="6492CD75" w14:textId="342C77E0" w:rsidR="007312E2" w:rsidRDefault="007312E2">
      <w:pPr>
        <w:pStyle w:val="TOC1"/>
        <w:rPr>
          <w:rFonts w:asciiTheme="minorHAnsi" w:eastAsiaTheme="minorEastAsia" w:hAnsiTheme="minorHAnsi" w:cstheme="minorBidi"/>
          <w:b w:val="0"/>
          <w:bCs w:val="0"/>
          <w:caps w:val="0"/>
          <w:lang w:eastAsia="en-GB"/>
        </w:rPr>
      </w:pPr>
      <w:hyperlink w:anchor="_Toc200722101" w:history="1">
        <w:r w:rsidRPr="004A430F">
          <w:rPr>
            <w:rStyle w:val="Hyperlink"/>
          </w:rPr>
          <w:t>6. Sensitivity Analyses Using Complete Cases</w:t>
        </w:r>
        <w:r>
          <w:rPr>
            <w:webHidden/>
          </w:rPr>
          <w:tab/>
        </w:r>
        <w:r>
          <w:rPr>
            <w:webHidden/>
          </w:rPr>
          <w:fldChar w:fldCharType="begin"/>
        </w:r>
        <w:r>
          <w:rPr>
            <w:webHidden/>
          </w:rPr>
          <w:instrText xml:space="preserve"> PAGEREF _Toc200722101 \h </w:instrText>
        </w:r>
        <w:r>
          <w:rPr>
            <w:webHidden/>
          </w:rPr>
        </w:r>
        <w:r>
          <w:rPr>
            <w:webHidden/>
          </w:rPr>
          <w:fldChar w:fldCharType="separate"/>
        </w:r>
        <w:r w:rsidR="001F2198">
          <w:rPr>
            <w:webHidden/>
          </w:rPr>
          <w:t>22</w:t>
        </w:r>
        <w:r>
          <w:rPr>
            <w:webHidden/>
          </w:rPr>
          <w:fldChar w:fldCharType="end"/>
        </w:r>
      </w:hyperlink>
    </w:p>
    <w:p w14:paraId="6EE0F26B" w14:textId="3A2AC707" w:rsidR="007312E2" w:rsidRDefault="007312E2">
      <w:pPr>
        <w:pStyle w:val="TOC3"/>
        <w:rPr>
          <w:rFonts w:asciiTheme="minorHAnsi" w:eastAsiaTheme="minorEastAsia" w:hAnsiTheme="minorHAnsi" w:cstheme="minorBidi"/>
          <w:sz w:val="24"/>
          <w:szCs w:val="24"/>
          <w:lang w:eastAsia="en-GB"/>
        </w:rPr>
      </w:pPr>
      <w:hyperlink w:anchor="_Toc200722102" w:history="1">
        <w:r w:rsidRPr="004A430F">
          <w:rPr>
            <w:rStyle w:val="Hyperlink"/>
          </w:rPr>
          <w:t>Figure S7. Structural Equation Model – Complete Cases.</w:t>
        </w:r>
        <w:r>
          <w:rPr>
            <w:webHidden/>
          </w:rPr>
          <w:tab/>
        </w:r>
        <w:r>
          <w:rPr>
            <w:webHidden/>
          </w:rPr>
          <w:fldChar w:fldCharType="begin"/>
        </w:r>
        <w:r>
          <w:rPr>
            <w:webHidden/>
          </w:rPr>
          <w:instrText xml:space="preserve"> PAGEREF _Toc200722102 \h </w:instrText>
        </w:r>
        <w:r>
          <w:rPr>
            <w:webHidden/>
          </w:rPr>
        </w:r>
        <w:r>
          <w:rPr>
            <w:webHidden/>
          </w:rPr>
          <w:fldChar w:fldCharType="separate"/>
        </w:r>
        <w:r w:rsidR="001F2198">
          <w:rPr>
            <w:webHidden/>
          </w:rPr>
          <w:t>22</w:t>
        </w:r>
        <w:r>
          <w:rPr>
            <w:webHidden/>
          </w:rPr>
          <w:fldChar w:fldCharType="end"/>
        </w:r>
      </w:hyperlink>
    </w:p>
    <w:p w14:paraId="46C0E8CF" w14:textId="61C07CCC" w:rsidR="007312E2" w:rsidRDefault="007312E2">
      <w:pPr>
        <w:pStyle w:val="TOC1"/>
        <w:rPr>
          <w:rFonts w:asciiTheme="minorHAnsi" w:eastAsiaTheme="minorEastAsia" w:hAnsiTheme="minorHAnsi" w:cstheme="minorBidi"/>
          <w:b w:val="0"/>
          <w:bCs w:val="0"/>
          <w:caps w:val="0"/>
          <w:lang w:eastAsia="en-GB"/>
        </w:rPr>
      </w:pPr>
      <w:hyperlink w:anchor="_Toc200722103" w:history="1">
        <w:r w:rsidRPr="004A430F">
          <w:rPr>
            <w:rStyle w:val="Hyperlink"/>
          </w:rPr>
          <w:t>7. Clinical Thresholds of Paranoia</w:t>
        </w:r>
        <w:r>
          <w:rPr>
            <w:webHidden/>
          </w:rPr>
          <w:tab/>
        </w:r>
        <w:r>
          <w:rPr>
            <w:webHidden/>
          </w:rPr>
          <w:fldChar w:fldCharType="begin"/>
        </w:r>
        <w:r>
          <w:rPr>
            <w:webHidden/>
          </w:rPr>
          <w:instrText xml:space="preserve"> PAGEREF _Toc200722103 \h </w:instrText>
        </w:r>
        <w:r>
          <w:rPr>
            <w:webHidden/>
          </w:rPr>
        </w:r>
        <w:r>
          <w:rPr>
            <w:webHidden/>
          </w:rPr>
          <w:fldChar w:fldCharType="separate"/>
        </w:r>
        <w:r w:rsidR="001F2198">
          <w:rPr>
            <w:webHidden/>
          </w:rPr>
          <w:t>23</w:t>
        </w:r>
        <w:r>
          <w:rPr>
            <w:webHidden/>
          </w:rPr>
          <w:fldChar w:fldCharType="end"/>
        </w:r>
      </w:hyperlink>
    </w:p>
    <w:p w14:paraId="71B02370" w14:textId="1197D4C0" w:rsidR="007312E2" w:rsidRDefault="007312E2">
      <w:pPr>
        <w:pStyle w:val="TOC2"/>
        <w:rPr>
          <w:rFonts w:asciiTheme="minorHAnsi" w:eastAsiaTheme="minorEastAsia" w:hAnsiTheme="minorHAnsi" w:cstheme="minorBidi"/>
          <w:i w:val="0"/>
          <w:iCs w:val="0"/>
          <w:sz w:val="24"/>
          <w:szCs w:val="24"/>
          <w:lang w:eastAsia="en-GB"/>
        </w:rPr>
      </w:pPr>
      <w:hyperlink w:anchor="_Toc200722104" w:history="1">
        <w:r w:rsidRPr="004A430F">
          <w:rPr>
            <w:rStyle w:val="Hyperlink"/>
          </w:rPr>
          <w:t>7.1. Defining Paranoia Severity Categories</w:t>
        </w:r>
        <w:r>
          <w:rPr>
            <w:webHidden/>
          </w:rPr>
          <w:tab/>
        </w:r>
        <w:r>
          <w:rPr>
            <w:webHidden/>
          </w:rPr>
          <w:fldChar w:fldCharType="begin"/>
        </w:r>
        <w:r>
          <w:rPr>
            <w:webHidden/>
          </w:rPr>
          <w:instrText xml:space="preserve"> PAGEREF _Toc200722104 \h </w:instrText>
        </w:r>
        <w:r>
          <w:rPr>
            <w:webHidden/>
          </w:rPr>
        </w:r>
        <w:r>
          <w:rPr>
            <w:webHidden/>
          </w:rPr>
          <w:fldChar w:fldCharType="separate"/>
        </w:r>
        <w:r w:rsidR="001F2198">
          <w:rPr>
            <w:webHidden/>
          </w:rPr>
          <w:t>23</w:t>
        </w:r>
        <w:r>
          <w:rPr>
            <w:webHidden/>
          </w:rPr>
          <w:fldChar w:fldCharType="end"/>
        </w:r>
      </w:hyperlink>
    </w:p>
    <w:p w14:paraId="0D4C8284" w14:textId="08C127E9" w:rsidR="007312E2" w:rsidRDefault="007312E2">
      <w:pPr>
        <w:pStyle w:val="TOC3"/>
        <w:rPr>
          <w:rFonts w:asciiTheme="minorHAnsi" w:eastAsiaTheme="minorEastAsia" w:hAnsiTheme="minorHAnsi" w:cstheme="minorBidi"/>
          <w:sz w:val="24"/>
          <w:szCs w:val="24"/>
          <w:lang w:eastAsia="en-GB"/>
        </w:rPr>
      </w:pPr>
      <w:hyperlink w:anchor="_Toc200722105" w:history="1">
        <w:r w:rsidRPr="004A430F">
          <w:rPr>
            <w:rStyle w:val="Hyperlink"/>
          </w:rPr>
          <w:t>Figure S8. Density plot of GPTS total scores with Clinical Thresholds.</w:t>
        </w:r>
        <w:r>
          <w:rPr>
            <w:webHidden/>
          </w:rPr>
          <w:tab/>
        </w:r>
        <w:r>
          <w:rPr>
            <w:webHidden/>
          </w:rPr>
          <w:fldChar w:fldCharType="begin"/>
        </w:r>
        <w:r>
          <w:rPr>
            <w:webHidden/>
          </w:rPr>
          <w:instrText xml:space="preserve"> PAGEREF _Toc200722105 \h </w:instrText>
        </w:r>
        <w:r>
          <w:rPr>
            <w:webHidden/>
          </w:rPr>
        </w:r>
        <w:r>
          <w:rPr>
            <w:webHidden/>
          </w:rPr>
          <w:fldChar w:fldCharType="separate"/>
        </w:r>
        <w:r w:rsidR="001F2198">
          <w:rPr>
            <w:webHidden/>
          </w:rPr>
          <w:t>24</w:t>
        </w:r>
        <w:r>
          <w:rPr>
            <w:webHidden/>
          </w:rPr>
          <w:fldChar w:fldCharType="end"/>
        </w:r>
      </w:hyperlink>
    </w:p>
    <w:p w14:paraId="4B37BB20" w14:textId="23DE98EA" w:rsidR="007312E2" w:rsidRDefault="007312E2">
      <w:pPr>
        <w:pStyle w:val="TOC2"/>
        <w:rPr>
          <w:rFonts w:asciiTheme="minorHAnsi" w:eastAsiaTheme="minorEastAsia" w:hAnsiTheme="minorHAnsi" w:cstheme="minorBidi"/>
          <w:i w:val="0"/>
          <w:iCs w:val="0"/>
          <w:sz w:val="24"/>
          <w:szCs w:val="24"/>
          <w:lang w:eastAsia="en-GB"/>
        </w:rPr>
      </w:pPr>
      <w:hyperlink w:anchor="_Toc200722106" w:history="1">
        <w:r w:rsidRPr="004A430F">
          <w:rPr>
            <w:rStyle w:val="Hyperlink"/>
          </w:rPr>
          <w:t>7.2. Paranoia Severity Across Trauma Exposure</w:t>
        </w:r>
        <w:r>
          <w:rPr>
            <w:webHidden/>
          </w:rPr>
          <w:tab/>
        </w:r>
        <w:r>
          <w:rPr>
            <w:webHidden/>
          </w:rPr>
          <w:fldChar w:fldCharType="begin"/>
        </w:r>
        <w:r>
          <w:rPr>
            <w:webHidden/>
          </w:rPr>
          <w:instrText xml:space="preserve"> PAGEREF _Toc200722106 \h </w:instrText>
        </w:r>
        <w:r>
          <w:rPr>
            <w:webHidden/>
          </w:rPr>
        </w:r>
        <w:r>
          <w:rPr>
            <w:webHidden/>
          </w:rPr>
          <w:fldChar w:fldCharType="separate"/>
        </w:r>
        <w:r w:rsidR="001F2198">
          <w:rPr>
            <w:webHidden/>
          </w:rPr>
          <w:t>25</w:t>
        </w:r>
        <w:r>
          <w:rPr>
            <w:webHidden/>
          </w:rPr>
          <w:fldChar w:fldCharType="end"/>
        </w:r>
      </w:hyperlink>
    </w:p>
    <w:p w14:paraId="341284CE" w14:textId="5438329D" w:rsidR="007312E2" w:rsidRDefault="007312E2">
      <w:pPr>
        <w:pStyle w:val="TOC3"/>
        <w:rPr>
          <w:rFonts w:asciiTheme="minorHAnsi" w:eastAsiaTheme="minorEastAsia" w:hAnsiTheme="minorHAnsi" w:cstheme="minorBidi"/>
          <w:sz w:val="24"/>
          <w:szCs w:val="24"/>
          <w:lang w:eastAsia="en-GB"/>
        </w:rPr>
      </w:pPr>
      <w:hyperlink w:anchor="_Toc200722107" w:history="1">
        <w:r w:rsidRPr="004A430F">
          <w:rPr>
            <w:rStyle w:val="Hyperlink"/>
          </w:rPr>
          <w:t>Figure S9. Proportion of Paranoia Severity by Trauma Exposure.</w:t>
        </w:r>
        <w:r>
          <w:rPr>
            <w:webHidden/>
          </w:rPr>
          <w:tab/>
        </w:r>
        <w:r>
          <w:rPr>
            <w:webHidden/>
          </w:rPr>
          <w:fldChar w:fldCharType="begin"/>
        </w:r>
        <w:r>
          <w:rPr>
            <w:webHidden/>
          </w:rPr>
          <w:instrText xml:space="preserve"> PAGEREF _Toc200722107 \h </w:instrText>
        </w:r>
        <w:r>
          <w:rPr>
            <w:webHidden/>
          </w:rPr>
        </w:r>
        <w:r>
          <w:rPr>
            <w:webHidden/>
          </w:rPr>
          <w:fldChar w:fldCharType="separate"/>
        </w:r>
        <w:r w:rsidR="001F2198">
          <w:rPr>
            <w:webHidden/>
          </w:rPr>
          <w:t>25</w:t>
        </w:r>
        <w:r>
          <w:rPr>
            <w:webHidden/>
          </w:rPr>
          <w:fldChar w:fldCharType="end"/>
        </w:r>
      </w:hyperlink>
    </w:p>
    <w:p w14:paraId="457DA5EE" w14:textId="7E3AADEB" w:rsidR="007312E2" w:rsidRDefault="007312E2">
      <w:pPr>
        <w:pStyle w:val="TOC2"/>
        <w:rPr>
          <w:rFonts w:asciiTheme="minorHAnsi" w:eastAsiaTheme="minorEastAsia" w:hAnsiTheme="minorHAnsi" w:cstheme="minorBidi"/>
          <w:i w:val="0"/>
          <w:iCs w:val="0"/>
          <w:sz w:val="24"/>
          <w:szCs w:val="24"/>
          <w:lang w:eastAsia="en-GB"/>
        </w:rPr>
      </w:pPr>
      <w:hyperlink w:anchor="_Toc200722108" w:history="1">
        <w:r w:rsidRPr="004A430F">
          <w:rPr>
            <w:rStyle w:val="Hyperlink"/>
          </w:rPr>
          <w:t>7.3. THC Unit Distribution by Paranoia Category</w:t>
        </w:r>
        <w:r>
          <w:rPr>
            <w:webHidden/>
          </w:rPr>
          <w:tab/>
        </w:r>
        <w:r>
          <w:rPr>
            <w:webHidden/>
          </w:rPr>
          <w:fldChar w:fldCharType="begin"/>
        </w:r>
        <w:r>
          <w:rPr>
            <w:webHidden/>
          </w:rPr>
          <w:instrText xml:space="preserve"> PAGEREF _Toc200722108 \h </w:instrText>
        </w:r>
        <w:r>
          <w:rPr>
            <w:webHidden/>
          </w:rPr>
        </w:r>
        <w:r>
          <w:rPr>
            <w:webHidden/>
          </w:rPr>
          <w:fldChar w:fldCharType="separate"/>
        </w:r>
        <w:r w:rsidR="001F2198">
          <w:rPr>
            <w:webHidden/>
          </w:rPr>
          <w:t>26</w:t>
        </w:r>
        <w:r>
          <w:rPr>
            <w:webHidden/>
          </w:rPr>
          <w:fldChar w:fldCharType="end"/>
        </w:r>
      </w:hyperlink>
    </w:p>
    <w:p w14:paraId="0053862A" w14:textId="72659935" w:rsidR="007312E2" w:rsidRDefault="007312E2">
      <w:pPr>
        <w:pStyle w:val="TOC3"/>
        <w:rPr>
          <w:rFonts w:asciiTheme="minorHAnsi" w:eastAsiaTheme="minorEastAsia" w:hAnsiTheme="minorHAnsi" w:cstheme="minorBidi"/>
          <w:sz w:val="24"/>
          <w:szCs w:val="24"/>
          <w:lang w:eastAsia="en-GB"/>
        </w:rPr>
      </w:pPr>
      <w:hyperlink w:anchor="_Toc200722109" w:history="1">
        <w:r w:rsidRPr="004A430F">
          <w:rPr>
            <w:rStyle w:val="Hyperlink"/>
          </w:rPr>
          <w:t>Figure S10. THC Unit Distribution Across Paranoia Categories.</w:t>
        </w:r>
        <w:r>
          <w:rPr>
            <w:webHidden/>
          </w:rPr>
          <w:tab/>
        </w:r>
        <w:r>
          <w:rPr>
            <w:webHidden/>
          </w:rPr>
          <w:fldChar w:fldCharType="begin"/>
        </w:r>
        <w:r>
          <w:rPr>
            <w:webHidden/>
          </w:rPr>
          <w:instrText xml:space="preserve"> PAGEREF _Toc200722109 \h </w:instrText>
        </w:r>
        <w:r>
          <w:rPr>
            <w:webHidden/>
          </w:rPr>
        </w:r>
        <w:r>
          <w:rPr>
            <w:webHidden/>
          </w:rPr>
          <w:fldChar w:fldCharType="separate"/>
        </w:r>
        <w:r w:rsidR="001F2198">
          <w:rPr>
            <w:webHidden/>
          </w:rPr>
          <w:t>26</w:t>
        </w:r>
        <w:r>
          <w:rPr>
            <w:webHidden/>
          </w:rPr>
          <w:fldChar w:fldCharType="end"/>
        </w:r>
      </w:hyperlink>
    </w:p>
    <w:p w14:paraId="1F4E9F8C" w14:textId="0ED6EB8A" w:rsidR="007312E2" w:rsidRDefault="007312E2">
      <w:pPr>
        <w:pStyle w:val="TOC2"/>
        <w:rPr>
          <w:rFonts w:asciiTheme="minorHAnsi" w:eastAsiaTheme="minorEastAsia" w:hAnsiTheme="minorHAnsi" w:cstheme="minorBidi"/>
          <w:i w:val="0"/>
          <w:iCs w:val="0"/>
          <w:sz w:val="24"/>
          <w:szCs w:val="24"/>
          <w:lang w:eastAsia="en-GB"/>
        </w:rPr>
      </w:pPr>
      <w:hyperlink w:anchor="_Toc200722110" w:history="1">
        <w:r w:rsidRPr="004A430F">
          <w:rPr>
            <w:rStyle w:val="Hyperlink"/>
          </w:rPr>
          <w:t>7.4. THC by Paranoia and Trauma Exposure</w:t>
        </w:r>
        <w:r>
          <w:rPr>
            <w:webHidden/>
          </w:rPr>
          <w:tab/>
        </w:r>
        <w:r>
          <w:rPr>
            <w:webHidden/>
          </w:rPr>
          <w:fldChar w:fldCharType="begin"/>
        </w:r>
        <w:r>
          <w:rPr>
            <w:webHidden/>
          </w:rPr>
          <w:instrText xml:space="preserve"> PAGEREF _Toc200722110 \h </w:instrText>
        </w:r>
        <w:r>
          <w:rPr>
            <w:webHidden/>
          </w:rPr>
        </w:r>
        <w:r>
          <w:rPr>
            <w:webHidden/>
          </w:rPr>
          <w:fldChar w:fldCharType="separate"/>
        </w:r>
        <w:r w:rsidR="001F2198">
          <w:rPr>
            <w:webHidden/>
          </w:rPr>
          <w:t>27</w:t>
        </w:r>
        <w:r>
          <w:rPr>
            <w:webHidden/>
          </w:rPr>
          <w:fldChar w:fldCharType="end"/>
        </w:r>
      </w:hyperlink>
    </w:p>
    <w:p w14:paraId="264B90BC" w14:textId="06C53483" w:rsidR="007312E2" w:rsidRDefault="007312E2">
      <w:pPr>
        <w:pStyle w:val="TOC3"/>
        <w:rPr>
          <w:rFonts w:asciiTheme="minorHAnsi" w:eastAsiaTheme="minorEastAsia" w:hAnsiTheme="minorHAnsi" w:cstheme="minorBidi"/>
          <w:sz w:val="24"/>
          <w:szCs w:val="24"/>
          <w:lang w:eastAsia="en-GB"/>
        </w:rPr>
      </w:pPr>
      <w:hyperlink w:anchor="_Toc200722111" w:history="1">
        <w:r w:rsidRPr="004A430F">
          <w:rPr>
            <w:rStyle w:val="Hyperlink"/>
          </w:rPr>
          <w:t>Figure S11. THC Unit Consumption by Paranoia Levels and Trauma Exposure.</w:t>
        </w:r>
        <w:r>
          <w:rPr>
            <w:webHidden/>
          </w:rPr>
          <w:tab/>
        </w:r>
        <w:r>
          <w:rPr>
            <w:webHidden/>
          </w:rPr>
          <w:fldChar w:fldCharType="begin"/>
        </w:r>
        <w:r>
          <w:rPr>
            <w:webHidden/>
          </w:rPr>
          <w:instrText xml:space="preserve"> PAGEREF _Toc200722111 \h </w:instrText>
        </w:r>
        <w:r>
          <w:rPr>
            <w:webHidden/>
          </w:rPr>
        </w:r>
        <w:r>
          <w:rPr>
            <w:webHidden/>
          </w:rPr>
          <w:fldChar w:fldCharType="separate"/>
        </w:r>
        <w:r w:rsidR="001F2198">
          <w:rPr>
            <w:webHidden/>
          </w:rPr>
          <w:t>28</w:t>
        </w:r>
        <w:r>
          <w:rPr>
            <w:webHidden/>
          </w:rPr>
          <w:fldChar w:fldCharType="end"/>
        </w:r>
      </w:hyperlink>
    </w:p>
    <w:p w14:paraId="3BFC3A1D" w14:textId="7F65667A" w:rsidR="007312E2" w:rsidRDefault="007312E2">
      <w:pPr>
        <w:pStyle w:val="TOC2"/>
        <w:rPr>
          <w:rFonts w:asciiTheme="minorHAnsi" w:eastAsiaTheme="minorEastAsia" w:hAnsiTheme="minorHAnsi" w:cstheme="minorBidi"/>
          <w:i w:val="0"/>
          <w:iCs w:val="0"/>
          <w:sz w:val="24"/>
          <w:szCs w:val="24"/>
          <w:lang w:eastAsia="en-GB"/>
        </w:rPr>
      </w:pPr>
      <w:hyperlink w:anchor="_Toc200722112" w:history="1">
        <w:r w:rsidRPr="004A430F">
          <w:rPr>
            <w:rStyle w:val="Hyperlink"/>
          </w:rPr>
          <w:t>7.5. Bridging General Population Findings to Clinical Relevance</w:t>
        </w:r>
        <w:r>
          <w:rPr>
            <w:webHidden/>
          </w:rPr>
          <w:tab/>
        </w:r>
        <w:r>
          <w:rPr>
            <w:webHidden/>
          </w:rPr>
          <w:fldChar w:fldCharType="begin"/>
        </w:r>
        <w:r>
          <w:rPr>
            <w:webHidden/>
          </w:rPr>
          <w:instrText xml:space="preserve"> PAGEREF _Toc200722112 \h </w:instrText>
        </w:r>
        <w:r>
          <w:rPr>
            <w:webHidden/>
          </w:rPr>
        </w:r>
        <w:r>
          <w:rPr>
            <w:webHidden/>
          </w:rPr>
          <w:fldChar w:fldCharType="separate"/>
        </w:r>
        <w:r w:rsidR="001F2198">
          <w:rPr>
            <w:webHidden/>
          </w:rPr>
          <w:t>28</w:t>
        </w:r>
        <w:r>
          <w:rPr>
            <w:webHidden/>
          </w:rPr>
          <w:fldChar w:fldCharType="end"/>
        </w:r>
      </w:hyperlink>
    </w:p>
    <w:p w14:paraId="41CF397D" w14:textId="0CB40B32" w:rsidR="00C938EA" w:rsidRDefault="00C6454B" w:rsidP="00DB428F">
      <w:pPr>
        <w:pStyle w:val="TOC2"/>
        <w:rPr>
          <w:rFonts w:eastAsiaTheme="majorEastAsia" w:cstheme="majorBidi"/>
          <w:color w:val="0F4761" w:themeColor="accent1" w:themeShade="BF"/>
          <w:sz w:val="28"/>
          <w:szCs w:val="28"/>
        </w:rPr>
      </w:pPr>
      <w:r w:rsidRPr="00073383">
        <w:rPr>
          <w:rFonts w:ascii="Calibri" w:hAnsi="Calibri" w:cs="Calibri"/>
          <w:b/>
          <w:bCs/>
          <w:i w:val="0"/>
          <w:iCs w:val="0"/>
          <w:sz w:val="24"/>
          <w:szCs w:val="24"/>
        </w:rPr>
        <w:fldChar w:fldCharType="end"/>
      </w:r>
    </w:p>
    <w:p w14:paraId="662DB1D8" w14:textId="6ABFE7FB" w:rsidR="00C938EA" w:rsidRDefault="00055DC7" w:rsidP="00055DC7">
      <w:pPr>
        <w:tabs>
          <w:tab w:val="left" w:pos="5920"/>
        </w:tabs>
        <w:rPr>
          <w:rFonts w:eastAsiaTheme="majorEastAsia" w:cstheme="majorBidi"/>
          <w:color w:val="0F4761" w:themeColor="accent1" w:themeShade="BF"/>
          <w:sz w:val="28"/>
          <w:szCs w:val="28"/>
        </w:rPr>
      </w:pPr>
      <w:r>
        <w:rPr>
          <w:rFonts w:eastAsiaTheme="majorEastAsia" w:cstheme="majorBidi"/>
          <w:color w:val="0F4761" w:themeColor="accent1" w:themeShade="BF"/>
          <w:sz w:val="28"/>
          <w:szCs w:val="28"/>
        </w:rPr>
        <w:tab/>
      </w:r>
    </w:p>
    <w:p w14:paraId="40BA3AC3" w14:textId="6B3A1D0C" w:rsidR="00C938EA" w:rsidRPr="00C938EA" w:rsidRDefault="00C938EA" w:rsidP="00C938EA">
      <w:pPr>
        <w:tabs>
          <w:tab w:val="center" w:pos="4513"/>
        </w:tabs>
        <w:sectPr w:rsidR="00C938EA" w:rsidRPr="00C938EA" w:rsidSect="007A5A93">
          <w:footerReference w:type="even" r:id="rId8"/>
          <w:footerReference w:type="default" r:id="rId9"/>
          <w:pgSz w:w="11906" w:h="16838"/>
          <w:pgMar w:top="1440" w:right="1440" w:bottom="1440" w:left="1440" w:header="708" w:footer="708" w:gutter="0"/>
          <w:cols w:space="708"/>
          <w:titlePg/>
          <w:docGrid w:linePitch="360"/>
        </w:sectPr>
      </w:pPr>
      <w:r>
        <w:tab/>
      </w:r>
    </w:p>
    <w:p w14:paraId="3AB1C2F9" w14:textId="684918B3" w:rsidR="002B4DD3" w:rsidRDefault="004B56E2" w:rsidP="008C5A44">
      <w:pPr>
        <w:pStyle w:val="HeadingTOC"/>
        <w:spacing w:after="240" w:line="480" w:lineRule="auto"/>
        <w:outlineLvl w:val="0"/>
      </w:pPr>
      <w:bookmarkStart w:id="0" w:name="_Toc200722075"/>
      <w:r w:rsidRPr="004B56E2">
        <w:lastRenderedPageBreak/>
        <w:t>1.</w:t>
      </w:r>
      <w:r>
        <w:t xml:space="preserve"> </w:t>
      </w:r>
      <w:r w:rsidR="001D29D5" w:rsidRPr="00300608">
        <w:t>Participant Recruitment, Sample Composition, and Subgroup Breakdown</w:t>
      </w:r>
      <w:bookmarkEnd w:id="0"/>
    </w:p>
    <w:p w14:paraId="45713D78" w14:textId="381B2887" w:rsidR="002B4DD3" w:rsidRPr="002B4DD3" w:rsidRDefault="004B56E2" w:rsidP="008C5A44">
      <w:pPr>
        <w:pStyle w:val="Heading2"/>
        <w:spacing w:before="0" w:after="240" w:line="480" w:lineRule="auto"/>
      </w:pPr>
      <w:bookmarkStart w:id="1" w:name="_Toc200722076"/>
      <w:r>
        <w:rPr>
          <w:rFonts w:ascii="Calibri" w:eastAsiaTheme="minorHAnsi" w:hAnsi="Calibri" w:cs="Calibri"/>
          <w:i/>
          <w:iCs/>
          <w:noProof/>
          <w:color w:val="auto"/>
          <w:sz w:val="22"/>
          <w:szCs w:val="22"/>
        </w:rPr>
        <w:t xml:space="preserve">1.1. </w:t>
      </w:r>
      <w:r w:rsidR="002B4DD3" w:rsidRPr="002B4DD3">
        <w:rPr>
          <w:rFonts w:ascii="Calibri" w:eastAsiaTheme="minorHAnsi" w:hAnsi="Calibri" w:cs="Calibri"/>
          <w:i/>
          <w:iCs/>
          <w:noProof/>
          <w:color w:val="auto"/>
          <w:sz w:val="22"/>
          <w:szCs w:val="22"/>
        </w:rPr>
        <w:t>Recruitment and Sample Composition</w:t>
      </w:r>
      <w:bookmarkEnd w:id="1"/>
    </w:p>
    <w:p w14:paraId="12AE6C3D" w14:textId="3EB437E7" w:rsidR="003A14AC" w:rsidRPr="003A14AC" w:rsidRDefault="003A14AC" w:rsidP="008C5A44">
      <w:pPr>
        <w:spacing w:after="240" w:line="480" w:lineRule="auto"/>
        <w:jc w:val="both"/>
        <w:rPr>
          <w:rFonts w:ascii="Calibri" w:hAnsi="Calibri" w:cs="Calibri"/>
          <w:noProof/>
          <w:sz w:val="22"/>
          <w:szCs w:val="22"/>
        </w:rPr>
      </w:pPr>
      <w:r>
        <w:rPr>
          <w:rFonts w:ascii="Calibri" w:hAnsi="Calibri" w:cs="Calibri"/>
          <w:noProof/>
          <w:sz w:val="22"/>
          <w:szCs w:val="22"/>
        </w:rPr>
        <w:t xml:space="preserve">As part of the Cannabis&amp;Me </w:t>
      </w:r>
      <w:r w:rsidR="009E1E00">
        <w:rPr>
          <w:rFonts w:ascii="Calibri" w:hAnsi="Calibri" w:cs="Calibri"/>
          <w:noProof/>
          <w:sz w:val="22"/>
          <w:szCs w:val="22"/>
        </w:rPr>
        <w:t xml:space="preserve">(CAMe) </w:t>
      </w:r>
      <w:r>
        <w:rPr>
          <w:rFonts w:ascii="Calibri" w:hAnsi="Calibri" w:cs="Calibri"/>
          <w:noProof/>
          <w:sz w:val="22"/>
          <w:szCs w:val="22"/>
        </w:rPr>
        <w:t xml:space="preserve">study, 4,858 participants were recruited through an online survey. After </w:t>
      </w:r>
      <w:r w:rsidR="009E1E00">
        <w:rPr>
          <w:rFonts w:ascii="Calibri" w:hAnsi="Calibri" w:cs="Calibri"/>
          <w:noProof/>
          <w:sz w:val="22"/>
          <w:szCs w:val="22"/>
        </w:rPr>
        <w:t>excluding</w:t>
      </w:r>
      <w:r>
        <w:rPr>
          <w:rFonts w:ascii="Calibri" w:hAnsi="Calibri" w:cs="Calibri"/>
          <w:noProof/>
          <w:sz w:val="22"/>
          <w:szCs w:val="22"/>
        </w:rPr>
        <w:t xml:space="preserve"> </w:t>
      </w:r>
      <w:r w:rsidR="009E1E00">
        <w:rPr>
          <w:rFonts w:ascii="Calibri" w:hAnsi="Calibri" w:cs="Calibri"/>
          <w:noProof/>
          <w:sz w:val="22"/>
          <w:szCs w:val="22"/>
        </w:rPr>
        <w:t xml:space="preserve">106 </w:t>
      </w:r>
      <w:r>
        <w:rPr>
          <w:rFonts w:ascii="Calibri" w:hAnsi="Calibri" w:cs="Calibri"/>
          <w:noProof/>
          <w:sz w:val="22"/>
          <w:szCs w:val="22"/>
        </w:rPr>
        <w:t xml:space="preserve">duplicate </w:t>
      </w:r>
      <w:r w:rsidR="009E1E00">
        <w:rPr>
          <w:rFonts w:ascii="Calibri" w:hAnsi="Calibri" w:cs="Calibri"/>
          <w:noProof/>
          <w:sz w:val="22"/>
          <w:szCs w:val="22"/>
        </w:rPr>
        <w:t>and 8</w:t>
      </w:r>
      <w:r>
        <w:rPr>
          <w:rFonts w:ascii="Calibri" w:hAnsi="Calibri" w:cs="Calibri"/>
          <w:noProof/>
          <w:sz w:val="22"/>
          <w:szCs w:val="22"/>
        </w:rPr>
        <w:t xml:space="preserve"> triplicate responses, </w:t>
      </w:r>
      <w:r w:rsidR="009E1E00">
        <w:rPr>
          <w:rFonts w:ascii="Calibri" w:hAnsi="Calibri" w:cs="Calibri"/>
          <w:noProof/>
          <w:sz w:val="22"/>
          <w:szCs w:val="22"/>
        </w:rPr>
        <w:t xml:space="preserve">a total of </w:t>
      </w:r>
      <w:r>
        <w:rPr>
          <w:rFonts w:ascii="Calibri" w:hAnsi="Calibri" w:cs="Calibri"/>
          <w:noProof/>
          <w:sz w:val="22"/>
          <w:szCs w:val="22"/>
        </w:rPr>
        <w:t>4,736 unique participants remained in the final sample (</w:t>
      </w:r>
      <w:r>
        <w:rPr>
          <w:rFonts w:ascii="Calibri" w:hAnsi="Calibri" w:cs="Calibri"/>
          <w:b/>
          <w:bCs/>
          <w:noProof/>
          <w:sz w:val="22"/>
          <w:szCs w:val="22"/>
        </w:rPr>
        <w:t>Figure S1</w:t>
      </w:r>
      <w:r>
        <w:rPr>
          <w:rFonts w:ascii="Calibri" w:hAnsi="Calibri" w:cs="Calibri"/>
          <w:noProof/>
          <w:sz w:val="22"/>
          <w:szCs w:val="22"/>
        </w:rPr>
        <w:t xml:space="preserve">). Among </w:t>
      </w:r>
      <w:r w:rsidR="009E1E00">
        <w:rPr>
          <w:rFonts w:ascii="Calibri" w:hAnsi="Calibri" w:cs="Calibri"/>
          <w:noProof/>
          <w:sz w:val="22"/>
          <w:szCs w:val="22"/>
        </w:rPr>
        <w:t>them</w:t>
      </w:r>
      <w:r>
        <w:rPr>
          <w:rFonts w:ascii="Calibri" w:hAnsi="Calibri" w:cs="Calibri"/>
          <w:noProof/>
          <w:sz w:val="22"/>
          <w:szCs w:val="22"/>
        </w:rPr>
        <w:t xml:space="preserve">, 1,347 participants (28.5%) reported never using cannabis, while the remaining 3,389 individuals (71.5%) were classified as lifetime cannabis users. </w:t>
      </w:r>
      <w:r w:rsidR="00B97F61">
        <w:rPr>
          <w:rFonts w:ascii="Calibri" w:hAnsi="Calibri" w:cs="Calibri"/>
          <w:noProof/>
          <w:sz w:val="22"/>
          <w:szCs w:val="22"/>
        </w:rPr>
        <w:t>This group</w:t>
      </w:r>
      <w:r>
        <w:rPr>
          <w:rFonts w:ascii="Calibri" w:hAnsi="Calibri" w:cs="Calibri"/>
          <w:noProof/>
          <w:sz w:val="22"/>
          <w:szCs w:val="22"/>
        </w:rPr>
        <w:t xml:space="preserve"> </w:t>
      </w:r>
      <w:r w:rsidR="00B97F61">
        <w:rPr>
          <w:rFonts w:ascii="Calibri" w:hAnsi="Calibri" w:cs="Calibri"/>
          <w:noProof/>
          <w:sz w:val="22"/>
          <w:szCs w:val="22"/>
        </w:rPr>
        <w:t>was</w:t>
      </w:r>
      <w:r>
        <w:rPr>
          <w:rFonts w:ascii="Calibri" w:hAnsi="Calibri" w:cs="Calibri"/>
          <w:noProof/>
          <w:sz w:val="22"/>
          <w:szCs w:val="22"/>
        </w:rPr>
        <w:t xml:space="preserve"> further divided into current cannabis users (n = 2,573, 76.0%) and past users (n = 816, 24.0%)</w:t>
      </w:r>
      <w:r w:rsidR="00B97F61">
        <w:rPr>
          <w:rFonts w:ascii="Calibri" w:hAnsi="Calibri" w:cs="Calibri"/>
          <w:noProof/>
          <w:sz w:val="22"/>
          <w:szCs w:val="22"/>
        </w:rPr>
        <w:t>,</w:t>
      </w:r>
      <w:r>
        <w:rPr>
          <w:rFonts w:ascii="Calibri" w:hAnsi="Calibri" w:cs="Calibri"/>
          <w:noProof/>
          <w:sz w:val="22"/>
          <w:szCs w:val="22"/>
        </w:rPr>
        <w:t xml:space="preserve"> </w:t>
      </w:r>
      <w:r w:rsidR="00B97F61">
        <w:rPr>
          <w:rFonts w:ascii="Calibri" w:hAnsi="Calibri" w:cs="Calibri"/>
          <w:noProof/>
          <w:sz w:val="22"/>
          <w:szCs w:val="22"/>
        </w:rPr>
        <w:t>with past users defined as those who had</w:t>
      </w:r>
      <w:r>
        <w:rPr>
          <w:rFonts w:ascii="Calibri" w:hAnsi="Calibri" w:cs="Calibri"/>
          <w:noProof/>
          <w:sz w:val="22"/>
          <w:szCs w:val="22"/>
        </w:rPr>
        <w:t xml:space="preserve"> stopped using cannabis more than a year prior to the survey.</w:t>
      </w:r>
    </w:p>
    <w:p w14:paraId="6F3B601C" w14:textId="77777777" w:rsidR="004B56E2" w:rsidRDefault="004B56E2" w:rsidP="004B56E2">
      <w:pPr>
        <w:jc w:val="center"/>
        <w:rPr>
          <w:rFonts w:ascii="Calibri" w:hAnsi="Calibri" w:cs="Calibri"/>
          <w:i/>
          <w:iCs/>
          <w:noProof/>
          <w:sz w:val="22"/>
          <w:szCs w:val="22"/>
        </w:rPr>
      </w:pPr>
      <w:r>
        <w:rPr>
          <w:rFonts w:ascii="Calibri" w:hAnsi="Calibri" w:cs="Calibri"/>
          <w:i/>
          <w:iCs/>
          <w:noProof/>
          <w:sz w:val="22"/>
          <w:szCs w:val="22"/>
        </w:rPr>
        <w:drawing>
          <wp:inline distT="0" distB="0" distL="0" distR="0" wp14:anchorId="1B483521" wp14:editId="140587E5">
            <wp:extent cx="5744947" cy="3501957"/>
            <wp:effectExtent l="0" t="0" r="0" b="3810"/>
            <wp:docPr id="174497714" name="Picture 7" descr="A diagram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6635" name="Picture 7" descr="A diagram of a surve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834414" cy="3556494"/>
                    </a:xfrm>
                    <a:prstGeom prst="rect">
                      <a:avLst/>
                    </a:prstGeom>
                  </pic:spPr>
                </pic:pic>
              </a:graphicData>
            </a:graphic>
          </wp:inline>
        </w:drawing>
      </w:r>
    </w:p>
    <w:p w14:paraId="53E2F633" w14:textId="77777777" w:rsidR="004B56E2" w:rsidRDefault="004B56E2" w:rsidP="004B56E2">
      <w:pPr>
        <w:pStyle w:val="FiguresandTablesTOC"/>
        <w:outlineLvl w:val="2"/>
      </w:pPr>
      <w:bookmarkStart w:id="2" w:name="_Toc200722077"/>
      <w:r w:rsidRPr="008A7493">
        <w:t>Figure S1.</w:t>
      </w:r>
      <w:r w:rsidRPr="008A7493">
        <w:rPr>
          <w:b w:val="0"/>
          <w:bCs w:val="0"/>
        </w:rPr>
        <w:t xml:space="preserve"> Flowchart of participants included in the study.</w:t>
      </w:r>
      <w:bookmarkEnd w:id="2"/>
      <w:r w:rsidRPr="00D452BC">
        <w:t xml:space="preserve"> </w:t>
      </w:r>
    </w:p>
    <w:p w14:paraId="450BEF40" w14:textId="5B48CDA8" w:rsidR="004B56E2" w:rsidRDefault="004B56E2" w:rsidP="004B56E2">
      <w:pPr>
        <w:pStyle w:val="FiguresandTablesTOC"/>
        <w:rPr>
          <w:b w:val="0"/>
          <w:bCs w:val="0"/>
          <w:i w:val="0"/>
          <w:iCs w:val="0"/>
        </w:rPr>
      </w:pPr>
      <w:r w:rsidRPr="002E35CC">
        <w:rPr>
          <w:b w:val="0"/>
          <w:bCs w:val="0"/>
          <w:i w:val="0"/>
          <w:iCs w:val="0"/>
        </w:rPr>
        <w:t xml:space="preserve">A total of 4,858 responses were collected through the online survey. After </w:t>
      </w:r>
      <w:r w:rsidR="009E1E00">
        <w:rPr>
          <w:b w:val="0"/>
          <w:bCs w:val="0"/>
          <w:i w:val="0"/>
          <w:iCs w:val="0"/>
        </w:rPr>
        <w:t>removing</w:t>
      </w:r>
      <w:r w:rsidRPr="002E35CC">
        <w:rPr>
          <w:b w:val="0"/>
          <w:bCs w:val="0"/>
          <w:i w:val="0"/>
          <w:iCs w:val="0"/>
        </w:rPr>
        <w:t xml:space="preserve"> 122 duplicate or triplicate responses (106 duplicate and 8 triplicate), 4,736 unique responses remained. All respondents, including never users of cannabis, were retained for analysis. Lifetime cannabis users (n = 3,389) were further categori</w:t>
      </w:r>
      <w:r w:rsidR="009E1E00">
        <w:rPr>
          <w:b w:val="0"/>
          <w:bCs w:val="0"/>
          <w:i w:val="0"/>
          <w:iCs w:val="0"/>
        </w:rPr>
        <w:t>s</w:t>
      </w:r>
      <w:r w:rsidRPr="002E35CC">
        <w:rPr>
          <w:b w:val="0"/>
          <w:bCs w:val="0"/>
          <w:i w:val="0"/>
          <w:iCs w:val="0"/>
        </w:rPr>
        <w:t xml:space="preserve">ed into current cannabis users (n = 2,573) and past cannabis users (n = 816). </w:t>
      </w:r>
    </w:p>
    <w:p w14:paraId="75E6333A" w14:textId="77777777" w:rsidR="004B56E2" w:rsidRDefault="004B56E2" w:rsidP="004B56E2">
      <w:pPr>
        <w:rPr>
          <w:rFonts w:ascii="Calibri" w:hAnsi="Calibri" w:cs="Calibri"/>
          <w:noProof/>
          <w:sz w:val="20"/>
          <w:szCs w:val="20"/>
        </w:rPr>
      </w:pPr>
      <w:r>
        <w:rPr>
          <w:b/>
          <w:bCs/>
          <w:i/>
          <w:iCs/>
        </w:rPr>
        <w:br w:type="page"/>
      </w:r>
    </w:p>
    <w:p w14:paraId="4FFD857F" w14:textId="49A11BF6" w:rsidR="002B4DD3" w:rsidRPr="002B4DD3" w:rsidRDefault="004B56E2" w:rsidP="008C5A44">
      <w:pPr>
        <w:pStyle w:val="Heading2"/>
        <w:spacing w:before="0" w:line="480" w:lineRule="auto"/>
        <w:rPr>
          <w:rFonts w:ascii="Calibri" w:hAnsi="Calibri" w:cs="Calibri"/>
          <w:noProof/>
          <w:sz w:val="22"/>
          <w:szCs w:val="22"/>
        </w:rPr>
      </w:pPr>
      <w:bookmarkStart w:id="3" w:name="_Toc200722078"/>
      <w:r>
        <w:rPr>
          <w:rFonts w:ascii="Calibri" w:eastAsiaTheme="minorHAnsi" w:hAnsi="Calibri" w:cs="Calibri"/>
          <w:i/>
          <w:iCs/>
          <w:noProof/>
          <w:color w:val="auto"/>
          <w:sz w:val="22"/>
          <w:szCs w:val="22"/>
        </w:rPr>
        <w:lastRenderedPageBreak/>
        <w:t xml:space="preserve">1.2. </w:t>
      </w:r>
      <w:r w:rsidR="002B4DD3" w:rsidRPr="002B4DD3">
        <w:rPr>
          <w:rFonts w:ascii="Calibri" w:eastAsiaTheme="minorHAnsi" w:hAnsi="Calibri" w:cs="Calibri"/>
          <w:i/>
          <w:iCs/>
          <w:noProof/>
          <w:color w:val="auto"/>
          <w:sz w:val="22"/>
          <w:szCs w:val="22"/>
        </w:rPr>
        <w:t>Ethnic Composition of the Sample and Comparison with General Population</w:t>
      </w:r>
      <w:bookmarkEnd w:id="3"/>
    </w:p>
    <w:p w14:paraId="10DCE8D8" w14:textId="3BD60061" w:rsidR="00654025" w:rsidRDefault="00361689" w:rsidP="008C5A44">
      <w:pPr>
        <w:spacing w:after="80" w:line="480" w:lineRule="auto"/>
        <w:jc w:val="both"/>
        <w:rPr>
          <w:rFonts w:ascii="Calibri" w:hAnsi="Calibri" w:cs="Calibri"/>
          <w:noProof/>
          <w:sz w:val="22"/>
          <w:szCs w:val="22"/>
        </w:rPr>
      </w:pPr>
      <w:r w:rsidRPr="00361689">
        <w:rPr>
          <w:rFonts w:ascii="Calibri" w:hAnsi="Calibri" w:cs="Calibri"/>
          <w:noProof/>
          <w:sz w:val="22"/>
          <w:szCs w:val="22"/>
        </w:rPr>
        <w:t xml:space="preserve">Comparing the ethnic distribution of the CAMe survey sample with the 2021 Office for National Statistics (ONS) estimates for London, </w:t>
      </w:r>
      <w:r w:rsidRPr="00361689">
        <w:rPr>
          <w:rFonts w:ascii="Calibri" w:hAnsi="Calibri" w:cs="Calibri"/>
          <w:b/>
          <w:bCs/>
          <w:noProof/>
          <w:sz w:val="22"/>
          <w:szCs w:val="22"/>
        </w:rPr>
        <w:t>Figure S2</w:t>
      </w:r>
      <w:r w:rsidRPr="00361689">
        <w:rPr>
          <w:rFonts w:ascii="Calibri" w:hAnsi="Calibri" w:cs="Calibri"/>
          <w:noProof/>
          <w:sz w:val="22"/>
          <w:szCs w:val="22"/>
        </w:rPr>
        <w:t xml:space="preserve"> highlights some differences in ethnic representation. Overall, our sample reflects the diversity of the London population; however, White British participants were overrepresented compared to the general population, while other ethnic groups, such as British Asian and some Mixed heritage groups, were slightly underrepresented. These differences were accounted for in our analyses, as all regressions were adjusted for ethnicity.</w:t>
      </w:r>
    </w:p>
    <w:p w14:paraId="093C34FD" w14:textId="77777777" w:rsidR="007567A7" w:rsidRDefault="007567A7" w:rsidP="007279F5">
      <w:pPr>
        <w:rPr>
          <w:rFonts w:ascii="Calibri" w:hAnsi="Calibri" w:cs="Calibri"/>
          <w:i/>
          <w:iCs/>
          <w:noProof/>
          <w:sz w:val="22"/>
          <w:szCs w:val="22"/>
        </w:rPr>
        <w:sectPr w:rsidR="007567A7" w:rsidSect="007567A7">
          <w:pgSz w:w="11906" w:h="16838"/>
          <w:pgMar w:top="1440" w:right="1440" w:bottom="1440" w:left="1440" w:header="708" w:footer="708" w:gutter="0"/>
          <w:cols w:space="708"/>
          <w:docGrid w:linePitch="360"/>
        </w:sectPr>
      </w:pPr>
    </w:p>
    <w:p w14:paraId="34212201" w14:textId="1EB790E5" w:rsidR="00BF512D" w:rsidRDefault="00BF512D" w:rsidP="00855820">
      <w:pPr>
        <w:pStyle w:val="FiguresandTablesTOC"/>
      </w:pPr>
      <w:bookmarkStart w:id="4" w:name="_Toc190088024"/>
      <w:bookmarkStart w:id="5" w:name="_Toc190089670"/>
      <w:bookmarkStart w:id="6" w:name="_Toc190091754"/>
      <w:bookmarkStart w:id="7" w:name="_Toc190093700"/>
      <w:bookmarkStart w:id="8" w:name="_Toc190161724"/>
      <w:bookmarkStart w:id="9" w:name="_Toc190161870"/>
      <w:bookmarkStart w:id="10" w:name="_Toc190172837"/>
      <w:bookmarkStart w:id="11" w:name="_Toc190172949"/>
      <w:bookmarkStart w:id="12" w:name="_Toc190955576"/>
      <w:r>
        <w:lastRenderedPageBreak/>
        <w:drawing>
          <wp:inline distT="0" distB="0" distL="0" distR="0" wp14:anchorId="033E51AD" wp14:editId="7EC947DD">
            <wp:extent cx="8863330" cy="3643713"/>
            <wp:effectExtent l="0" t="0" r="1270" b="1270"/>
            <wp:docPr id="1000031486" name="Picture 8" descr="A graph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1486" name="Picture 8" descr="A graph with red and blue squares&#10;&#10;Description automatically generated"/>
                    <pic:cNvPicPr/>
                  </pic:nvPicPr>
                  <pic:blipFill rotWithShape="1">
                    <a:blip r:embed="rId11">
                      <a:extLst>
                        <a:ext uri="{28A0092B-C50C-407E-A947-70E740481C1C}">
                          <a14:useLocalDpi xmlns:a14="http://schemas.microsoft.com/office/drawing/2010/main" val="0"/>
                        </a:ext>
                      </a:extLst>
                    </a:blip>
                    <a:srcRect t="8028"/>
                    <a:stretch/>
                  </pic:blipFill>
                  <pic:spPr bwMode="auto">
                    <a:xfrm>
                      <a:off x="0" y="0"/>
                      <a:ext cx="8863330" cy="3643713"/>
                    </a:xfrm>
                    <a:prstGeom prst="rect">
                      <a:avLst/>
                    </a:prstGeom>
                    <a:ln>
                      <a:noFill/>
                    </a:ln>
                    <a:extLst>
                      <a:ext uri="{53640926-AAD7-44D8-BBD7-CCE9431645EC}">
                        <a14:shadowObscured xmlns:a14="http://schemas.microsoft.com/office/drawing/2010/main"/>
                      </a:ext>
                    </a:extLst>
                  </pic:spPr>
                </pic:pic>
              </a:graphicData>
            </a:graphic>
          </wp:inline>
        </w:drawing>
      </w:r>
      <w:bookmarkEnd w:id="4"/>
      <w:bookmarkEnd w:id="5"/>
      <w:bookmarkEnd w:id="6"/>
      <w:bookmarkEnd w:id="7"/>
      <w:bookmarkEnd w:id="8"/>
      <w:bookmarkEnd w:id="9"/>
      <w:bookmarkEnd w:id="10"/>
      <w:bookmarkEnd w:id="11"/>
      <w:bookmarkEnd w:id="12"/>
    </w:p>
    <w:p w14:paraId="314E540B" w14:textId="77777777" w:rsidR="00EF0DD0" w:rsidRDefault="00EF0DD0" w:rsidP="00BF512D">
      <w:pPr>
        <w:pStyle w:val="FiguresandTablesTOC"/>
        <w:outlineLvl w:val="2"/>
      </w:pPr>
    </w:p>
    <w:p w14:paraId="76491896" w14:textId="4DE07B8D" w:rsidR="00BF512D" w:rsidRDefault="00BF512D" w:rsidP="00BF512D">
      <w:pPr>
        <w:pStyle w:val="FiguresandTablesTOC"/>
        <w:outlineLvl w:val="2"/>
      </w:pPr>
      <w:bookmarkStart w:id="13" w:name="_Toc200722079"/>
      <w:r w:rsidRPr="008A7493">
        <w:t>Figure S</w:t>
      </w:r>
      <w:r>
        <w:t>2</w:t>
      </w:r>
      <w:r w:rsidRPr="008A7493">
        <w:t>.</w:t>
      </w:r>
      <w:r w:rsidRPr="008A7493">
        <w:rPr>
          <w:b w:val="0"/>
          <w:bCs w:val="0"/>
        </w:rPr>
        <w:t xml:space="preserve"> </w:t>
      </w:r>
      <w:r>
        <w:rPr>
          <w:b w:val="0"/>
          <w:bCs w:val="0"/>
        </w:rPr>
        <w:t>Ethnic Composition: London (ONS 2021) vs. CAMe Survey.</w:t>
      </w:r>
      <w:bookmarkEnd w:id="13"/>
      <w:r w:rsidRPr="00D452BC">
        <w:t xml:space="preserve"> </w:t>
      </w:r>
    </w:p>
    <w:p w14:paraId="40CED2BC" w14:textId="7A3112F8" w:rsidR="00AB257A" w:rsidRPr="002E35CC" w:rsidRDefault="00740F4E" w:rsidP="00855820">
      <w:pPr>
        <w:pStyle w:val="FiguresandTablesTOC"/>
        <w:rPr>
          <w:b w:val="0"/>
          <w:bCs w:val="0"/>
          <w:i w:val="0"/>
          <w:iCs w:val="0"/>
        </w:rPr>
      </w:pPr>
      <w:r w:rsidRPr="00740F4E">
        <w:rPr>
          <w:b w:val="0"/>
          <w:bCs w:val="0"/>
          <w:i w:val="0"/>
          <w:iCs w:val="0"/>
        </w:rPr>
        <w:t>This figure compares the ethnic distribution of the</w:t>
      </w:r>
      <w:r w:rsidR="00B97F61">
        <w:rPr>
          <w:b w:val="0"/>
          <w:bCs w:val="0"/>
          <w:i w:val="0"/>
          <w:iCs w:val="0"/>
        </w:rPr>
        <w:t xml:space="preserve"> CAMe survey sample and the</w:t>
      </w:r>
      <w:r w:rsidRPr="00740F4E">
        <w:rPr>
          <w:b w:val="0"/>
          <w:bCs w:val="0"/>
          <w:i w:val="0"/>
          <w:iCs w:val="0"/>
        </w:rPr>
        <w:t xml:space="preserve"> general London population (ONS 2021 estimates). The x-axis represents different ethnic </w:t>
      </w:r>
      <w:r w:rsidR="00B97F61">
        <w:rPr>
          <w:b w:val="0"/>
          <w:bCs w:val="0"/>
          <w:i w:val="0"/>
          <w:iCs w:val="0"/>
        </w:rPr>
        <w:t>groups</w:t>
      </w:r>
      <w:r w:rsidRPr="00740F4E">
        <w:rPr>
          <w:b w:val="0"/>
          <w:bCs w:val="0"/>
          <w:i w:val="0"/>
          <w:iCs w:val="0"/>
        </w:rPr>
        <w:t>, while the y-axis </w:t>
      </w:r>
      <w:r w:rsidR="00B97F61">
        <w:rPr>
          <w:b w:val="0"/>
          <w:bCs w:val="0"/>
          <w:i w:val="0"/>
          <w:iCs w:val="0"/>
        </w:rPr>
        <w:t>displays</w:t>
      </w:r>
      <w:r w:rsidRPr="00740F4E">
        <w:rPr>
          <w:b w:val="0"/>
          <w:bCs w:val="0"/>
          <w:i w:val="0"/>
          <w:iCs w:val="0"/>
        </w:rPr>
        <w:t xml:space="preserve"> the percentage of individuals within each </w:t>
      </w:r>
      <w:r w:rsidR="00B97F61">
        <w:rPr>
          <w:b w:val="0"/>
          <w:bCs w:val="0"/>
          <w:i w:val="0"/>
          <w:iCs w:val="0"/>
        </w:rPr>
        <w:t>category</w:t>
      </w:r>
      <w:r w:rsidRPr="00740F4E">
        <w:rPr>
          <w:b w:val="0"/>
          <w:bCs w:val="0"/>
          <w:i w:val="0"/>
          <w:iCs w:val="0"/>
        </w:rPr>
        <w:t xml:space="preserve">. Red bars represent the CAMe survey sample, while blue bars represent the ONS 2021 London population data. The figure highlights </w:t>
      </w:r>
      <w:r w:rsidR="00B97F61">
        <w:rPr>
          <w:b w:val="0"/>
          <w:bCs w:val="0"/>
          <w:i w:val="0"/>
          <w:iCs w:val="0"/>
        </w:rPr>
        <w:t xml:space="preserve">small </w:t>
      </w:r>
      <w:r w:rsidRPr="00740F4E">
        <w:rPr>
          <w:b w:val="0"/>
          <w:bCs w:val="0"/>
          <w:i w:val="0"/>
          <w:iCs w:val="0"/>
        </w:rPr>
        <w:t>differences in representation</w:t>
      </w:r>
      <w:r w:rsidR="00B97F61">
        <w:rPr>
          <w:b w:val="0"/>
          <w:bCs w:val="0"/>
          <w:i w:val="0"/>
          <w:iCs w:val="0"/>
        </w:rPr>
        <w:t xml:space="preserve"> between the two samples</w:t>
      </w:r>
      <w:r w:rsidRPr="00740F4E">
        <w:rPr>
          <w:b w:val="0"/>
          <w:bCs w:val="0"/>
          <w:i w:val="0"/>
          <w:iCs w:val="0"/>
        </w:rPr>
        <w:t>, particularly the overrepresentation of White British participants and some Black ethnic groups in the CAMe survey compared to the general London population</w:t>
      </w:r>
      <w:r w:rsidR="00EF0DD0">
        <w:rPr>
          <w:b w:val="0"/>
          <w:bCs w:val="0"/>
          <w:i w:val="0"/>
          <w:iCs w:val="0"/>
        </w:rPr>
        <w:t>.</w:t>
      </w:r>
    </w:p>
    <w:p w14:paraId="600FDF02" w14:textId="77777777" w:rsidR="00313BB3" w:rsidRDefault="00313BB3">
      <w:pPr>
        <w:rPr>
          <w:rFonts w:ascii="Calibri" w:hAnsi="Calibri" w:cs="Calibri"/>
          <w:noProof/>
          <w:sz w:val="22"/>
          <w:szCs w:val="22"/>
        </w:rPr>
      </w:pPr>
      <w:r>
        <w:rPr>
          <w:rFonts w:ascii="Calibri" w:hAnsi="Calibri" w:cs="Calibri"/>
          <w:noProof/>
          <w:sz w:val="22"/>
          <w:szCs w:val="22"/>
        </w:rPr>
        <w:br w:type="page"/>
      </w:r>
    </w:p>
    <w:p w14:paraId="34A07DAA" w14:textId="77777777" w:rsidR="004B56E2" w:rsidRDefault="004B56E2" w:rsidP="004B56E2">
      <w:pPr>
        <w:pStyle w:val="Heading2"/>
        <w:spacing w:before="0" w:after="0"/>
        <w:rPr>
          <w:rFonts w:ascii="Calibri" w:eastAsiaTheme="minorHAnsi" w:hAnsi="Calibri" w:cs="Calibri"/>
          <w:i/>
          <w:iCs/>
          <w:noProof/>
          <w:color w:val="auto"/>
          <w:sz w:val="22"/>
          <w:szCs w:val="22"/>
        </w:rPr>
        <w:sectPr w:rsidR="004B56E2" w:rsidSect="004B56E2">
          <w:pgSz w:w="16838" w:h="11906" w:orient="landscape"/>
          <w:pgMar w:top="1440" w:right="1440" w:bottom="1440" w:left="1440" w:header="708" w:footer="708" w:gutter="0"/>
          <w:cols w:space="708"/>
          <w:docGrid w:linePitch="360"/>
        </w:sectPr>
      </w:pPr>
    </w:p>
    <w:p w14:paraId="049C6D64" w14:textId="02F36EAC" w:rsidR="004B56E2" w:rsidRPr="008C5A44" w:rsidRDefault="004B56E2" w:rsidP="008C5A44">
      <w:pPr>
        <w:pStyle w:val="Heading2"/>
        <w:spacing w:before="0" w:line="480" w:lineRule="auto"/>
        <w:rPr>
          <w:rFonts w:ascii="Calibri" w:eastAsiaTheme="minorHAnsi" w:hAnsi="Calibri" w:cs="Calibri"/>
          <w:i/>
          <w:iCs/>
          <w:noProof/>
          <w:color w:val="auto"/>
          <w:sz w:val="22"/>
          <w:szCs w:val="22"/>
        </w:rPr>
      </w:pPr>
      <w:bookmarkStart w:id="14" w:name="_Toc200722080"/>
      <w:r w:rsidRPr="004B56E2">
        <w:rPr>
          <w:rFonts w:ascii="Calibri" w:eastAsiaTheme="minorHAnsi" w:hAnsi="Calibri" w:cs="Calibri"/>
          <w:i/>
          <w:iCs/>
          <w:noProof/>
          <w:color w:val="auto"/>
          <w:sz w:val="22"/>
          <w:szCs w:val="22"/>
        </w:rPr>
        <w:lastRenderedPageBreak/>
        <w:t>1.3. Demographic and Clinical Characteristics by Cannabis Use</w:t>
      </w:r>
      <w:bookmarkEnd w:id="14"/>
    </w:p>
    <w:p w14:paraId="232A1CEB" w14:textId="09A90284" w:rsidR="00361689" w:rsidRDefault="004B56E2" w:rsidP="008C5A44">
      <w:pPr>
        <w:spacing w:after="80" w:line="480" w:lineRule="auto"/>
        <w:jc w:val="both"/>
        <w:rPr>
          <w:rFonts w:ascii="Calibri" w:hAnsi="Calibri" w:cs="Calibri"/>
          <w:noProof/>
          <w:sz w:val="22"/>
          <w:szCs w:val="22"/>
        </w:rPr>
      </w:pPr>
      <w:bookmarkStart w:id="15" w:name="_Toc190093703"/>
      <w:r w:rsidRPr="00F6427E">
        <w:rPr>
          <w:rFonts w:ascii="Calibri" w:hAnsi="Calibri" w:cs="Calibri"/>
          <w:b/>
          <w:bCs/>
          <w:noProof/>
          <w:sz w:val="22"/>
          <w:szCs w:val="22"/>
        </w:rPr>
        <w:t>Table S1</w:t>
      </w:r>
      <w:r w:rsidRPr="004B56E2">
        <w:rPr>
          <w:rFonts w:ascii="Calibri" w:hAnsi="Calibri" w:cs="Calibri"/>
          <w:noProof/>
          <w:sz w:val="22"/>
          <w:szCs w:val="22"/>
        </w:rPr>
        <w:t xml:space="preserve"> </w:t>
      </w:r>
      <w:r w:rsidR="00605252">
        <w:rPr>
          <w:rFonts w:ascii="Calibri" w:hAnsi="Calibri" w:cs="Calibri"/>
          <w:noProof/>
          <w:sz w:val="22"/>
          <w:szCs w:val="22"/>
        </w:rPr>
        <w:t>presents</w:t>
      </w:r>
      <w:r w:rsidRPr="004B56E2">
        <w:rPr>
          <w:rFonts w:ascii="Calibri" w:hAnsi="Calibri" w:cs="Calibri"/>
          <w:noProof/>
          <w:sz w:val="22"/>
          <w:szCs w:val="22"/>
        </w:rPr>
        <w:t xml:space="preserve"> the demographic, trauma exposure, and clinical characteristics of the sample, </w:t>
      </w:r>
      <w:r w:rsidR="00361689">
        <w:rPr>
          <w:rFonts w:ascii="Calibri" w:hAnsi="Calibri" w:cs="Calibri"/>
          <w:noProof/>
          <w:sz w:val="22"/>
          <w:szCs w:val="22"/>
        </w:rPr>
        <w:t>categorised</w:t>
      </w:r>
      <w:r w:rsidRPr="004B56E2">
        <w:rPr>
          <w:rFonts w:ascii="Calibri" w:hAnsi="Calibri" w:cs="Calibri"/>
          <w:noProof/>
          <w:sz w:val="22"/>
          <w:szCs w:val="22"/>
        </w:rPr>
        <w:t xml:space="preserve"> by cannabis use status (i.e., non-users, past users, and current users). The mean age of the sample was 31.78 years (SD = 10.46), with </w:t>
      </w:r>
      <w:r w:rsidR="00361689">
        <w:rPr>
          <w:rFonts w:ascii="Calibri" w:hAnsi="Calibri" w:cs="Calibri"/>
          <w:noProof/>
          <w:sz w:val="22"/>
          <w:szCs w:val="22"/>
        </w:rPr>
        <w:t xml:space="preserve">current </w:t>
      </w:r>
      <w:r w:rsidR="007C0A43">
        <w:rPr>
          <w:rFonts w:ascii="Calibri" w:hAnsi="Calibri" w:cs="Calibri"/>
          <w:noProof/>
          <w:sz w:val="22"/>
          <w:szCs w:val="22"/>
        </w:rPr>
        <w:t>u</w:t>
      </w:r>
      <w:r w:rsidR="00361689">
        <w:rPr>
          <w:rFonts w:ascii="Calibri" w:hAnsi="Calibri" w:cs="Calibri"/>
          <w:noProof/>
          <w:sz w:val="22"/>
          <w:szCs w:val="22"/>
        </w:rPr>
        <w:t>sers being younger on average (</w:t>
      </w:r>
      <w:r w:rsidR="00605252">
        <w:rPr>
          <w:rFonts w:ascii="Calibri" w:hAnsi="Calibri" w:cs="Calibri"/>
          <w:noProof/>
          <w:sz w:val="22"/>
          <w:szCs w:val="22"/>
        </w:rPr>
        <w:t xml:space="preserve">29.73 years) compared to past users (34.68 years) and never users (33.93 years). The majority of participants were male (55.6%), particularly among current cannabis users (66.4%), in contrast, non-users were predominantly female (60.7%). Unemployment was more common among current cannabis users (16.1%) compared to non-users (9.3%). Similarly years of education were slightly lower in cannabis users compared to the other groups. Trauma exposure, across all categories (i.e., abuse, neglect, household discord, and bullying), was significantly higher in cannabis users, especially current users. The mean paranoia score (GPTS total score) was also significantly higher for current cannabis users (M = 51.35, SD = 22.44) compared to non-users (M = 46.67, SD = 19.63). </w:t>
      </w:r>
    </w:p>
    <w:bookmarkEnd w:id="15"/>
    <w:p w14:paraId="1BBFC50D" w14:textId="6B27A80C" w:rsidR="004B56E2" w:rsidRDefault="004B56E2" w:rsidP="00073383">
      <w:pPr>
        <w:jc w:val="both"/>
        <w:rPr>
          <w:rFonts w:ascii="Calibri" w:hAnsi="Calibri" w:cs="Calibri"/>
          <w:b/>
          <w:bCs/>
          <w:i/>
          <w:iCs/>
          <w:sz w:val="20"/>
          <w:szCs w:val="20"/>
        </w:rPr>
        <w:sectPr w:rsidR="004B56E2" w:rsidSect="004B56E2">
          <w:pgSz w:w="11906" w:h="16838"/>
          <w:pgMar w:top="1440" w:right="1440" w:bottom="1440" w:left="1440" w:header="708" w:footer="708" w:gutter="0"/>
          <w:cols w:space="708"/>
          <w:docGrid w:linePitch="360"/>
        </w:sectPr>
      </w:pPr>
    </w:p>
    <w:p w14:paraId="5D3933E8" w14:textId="7A717497" w:rsidR="002F4F35" w:rsidRPr="002B4DD3" w:rsidRDefault="002F4F35" w:rsidP="002B4DD3">
      <w:pPr>
        <w:pStyle w:val="Heading3"/>
        <w:jc w:val="both"/>
        <w:rPr>
          <w:rFonts w:ascii="Calibri" w:hAnsi="Calibri" w:cs="Calibri"/>
          <w:b/>
          <w:bCs/>
          <w:i/>
          <w:iCs/>
          <w:color w:val="auto"/>
          <w:sz w:val="20"/>
          <w:szCs w:val="20"/>
        </w:rPr>
      </w:pPr>
      <w:bookmarkStart w:id="16" w:name="_Toc200722081"/>
      <w:r w:rsidRPr="002B4DD3">
        <w:rPr>
          <w:rFonts w:ascii="Calibri" w:hAnsi="Calibri" w:cs="Calibri"/>
          <w:b/>
          <w:bCs/>
          <w:i/>
          <w:iCs/>
          <w:color w:val="auto"/>
          <w:sz w:val="20"/>
          <w:szCs w:val="20"/>
        </w:rPr>
        <w:lastRenderedPageBreak/>
        <w:t xml:space="preserve">Table S1. </w:t>
      </w:r>
      <w:r w:rsidRPr="002B4DD3">
        <w:rPr>
          <w:rFonts w:ascii="Calibri" w:hAnsi="Calibri" w:cs="Calibri"/>
          <w:i/>
          <w:iCs/>
          <w:color w:val="auto"/>
          <w:sz w:val="20"/>
          <w:szCs w:val="20"/>
        </w:rPr>
        <w:t>Descriptive Characteristics of the Sample by Cannabis Use</w:t>
      </w:r>
      <w:bookmarkEnd w:id="16"/>
    </w:p>
    <w:tbl>
      <w:tblPr>
        <w:tblStyle w:val="GridTable1Light"/>
        <w:tblW w:w="10049" w:type="dxa"/>
        <w:tblLook w:val="04A0" w:firstRow="1" w:lastRow="0" w:firstColumn="1" w:lastColumn="0" w:noHBand="0" w:noVBand="1"/>
      </w:tblPr>
      <w:tblGrid>
        <w:gridCol w:w="3597"/>
        <w:gridCol w:w="1361"/>
        <w:gridCol w:w="1361"/>
        <w:gridCol w:w="1361"/>
        <w:gridCol w:w="1494"/>
        <w:gridCol w:w="875"/>
      </w:tblGrid>
      <w:tr w:rsidR="002F4F35" w:rsidRPr="00124079" w14:paraId="42F61F1E" w14:textId="77777777" w:rsidTr="002F4F3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76894230" w14:textId="77777777" w:rsidR="002F4F35" w:rsidRPr="003000DF" w:rsidRDefault="002F4F35" w:rsidP="00A35E74">
            <w:pPr>
              <w:rPr>
                <w:rFonts w:ascii="Calibri" w:eastAsia="Times New Roman" w:hAnsi="Calibri" w:cs="Calibri"/>
                <w:color w:val="000000"/>
                <w:kern w:val="0"/>
                <w:sz w:val="20"/>
                <w:szCs w:val="20"/>
                <w:lang w:eastAsia="en-GB"/>
                <w14:ligatures w14:val="none"/>
              </w:rPr>
            </w:pPr>
          </w:p>
        </w:tc>
        <w:tc>
          <w:tcPr>
            <w:tcW w:w="1361" w:type="dxa"/>
            <w:noWrap/>
            <w:hideMark/>
          </w:tcPr>
          <w:p w14:paraId="0ABD35C2" w14:textId="77777777" w:rsidR="002F4F35" w:rsidRPr="003000DF" w:rsidRDefault="002F4F35" w:rsidP="00A35E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Overall</w:t>
            </w:r>
          </w:p>
        </w:tc>
        <w:tc>
          <w:tcPr>
            <w:tcW w:w="1361" w:type="dxa"/>
            <w:noWrap/>
            <w:hideMark/>
          </w:tcPr>
          <w:p w14:paraId="2D3E1ECF" w14:textId="77777777" w:rsidR="002F4F35" w:rsidRPr="003000DF" w:rsidRDefault="002F4F35" w:rsidP="00A35E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Non-users</w:t>
            </w:r>
          </w:p>
        </w:tc>
        <w:tc>
          <w:tcPr>
            <w:tcW w:w="1361" w:type="dxa"/>
            <w:noWrap/>
            <w:hideMark/>
          </w:tcPr>
          <w:p w14:paraId="4330C2F1" w14:textId="77777777" w:rsidR="002F4F35" w:rsidRPr="003000DF" w:rsidRDefault="002F4F35" w:rsidP="00A35E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Past users</w:t>
            </w:r>
          </w:p>
        </w:tc>
        <w:tc>
          <w:tcPr>
            <w:tcW w:w="1494" w:type="dxa"/>
            <w:noWrap/>
            <w:hideMark/>
          </w:tcPr>
          <w:p w14:paraId="40B365ED" w14:textId="77777777" w:rsidR="002F4F35" w:rsidRPr="003000DF" w:rsidRDefault="002F4F35" w:rsidP="00A35E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Current users</w:t>
            </w:r>
          </w:p>
        </w:tc>
        <w:tc>
          <w:tcPr>
            <w:tcW w:w="875" w:type="dxa"/>
            <w:noWrap/>
            <w:hideMark/>
          </w:tcPr>
          <w:p w14:paraId="3D5A0ECA" w14:textId="77777777" w:rsidR="002F4F35" w:rsidRPr="003000DF" w:rsidRDefault="002F4F35" w:rsidP="00A35E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124079">
              <w:rPr>
                <w:rFonts w:ascii="Calibri" w:eastAsia="Times New Roman" w:hAnsi="Calibri" w:cs="Calibri"/>
                <w:color w:val="000000"/>
                <w:kern w:val="0"/>
                <w:sz w:val="20"/>
                <w:szCs w:val="20"/>
                <w:lang w:eastAsia="en-GB"/>
                <w14:ligatures w14:val="none"/>
              </w:rPr>
              <w:t>p-Value</w:t>
            </w:r>
          </w:p>
        </w:tc>
      </w:tr>
      <w:tr w:rsidR="002F4F35" w:rsidRPr="00124079" w14:paraId="4604C367"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7714A387"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n</w:t>
            </w:r>
          </w:p>
        </w:tc>
        <w:tc>
          <w:tcPr>
            <w:tcW w:w="1361" w:type="dxa"/>
            <w:noWrap/>
            <w:hideMark/>
          </w:tcPr>
          <w:p w14:paraId="6DD265E1"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4736</w:t>
            </w:r>
          </w:p>
        </w:tc>
        <w:tc>
          <w:tcPr>
            <w:tcW w:w="1361" w:type="dxa"/>
            <w:noWrap/>
            <w:hideMark/>
          </w:tcPr>
          <w:p w14:paraId="73AF278A"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1347</w:t>
            </w:r>
          </w:p>
        </w:tc>
        <w:tc>
          <w:tcPr>
            <w:tcW w:w="1361" w:type="dxa"/>
            <w:noWrap/>
            <w:hideMark/>
          </w:tcPr>
          <w:p w14:paraId="218CDCB6"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816</w:t>
            </w:r>
          </w:p>
        </w:tc>
        <w:tc>
          <w:tcPr>
            <w:tcW w:w="1494" w:type="dxa"/>
            <w:noWrap/>
            <w:hideMark/>
          </w:tcPr>
          <w:p w14:paraId="33FBE418"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2573</w:t>
            </w:r>
          </w:p>
        </w:tc>
        <w:tc>
          <w:tcPr>
            <w:tcW w:w="875" w:type="dxa"/>
            <w:noWrap/>
            <w:hideMark/>
          </w:tcPr>
          <w:p w14:paraId="616A4C7A"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r>
      <w:tr w:rsidR="002F4F35" w:rsidRPr="00124079" w14:paraId="3B2537E1"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3FC93384"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Age (mean (SD))</w:t>
            </w:r>
          </w:p>
        </w:tc>
        <w:tc>
          <w:tcPr>
            <w:tcW w:w="1361" w:type="dxa"/>
            <w:noWrap/>
            <w:hideMark/>
          </w:tcPr>
          <w:p w14:paraId="24CA146A"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31.78 (10.46)</w:t>
            </w:r>
          </w:p>
        </w:tc>
        <w:tc>
          <w:tcPr>
            <w:tcW w:w="1361" w:type="dxa"/>
            <w:noWrap/>
            <w:hideMark/>
          </w:tcPr>
          <w:p w14:paraId="7BC754EE"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33.93 (11.69)</w:t>
            </w:r>
          </w:p>
        </w:tc>
        <w:tc>
          <w:tcPr>
            <w:tcW w:w="1361" w:type="dxa"/>
            <w:noWrap/>
            <w:hideMark/>
          </w:tcPr>
          <w:p w14:paraId="29122047"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34.68 (10.79)</w:t>
            </w:r>
          </w:p>
        </w:tc>
        <w:tc>
          <w:tcPr>
            <w:tcW w:w="1494" w:type="dxa"/>
            <w:noWrap/>
            <w:hideMark/>
          </w:tcPr>
          <w:p w14:paraId="376D1A56"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29.73 (9.15)</w:t>
            </w:r>
          </w:p>
        </w:tc>
        <w:tc>
          <w:tcPr>
            <w:tcW w:w="875" w:type="dxa"/>
            <w:noWrap/>
            <w:hideMark/>
          </w:tcPr>
          <w:p w14:paraId="6F982736"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&lt;0.001</w:t>
            </w:r>
          </w:p>
        </w:tc>
      </w:tr>
      <w:tr w:rsidR="002F4F35" w:rsidRPr="00124079" w14:paraId="109C128D"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1DDD96EB"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Sex (%)</w:t>
            </w:r>
          </w:p>
        </w:tc>
        <w:tc>
          <w:tcPr>
            <w:tcW w:w="1361" w:type="dxa"/>
            <w:noWrap/>
            <w:hideMark/>
          </w:tcPr>
          <w:p w14:paraId="58F38997"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c>
          <w:tcPr>
            <w:tcW w:w="1361" w:type="dxa"/>
            <w:noWrap/>
            <w:hideMark/>
          </w:tcPr>
          <w:p w14:paraId="5E6BDB1C"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c>
          <w:tcPr>
            <w:tcW w:w="1361" w:type="dxa"/>
            <w:noWrap/>
            <w:hideMark/>
          </w:tcPr>
          <w:p w14:paraId="6AC19803"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c>
          <w:tcPr>
            <w:tcW w:w="1494" w:type="dxa"/>
            <w:noWrap/>
            <w:hideMark/>
          </w:tcPr>
          <w:p w14:paraId="1FF198F0"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c>
          <w:tcPr>
            <w:tcW w:w="875" w:type="dxa"/>
            <w:noWrap/>
            <w:hideMark/>
          </w:tcPr>
          <w:p w14:paraId="1284ED9B"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&lt;0.001</w:t>
            </w:r>
          </w:p>
        </w:tc>
      </w:tr>
      <w:tr w:rsidR="002F4F35" w:rsidRPr="00124079" w14:paraId="07E8743F"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4E806A63"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   Female</w:t>
            </w:r>
          </w:p>
        </w:tc>
        <w:tc>
          <w:tcPr>
            <w:tcW w:w="1361" w:type="dxa"/>
            <w:noWrap/>
            <w:hideMark/>
          </w:tcPr>
          <w:p w14:paraId="2F7E3687"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2099 (44.3)</w:t>
            </w:r>
          </w:p>
        </w:tc>
        <w:tc>
          <w:tcPr>
            <w:tcW w:w="1361" w:type="dxa"/>
            <w:noWrap/>
            <w:hideMark/>
          </w:tcPr>
          <w:p w14:paraId="3EB9DA20"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817 (60.7)</w:t>
            </w:r>
          </w:p>
        </w:tc>
        <w:tc>
          <w:tcPr>
            <w:tcW w:w="1361" w:type="dxa"/>
            <w:noWrap/>
            <w:hideMark/>
          </w:tcPr>
          <w:p w14:paraId="7AF1CFD1"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419 (51.3)</w:t>
            </w:r>
          </w:p>
        </w:tc>
        <w:tc>
          <w:tcPr>
            <w:tcW w:w="1494" w:type="dxa"/>
            <w:noWrap/>
            <w:hideMark/>
          </w:tcPr>
          <w:p w14:paraId="29BE8F18"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863 (33.5)</w:t>
            </w:r>
          </w:p>
        </w:tc>
        <w:tc>
          <w:tcPr>
            <w:tcW w:w="875" w:type="dxa"/>
            <w:noWrap/>
            <w:hideMark/>
          </w:tcPr>
          <w:p w14:paraId="0E846377"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r>
      <w:tr w:rsidR="002F4F35" w:rsidRPr="00124079" w14:paraId="1BA12082"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7BC04836"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   Male</w:t>
            </w:r>
          </w:p>
        </w:tc>
        <w:tc>
          <w:tcPr>
            <w:tcW w:w="1361" w:type="dxa"/>
            <w:noWrap/>
            <w:hideMark/>
          </w:tcPr>
          <w:p w14:paraId="1A9F29B8"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2632 (55.6)</w:t>
            </w:r>
          </w:p>
        </w:tc>
        <w:tc>
          <w:tcPr>
            <w:tcW w:w="1361" w:type="dxa"/>
            <w:noWrap/>
            <w:hideMark/>
          </w:tcPr>
          <w:p w14:paraId="5EECB95D"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529 (39.3)</w:t>
            </w:r>
          </w:p>
        </w:tc>
        <w:tc>
          <w:tcPr>
            <w:tcW w:w="1361" w:type="dxa"/>
            <w:noWrap/>
            <w:hideMark/>
          </w:tcPr>
          <w:p w14:paraId="3A9008E4"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395 (48.4)</w:t>
            </w:r>
          </w:p>
        </w:tc>
        <w:tc>
          <w:tcPr>
            <w:tcW w:w="1494" w:type="dxa"/>
            <w:noWrap/>
            <w:hideMark/>
          </w:tcPr>
          <w:p w14:paraId="42B1E014"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1708 (66.4)</w:t>
            </w:r>
          </w:p>
        </w:tc>
        <w:tc>
          <w:tcPr>
            <w:tcW w:w="875" w:type="dxa"/>
            <w:noWrap/>
            <w:hideMark/>
          </w:tcPr>
          <w:p w14:paraId="3CEE4385"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r>
      <w:tr w:rsidR="002F4F35" w:rsidRPr="00124079" w14:paraId="58352022"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0F68D0E1"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   Other</w:t>
            </w:r>
          </w:p>
        </w:tc>
        <w:tc>
          <w:tcPr>
            <w:tcW w:w="1361" w:type="dxa"/>
            <w:noWrap/>
            <w:hideMark/>
          </w:tcPr>
          <w:p w14:paraId="4321FD50"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5 (0.1)</w:t>
            </w:r>
          </w:p>
        </w:tc>
        <w:tc>
          <w:tcPr>
            <w:tcW w:w="1361" w:type="dxa"/>
            <w:noWrap/>
            <w:hideMark/>
          </w:tcPr>
          <w:p w14:paraId="7F1D15EE"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 (0.1)</w:t>
            </w:r>
          </w:p>
        </w:tc>
        <w:tc>
          <w:tcPr>
            <w:tcW w:w="1361" w:type="dxa"/>
            <w:noWrap/>
            <w:hideMark/>
          </w:tcPr>
          <w:p w14:paraId="19DF3C4E"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 (0.2)</w:t>
            </w:r>
          </w:p>
        </w:tc>
        <w:tc>
          <w:tcPr>
            <w:tcW w:w="1494" w:type="dxa"/>
            <w:noWrap/>
            <w:hideMark/>
          </w:tcPr>
          <w:p w14:paraId="24194518"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 (0.1)</w:t>
            </w:r>
          </w:p>
        </w:tc>
        <w:tc>
          <w:tcPr>
            <w:tcW w:w="875" w:type="dxa"/>
            <w:noWrap/>
            <w:hideMark/>
          </w:tcPr>
          <w:p w14:paraId="787C6B81"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r>
      <w:tr w:rsidR="002F4F35" w:rsidRPr="00124079" w14:paraId="7F8FD9F4"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091EA454"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Ethnicity (%)</w:t>
            </w:r>
          </w:p>
        </w:tc>
        <w:tc>
          <w:tcPr>
            <w:tcW w:w="1361" w:type="dxa"/>
            <w:noWrap/>
            <w:hideMark/>
          </w:tcPr>
          <w:p w14:paraId="7792D42C"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c>
          <w:tcPr>
            <w:tcW w:w="1361" w:type="dxa"/>
            <w:noWrap/>
            <w:hideMark/>
          </w:tcPr>
          <w:p w14:paraId="6F44F19D"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c>
          <w:tcPr>
            <w:tcW w:w="1361" w:type="dxa"/>
            <w:noWrap/>
            <w:hideMark/>
          </w:tcPr>
          <w:p w14:paraId="42F6149D"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c>
          <w:tcPr>
            <w:tcW w:w="1494" w:type="dxa"/>
            <w:noWrap/>
            <w:hideMark/>
          </w:tcPr>
          <w:p w14:paraId="7581992F"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c>
          <w:tcPr>
            <w:tcW w:w="875" w:type="dxa"/>
            <w:noWrap/>
            <w:hideMark/>
          </w:tcPr>
          <w:p w14:paraId="07DE8B3A"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&lt;0.001</w:t>
            </w:r>
          </w:p>
        </w:tc>
      </w:tr>
      <w:tr w:rsidR="002F4F35" w:rsidRPr="00124079" w14:paraId="09D5ADF1"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4CA95416"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   Black British</w:t>
            </w:r>
          </w:p>
        </w:tc>
        <w:tc>
          <w:tcPr>
            <w:tcW w:w="1361" w:type="dxa"/>
            <w:noWrap/>
            <w:hideMark/>
          </w:tcPr>
          <w:p w14:paraId="170B9FF2"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623 (13.2)</w:t>
            </w:r>
          </w:p>
        </w:tc>
        <w:tc>
          <w:tcPr>
            <w:tcW w:w="1361" w:type="dxa"/>
            <w:noWrap/>
            <w:hideMark/>
          </w:tcPr>
          <w:p w14:paraId="545F9BE2"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243 (18.0)</w:t>
            </w:r>
          </w:p>
        </w:tc>
        <w:tc>
          <w:tcPr>
            <w:tcW w:w="1361" w:type="dxa"/>
            <w:noWrap/>
            <w:hideMark/>
          </w:tcPr>
          <w:p w14:paraId="72EC1B8B"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97 (11.9)</w:t>
            </w:r>
          </w:p>
        </w:tc>
        <w:tc>
          <w:tcPr>
            <w:tcW w:w="1494" w:type="dxa"/>
            <w:noWrap/>
            <w:hideMark/>
          </w:tcPr>
          <w:p w14:paraId="66E999A8"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283 (11.0)</w:t>
            </w:r>
          </w:p>
        </w:tc>
        <w:tc>
          <w:tcPr>
            <w:tcW w:w="875" w:type="dxa"/>
            <w:noWrap/>
            <w:hideMark/>
          </w:tcPr>
          <w:p w14:paraId="2AB8AD1B"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r>
      <w:tr w:rsidR="002F4F35" w:rsidRPr="00124079" w14:paraId="001B868F"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657EB4D0"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   British Asian</w:t>
            </w:r>
          </w:p>
        </w:tc>
        <w:tc>
          <w:tcPr>
            <w:tcW w:w="1361" w:type="dxa"/>
            <w:noWrap/>
            <w:hideMark/>
          </w:tcPr>
          <w:p w14:paraId="48EB8D97"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684 (14.4)</w:t>
            </w:r>
          </w:p>
        </w:tc>
        <w:tc>
          <w:tcPr>
            <w:tcW w:w="1361" w:type="dxa"/>
            <w:noWrap/>
            <w:hideMark/>
          </w:tcPr>
          <w:p w14:paraId="69C42403"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308 (22.9)</w:t>
            </w:r>
          </w:p>
        </w:tc>
        <w:tc>
          <w:tcPr>
            <w:tcW w:w="1361" w:type="dxa"/>
            <w:noWrap/>
            <w:hideMark/>
          </w:tcPr>
          <w:p w14:paraId="24A6692C"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88 (10.8)</w:t>
            </w:r>
          </w:p>
        </w:tc>
        <w:tc>
          <w:tcPr>
            <w:tcW w:w="1494" w:type="dxa"/>
            <w:noWrap/>
            <w:hideMark/>
          </w:tcPr>
          <w:p w14:paraId="1F1D8DE9"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288 (11.2)</w:t>
            </w:r>
          </w:p>
        </w:tc>
        <w:tc>
          <w:tcPr>
            <w:tcW w:w="875" w:type="dxa"/>
            <w:noWrap/>
            <w:hideMark/>
          </w:tcPr>
          <w:p w14:paraId="4BD9DDB7"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r>
      <w:tr w:rsidR="002F4F35" w:rsidRPr="00124079" w14:paraId="28F5ECFD"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3B05BD98"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   Mixed</w:t>
            </w:r>
          </w:p>
        </w:tc>
        <w:tc>
          <w:tcPr>
            <w:tcW w:w="1361" w:type="dxa"/>
            <w:noWrap/>
            <w:hideMark/>
          </w:tcPr>
          <w:p w14:paraId="6647390C"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538 (11.4)</w:t>
            </w:r>
          </w:p>
        </w:tc>
        <w:tc>
          <w:tcPr>
            <w:tcW w:w="1361" w:type="dxa"/>
            <w:noWrap/>
            <w:hideMark/>
          </w:tcPr>
          <w:p w14:paraId="1950FC1E"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111 (8.2)</w:t>
            </w:r>
          </w:p>
        </w:tc>
        <w:tc>
          <w:tcPr>
            <w:tcW w:w="1361" w:type="dxa"/>
            <w:noWrap/>
            <w:hideMark/>
          </w:tcPr>
          <w:p w14:paraId="52E4BBFA"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78 (9.6)</w:t>
            </w:r>
          </w:p>
        </w:tc>
        <w:tc>
          <w:tcPr>
            <w:tcW w:w="1494" w:type="dxa"/>
            <w:noWrap/>
            <w:hideMark/>
          </w:tcPr>
          <w:p w14:paraId="2C0C3EB0"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349 (13.6)</w:t>
            </w:r>
          </w:p>
        </w:tc>
        <w:tc>
          <w:tcPr>
            <w:tcW w:w="875" w:type="dxa"/>
            <w:noWrap/>
            <w:hideMark/>
          </w:tcPr>
          <w:p w14:paraId="6CCDA9BF"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r>
      <w:tr w:rsidR="002F4F35" w:rsidRPr="00124079" w14:paraId="3B202E0D"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7D916F43"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   White and White Other</w:t>
            </w:r>
          </w:p>
        </w:tc>
        <w:tc>
          <w:tcPr>
            <w:tcW w:w="1361" w:type="dxa"/>
            <w:noWrap/>
            <w:hideMark/>
          </w:tcPr>
          <w:p w14:paraId="4F6656DF"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2891 (61.0)</w:t>
            </w:r>
          </w:p>
        </w:tc>
        <w:tc>
          <w:tcPr>
            <w:tcW w:w="1361" w:type="dxa"/>
            <w:noWrap/>
            <w:hideMark/>
          </w:tcPr>
          <w:p w14:paraId="5A175AD1"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685 (50.9)</w:t>
            </w:r>
          </w:p>
        </w:tc>
        <w:tc>
          <w:tcPr>
            <w:tcW w:w="1361" w:type="dxa"/>
            <w:noWrap/>
            <w:hideMark/>
          </w:tcPr>
          <w:p w14:paraId="4D03EEA0"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553 (67.8)</w:t>
            </w:r>
          </w:p>
        </w:tc>
        <w:tc>
          <w:tcPr>
            <w:tcW w:w="1494" w:type="dxa"/>
            <w:noWrap/>
            <w:hideMark/>
          </w:tcPr>
          <w:p w14:paraId="2AE63CC7"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1653 (64.2)</w:t>
            </w:r>
          </w:p>
        </w:tc>
        <w:tc>
          <w:tcPr>
            <w:tcW w:w="875" w:type="dxa"/>
            <w:noWrap/>
            <w:hideMark/>
          </w:tcPr>
          <w:p w14:paraId="5DB6712A"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p>
        </w:tc>
      </w:tr>
      <w:tr w:rsidR="002F4F35" w:rsidRPr="00124079" w14:paraId="0568CBC3"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5C9381BC"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Employment status = Unemployed (%)</w:t>
            </w:r>
          </w:p>
        </w:tc>
        <w:tc>
          <w:tcPr>
            <w:tcW w:w="1361" w:type="dxa"/>
            <w:noWrap/>
            <w:hideMark/>
          </w:tcPr>
          <w:p w14:paraId="21E50169"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599 (13.1)</w:t>
            </w:r>
          </w:p>
        </w:tc>
        <w:tc>
          <w:tcPr>
            <w:tcW w:w="1361" w:type="dxa"/>
            <w:noWrap/>
            <w:hideMark/>
          </w:tcPr>
          <w:p w14:paraId="1748B459"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120 (9.3)</w:t>
            </w:r>
          </w:p>
        </w:tc>
        <w:tc>
          <w:tcPr>
            <w:tcW w:w="1361" w:type="dxa"/>
            <w:noWrap/>
            <w:hideMark/>
          </w:tcPr>
          <w:p w14:paraId="5B3B869C"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78 (9.9)</w:t>
            </w:r>
          </w:p>
        </w:tc>
        <w:tc>
          <w:tcPr>
            <w:tcW w:w="1494" w:type="dxa"/>
            <w:noWrap/>
            <w:hideMark/>
          </w:tcPr>
          <w:p w14:paraId="15A7E511"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401 (16.1)</w:t>
            </w:r>
          </w:p>
        </w:tc>
        <w:tc>
          <w:tcPr>
            <w:tcW w:w="875" w:type="dxa"/>
            <w:noWrap/>
            <w:hideMark/>
          </w:tcPr>
          <w:p w14:paraId="650B8135"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&lt;0.001</w:t>
            </w:r>
          </w:p>
        </w:tc>
      </w:tr>
      <w:tr w:rsidR="002F4F35" w:rsidRPr="00124079" w14:paraId="38BAC9E3"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205DB4D5"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Years of Education (mean (SD))</w:t>
            </w:r>
          </w:p>
        </w:tc>
        <w:tc>
          <w:tcPr>
            <w:tcW w:w="1361" w:type="dxa"/>
            <w:noWrap/>
            <w:hideMark/>
          </w:tcPr>
          <w:p w14:paraId="45EF23AC"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16.29 (3.88)</w:t>
            </w:r>
          </w:p>
        </w:tc>
        <w:tc>
          <w:tcPr>
            <w:tcW w:w="1361" w:type="dxa"/>
            <w:noWrap/>
            <w:hideMark/>
          </w:tcPr>
          <w:p w14:paraId="0AAC531E"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17.18 (3.62)</w:t>
            </w:r>
          </w:p>
        </w:tc>
        <w:tc>
          <w:tcPr>
            <w:tcW w:w="1361" w:type="dxa"/>
            <w:noWrap/>
            <w:hideMark/>
          </w:tcPr>
          <w:p w14:paraId="0FFD5F12"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17.24 (3.82)</w:t>
            </w:r>
          </w:p>
        </w:tc>
        <w:tc>
          <w:tcPr>
            <w:tcW w:w="1494" w:type="dxa"/>
            <w:noWrap/>
            <w:hideMark/>
          </w:tcPr>
          <w:p w14:paraId="0634FFB9"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15.53 (3.86)</w:t>
            </w:r>
          </w:p>
        </w:tc>
        <w:tc>
          <w:tcPr>
            <w:tcW w:w="875" w:type="dxa"/>
            <w:noWrap/>
            <w:hideMark/>
          </w:tcPr>
          <w:p w14:paraId="3A4308F1"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&lt;0.001</w:t>
            </w:r>
          </w:p>
        </w:tc>
      </w:tr>
      <w:tr w:rsidR="002F4F35" w:rsidRPr="00124079" w14:paraId="464367F0"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70DFD61D"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Abuse = trauma (%)</w:t>
            </w:r>
          </w:p>
        </w:tc>
        <w:tc>
          <w:tcPr>
            <w:tcW w:w="1361" w:type="dxa"/>
            <w:noWrap/>
            <w:hideMark/>
          </w:tcPr>
          <w:p w14:paraId="56260FC5"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1166 (24.6)</w:t>
            </w:r>
          </w:p>
        </w:tc>
        <w:tc>
          <w:tcPr>
            <w:tcW w:w="1361" w:type="dxa"/>
            <w:noWrap/>
            <w:hideMark/>
          </w:tcPr>
          <w:p w14:paraId="54DD4D16"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244 (18.1)</w:t>
            </w:r>
          </w:p>
        </w:tc>
        <w:tc>
          <w:tcPr>
            <w:tcW w:w="1361" w:type="dxa"/>
            <w:noWrap/>
            <w:hideMark/>
          </w:tcPr>
          <w:p w14:paraId="48E32E6B"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189 (23.2)</w:t>
            </w:r>
          </w:p>
        </w:tc>
        <w:tc>
          <w:tcPr>
            <w:tcW w:w="1494" w:type="dxa"/>
            <w:noWrap/>
            <w:hideMark/>
          </w:tcPr>
          <w:p w14:paraId="4E788827"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733 (28.5)</w:t>
            </w:r>
          </w:p>
        </w:tc>
        <w:tc>
          <w:tcPr>
            <w:tcW w:w="875" w:type="dxa"/>
            <w:noWrap/>
            <w:hideMark/>
          </w:tcPr>
          <w:p w14:paraId="010C0C60"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&lt;0.001</w:t>
            </w:r>
          </w:p>
        </w:tc>
      </w:tr>
      <w:tr w:rsidR="002F4F35" w:rsidRPr="00124079" w14:paraId="2C162346"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22F72A59"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Neglect = trauma (%)</w:t>
            </w:r>
          </w:p>
        </w:tc>
        <w:tc>
          <w:tcPr>
            <w:tcW w:w="1361" w:type="dxa"/>
            <w:noWrap/>
            <w:hideMark/>
          </w:tcPr>
          <w:p w14:paraId="7F205432"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904 (19.1)</w:t>
            </w:r>
          </w:p>
        </w:tc>
        <w:tc>
          <w:tcPr>
            <w:tcW w:w="1361" w:type="dxa"/>
            <w:noWrap/>
            <w:hideMark/>
          </w:tcPr>
          <w:p w14:paraId="747D88CD"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215 (16.0)</w:t>
            </w:r>
          </w:p>
        </w:tc>
        <w:tc>
          <w:tcPr>
            <w:tcW w:w="1361" w:type="dxa"/>
            <w:noWrap/>
            <w:hideMark/>
          </w:tcPr>
          <w:p w14:paraId="0EF60D92"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152 (18.6)</w:t>
            </w:r>
          </w:p>
        </w:tc>
        <w:tc>
          <w:tcPr>
            <w:tcW w:w="1494" w:type="dxa"/>
            <w:noWrap/>
            <w:hideMark/>
          </w:tcPr>
          <w:p w14:paraId="10735F80"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537 (20.9)</w:t>
            </w:r>
          </w:p>
        </w:tc>
        <w:tc>
          <w:tcPr>
            <w:tcW w:w="875" w:type="dxa"/>
            <w:noWrap/>
            <w:hideMark/>
          </w:tcPr>
          <w:p w14:paraId="35237396"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0.001</w:t>
            </w:r>
          </w:p>
        </w:tc>
      </w:tr>
      <w:tr w:rsidR="002F4F35" w:rsidRPr="00124079" w14:paraId="1C8A8AAA"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68540FD7"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Household Discord = trauma (%)</w:t>
            </w:r>
          </w:p>
        </w:tc>
        <w:tc>
          <w:tcPr>
            <w:tcW w:w="1361" w:type="dxa"/>
            <w:noWrap/>
            <w:hideMark/>
          </w:tcPr>
          <w:p w14:paraId="7BF09C05"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1437 (30.3)</w:t>
            </w:r>
          </w:p>
        </w:tc>
        <w:tc>
          <w:tcPr>
            <w:tcW w:w="1361" w:type="dxa"/>
            <w:noWrap/>
            <w:hideMark/>
          </w:tcPr>
          <w:p w14:paraId="327E27B4"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300 (22.3)</w:t>
            </w:r>
          </w:p>
        </w:tc>
        <w:tc>
          <w:tcPr>
            <w:tcW w:w="1361" w:type="dxa"/>
            <w:noWrap/>
            <w:hideMark/>
          </w:tcPr>
          <w:p w14:paraId="2CC5E0A2"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240 (29.4)</w:t>
            </w:r>
          </w:p>
        </w:tc>
        <w:tc>
          <w:tcPr>
            <w:tcW w:w="1494" w:type="dxa"/>
            <w:noWrap/>
            <w:hideMark/>
          </w:tcPr>
          <w:p w14:paraId="3E478231"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897 (34.9)</w:t>
            </w:r>
          </w:p>
        </w:tc>
        <w:tc>
          <w:tcPr>
            <w:tcW w:w="875" w:type="dxa"/>
            <w:noWrap/>
            <w:hideMark/>
          </w:tcPr>
          <w:p w14:paraId="585A5563"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&lt;0.001</w:t>
            </w:r>
          </w:p>
        </w:tc>
      </w:tr>
      <w:tr w:rsidR="002F4F35" w:rsidRPr="00124079" w14:paraId="4881830A"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09F64B1E"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Bullying = trauma (%)</w:t>
            </w:r>
          </w:p>
        </w:tc>
        <w:tc>
          <w:tcPr>
            <w:tcW w:w="1361" w:type="dxa"/>
            <w:noWrap/>
            <w:hideMark/>
          </w:tcPr>
          <w:p w14:paraId="48AC6995"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974 (20.6)</w:t>
            </w:r>
          </w:p>
        </w:tc>
        <w:tc>
          <w:tcPr>
            <w:tcW w:w="1361" w:type="dxa"/>
            <w:noWrap/>
            <w:hideMark/>
          </w:tcPr>
          <w:p w14:paraId="0162FFB4"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185 (13.7)</w:t>
            </w:r>
          </w:p>
        </w:tc>
        <w:tc>
          <w:tcPr>
            <w:tcW w:w="1361" w:type="dxa"/>
            <w:noWrap/>
            <w:hideMark/>
          </w:tcPr>
          <w:p w14:paraId="4DF83C9C"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174 (21.3)</w:t>
            </w:r>
          </w:p>
        </w:tc>
        <w:tc>
          <w:tcPr>
            <w:tcW w:w="1494" w:type="dxa"/>
            <w:noWrap/>
            <w:hideMark/>
          </w:tcPr>
          <w:p w14:paraId="473A0A8F"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615 (23.9)</w:t>
            </w:r>
          </w:p>
        </w:tc>
        <w:tc>
          <w:tcPr>
            <w:tcW w:w="875" w:type="dxa"/>
            <w:noWrap/>
            <w:hideMark/>
          </w:tcPr>
          <w:p w14:paraId="18B3E5BF"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&lt;0.001</w:t>
            </w:r>
          </w:p>
        </w:tc>
      </w:tr>
      <w:tr w:rsidR="002F4F35" w:rsidRPr="00124079" w14:paraId="20F0546A" w14:textId="77777777" w:rsidTr="002F4F35">
        <w:trPr>
          <w:trHeight w:val="283"/>
        </w:trPr>
        <w:tc>
          <w:tcPr>
            <w:cnfStyle w:val="001000000000" w:firstRow="0" w:lastRow="0" w:firstColumn="1" w:lastColumn="0" w:oddVBand="0" w:evenVBand="0" w:oddHBand="0" w:evenHBand="0" w:firstRowFirstColumn="0" w:firstRowLastColumn="0" w:lastRowFirstColumn="0" w:lastRowLastColumn="0"/>
            <w:tcW w:w="3597" w:type="dxa"/>
            <w:noWrap/>
            <w:hideMark/>
          </w:tcPr>
          <w:p w14:paraId="2B8CE862" w14:textId="77777777" w:rsidR="002F4F35" w:rsidRPr="003000DF" w:rsidRDefault="002F4F35" w:rsidP="00A35E74">
            <w:pPr>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GPTS (mean (SD))</w:t>
            </w:r>
          </w:p>
        </w:tc>
        <w:tc>
          <w:tcPr>
            <w:tcW w:w="1361" w:type="dxa"/>
            <w:noWrap/>
            <w:hideMark/>
          </w:tcPr>
          <w:p w14:paraId="57BBB198"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49.59 (21.78)</w:t>
            </w:r>
          </w:p>
        </w:tc>
        <w:tc>
          <w:tcPr>
            <w:tcW w:w="1361" w:type="dxa"/>
            <w:noWrap/>
            <w:hideMark/>
          </w:tcPr>
          <w:p w14:paraId="4F893721"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46.67 (19.63)</w:t>
            </w:r>
          </w:p>
        </w:tc>
        <w:tc>
          <w:tcPr>
            <w:tcW w:w="1361" w:type="dxa"/>
            <w:noWrap/>
            <w:hideMark/>
          </w:tcPr>
          <w:p w14:paraId="5E14C361"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48.86 (22.50)</w:t>
            </w:r>
          </w:p>
        </w:tc>
        <w:tc>
          <w:tcPr>
            <w:tcW w:w="1494" w:type="dxa"/>
            <w:noWrap/>
            <w:hideMark/>
          </w:tcPr>
          <w:p w14:paraId="5D984AA3"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51.35 (22.44)</w:t>
            </w:r>
          </w:p>
        </w:tc>
        <w:tc>
          <w:tcPr>
            <w:tcW w:w="875" w:type="dxa"/>
            <w:noWrap/>
            <w:hideMark/>
          </w:tcPr>
          <w:p w14:paraId="3674265B" w14:textId="77777777" w:rsidR="002F4F35" w:rsidRPr="003000DF" w:rsidRDefault="002F4F35" w:rsidP="00A35E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lang w:eastAsia="en-GB"/>
                <w14:ligatures w14:val="none"/>
              </w:rPr>
            </w:pPr>
            <w:r w:rsidRPr="003000DF">
              <w:rPr>
                <w:rFonts w:ascii="Calibri" w:eastAsia="Times New Roman" w:hAnsi="Calibri" w:cs="Calibri"/>
                <w:color w:val="000000"/>
                <w:kern w:val="0"/>
                <w:sz w:val="20"/>
                <w:szCs w:val="20"/>
                <w:lang w:eastAsia="en-GB"/>
                <w14:ligatures w14:val="none"/>
              </w:rPr>
              <w:t>&lt;0.001</w:t>
            </w:r>
          </w:p>
        </w:tc>
      </w:tr>
    </w:tbl>
    <w:p w14:paraId="67444F50" w14:textId="77777777" w:rsidR="00B92EA1" w:rsidRDefault="002F4F35">
      <w:pPr>
        <w:rPr>
          <w:rFonts w:ascii="Calibri" w:hAnsi="Calibri" w:cs="Calibri"/>
          <w:sz w:val="20"/>
          <w:szCs w:val="20"/>
        </w:rPr>
        <w:sectPr w:rsidR="00B92EA1" w:rsidSect="004B56E2">
          <w:pgSz w:w="16838" w:h="11906" w:orient="landscape"/>
          <w:pgMar w:top="1440" w:right="1440" w:bottom="1440" w:left="1440" w:header="708" w:footer="708" w:gutter="0"/>
          <w:cols w:space="708"/>
          <w:docGrid w:linePitch="360"/>
        </w:sectPr>
      </w:pPr>
      <w:r w:rsidRPr="004A12A3">
        <w:rPr>
          <w:rFonts w:ascii="Calibri" w:hAnsi="Calibri" w:cs="Calibri"/>
          <w:sz w:val="20"/>
          <w:szCs w:val="20"/>
        </w:rPr>
        <w:t>The table presents the demographic, trauma, and clinical characteristics of the sample, stratified by cannabis use categories (Non-users, Past users, Current users). Statistical tests used: t-tests or ANOVA for continuous variables and chi-square tests for categorical variables. Trauma categories include abuse (</w:t>
      </w:r>
      <w:r w:rsidR="002461CC">
        <w:rPr>
          <w:rFonts w:ascii="Calibri" w:hAnsi="Calibri" w:cs="Calibri"/>
          <w:sz w:val="20"/>
          <w:szCs w:val="20"/>
        </w:rPr>
        <w:t xml:space="preserve">i.e., </w:t>
      </w:r>
      <w:r w:rsidRPr="004A12A3">
        <w:rPr>
          <w:rFonts w:ascii="Calibri" w:hAnsi="Calibri" w:cs="Calibri"/>
          <w:sz w:val="20"/>
          <w:szCs w:val="20"/>
        </w:rPr>
        <w:t>emotional, physical, sexual) and neglect (</w:t>
      </w:r>
      <w:r w:rsidR="002461CC">
        <w:rPr>
          <w:rFonts w:ascii="Calibri" w:hAnsi="Calibri" w:cs="Calibri"/>
          <w:sz w:val="20"/>
          <w:szCs w:val="20"/>
        </w:rPr>
        <w:t xml:space="preserve">i.e., </w:t>
      </w:r>
      <w:r w:rsidRPr="004A12A3">
        <w:rPr>
          <w:rFonts w:ascii="Calibri" w:hAnsi="Calibri" w:cs="Calibri"/>
          <w:sz w:val="20"/>
          <w:szCs w:val="20"/>
        </w:rPr>
        <w:t>emotional, physical), as well as household discord and bullying.</w:t>
      </w:r>
      <w:r>
        <w:rPr>
          <w:rFonts w:ascii="Calibri" w:hAnsi="Calibri" w:cs="Calibri"/>
          <w:sz w:val="20"/>
          <w:szCs w:val="20"/>
        </w:rPr>
        <w:t xml:space="preserve"> </w:t>
      </w:r>
      <w:r w:rsidRPr="00211341">
        <w:rPr>
          <w:rFonts w:ascii="Calibri" w:hAnsi="Calibri" w:cs="Calibri"/>
          <w:sz w:val="20"/>
          <w:szCs w:val="20"/>
        </w:rPr>
        <w:t xml:space="preserve">Significant </w:t>
      </w:r>
      <w:r>
        <w:rPr>
          <w:rFonts w:ascii="Calibri" w:hAnsi="Calibri" w:cs="Calibri"/>
          <w:sz w:val="20"/>
          <w:szCs w:val="20"/>
        </w:rPr>
        <w:t>p-values</w:t>
      </w:r>
      <w:r w:rsidRPr="00211341">
        <w:rPr>
          <w:rFonts w:ascii="Calibri" w:hAnsi="Calibri" w:cs="Calibri"/>
          <w:sz w:val="20"/>
          <w:szCs w:val="20"/>
        </w:rPr>
        <w:t xml:space="preserve"> (p &lt; 0.05) are highlighted.</w:t>
      </w:r>
    </w:p>
    <w:p w14:paraId="53271155" w14:textId="7AAE196D" w:rsidR="00B92EA1" w:rsidRPr="003E0E4E" w:rsidRDefault="00B92EA1" w:rsidP="008D1FCE">
      <w:pPr>
        <w:pStyle w:val="Heading2"/>
        <w:spacing w:before="0" w:after="0" w:line="480" w:lineRule="auto"/>
        <w:rPr>
          <w:rFonts w:ascii="Calibri" w:hAnsi="Calibri" w:cs="Calibri"/>
          <w:i/>
          <w:iCs/>
          <w:noProof/>
          <w:color w:val="auto"/>
          <w:sz w:val="22"/>
          <w:szCs w:val="22"/>
        </w:rPr>
      </w:pPr>
      <w:bookmarkStart w:id="17" w:name="_Toc200722082"/>
      <w:r w:rsidRPr="003E0E4E">
        <w:rPr>
          <w:rFonts w:ascii="Calibri" w:hAnsi="Calibri" w:cs="Calibri"/>
          <w:i/>
          <w:iCs/>
          <w:noProof/>
          <w:color w:val="auto"/>
          <w:sz w:val="22"/>
          <w:szCs w:val="22"/>
        </w:rPr>
        <w:lastRenderedPageBreak/>
        <w:t>1.4. Paranoia Scores by Trauma Subtype and Exposure Status</w:t>
      </w:r>
      <w:bookmarkEnd w:id="17"/>
    </w:p>
    <w:p w14:paraId="41BE6533" w14:textId="77777777" w:rsidR="008D1FCE" w:rsidRPr="0024537F" w:rsidRDefault="008D1FCE" w:rsidP="008D1FCE"/>
    <w:p w14:paraId="52347FCC" w14:textId="0FA72AC3" w:rsidR="008D1FCE" w:rsidRDefault="00B92EA1" w:rsidP="008D1FCE">
      <w:pPr>
        <w:spacing w:line="480" w:lineRule="auto"/>
        <w:jc w:val="both"/>
        <w:rPr>
          <w:rFonts w:ascii="Calibri" w:hAnsi="Calibri" w:cs="Calibri"/>
          <w:noProof/>
          <w:sz w:val="22"/>
          <w:szCs w:val="22"/>
        </w:rPr>
      </w:pPr>
      <w:r w:rsidRPr="0024537F">
        <w:rPr>
          <w:rFonts w:ascii="Calibri" w:hAnsi="Calibri" w:cs="Calibri"/>
          <w:b/>
          <w:bCs/>
          <w:noProof/>
          <w:sz w:val="22"/>
          <w:szCs w:val="22"/>
        </w:rPr>
        <w:t xml:space="preserve">Table </w:t>
      </w:r>
      <w:r w:rsidRPr="00B92EA1">
        <w:rPr>
          <w:rFonts w:ascii="Calibri" w:hAnsi="Calibri" w:cs="Calibri"/>
          <w:b/>
          <w:bCs/>
          <w:noProof/>
          <w:sz w:val="22"/>
          <w:szCs w:val="22"/>
        </w:rPr>
        <w:t>S2</w:t>
      </w:r>
      <w:r>
        <w:rPr>
          <w:rFonts w:ascii="Calibri" w:hAnsi="Calibri" w:cs="Calibri"/>
          <w:b/>
          <w:bCs/>
          <w:noProof/>
          <w:sz w:val="22"/>
          <w:szCs w:val="22"/>
        </w:rPr>
        <w:t xml:space="preserve"> </w:t>
      </w:r>
      <w:r>
        <w:rPr>
          <w:rFonts w:ascii="Calibri" w:hAnsi="Calibri" w:cs="Calibri"/>
          <w:noProof/>
          <w:sz w:val="22"/>
          <w:szCs w:val="22"/>
        </w:rPr>
        <w:t xml:space="preserve">provides a detailed summary of GPTS scores stratified by trauma subtype. This breakdown improves clarity on how paranoia scores vary by specific childhood </w:t>
      </w:r>
      <w:r w:rsidR="00A44CF4">
        <w:rPr>
          <w:rFonts w:ascii="Calibri" w:hAnsi="Calibri" w:cs="Calibri"/>
          <w:noProof/>
          <w:sz w:val="22"/>
          <w:szCs w:val="22"/>
        </w:rPr>
        <w:t>trauma</w:t>
      </w:r>
      <w:r>
        <w:rPr>
          <w:rFonts w:ascii="Calibri" w:hAnsi="Calibri" w:cs="Calibri"/>
          <w:noProof/>
          <w:sz w:val="22"/>
          <w:szCs w:val="22"/>
        </w:rPr>
        <w:t>. The table demonstrates a consistent trend of higher paranoia scores among participants reporting moderate-to-severe trauma across all subtypes.</w:t>
      </w:r>
    </w:p>
    <w:p w14:paraId="20A6EB56" w14:textId="31A4251D" w:rsidR="00A2647F" w:rsidRPr="002B4DD3" w:rsidRDefault="00A2647F" w:rsidP="00A2647F">
      <w:pPr>
        <w:pStyle w:val="Heading3"/>
        <w:jc w:val="both"/>
        <w:rPr>
          <w:rFonts w:ascii="Calibri" w:hAnsi="Calibri" w:cs="Calibri"/>
          <w:b/>
          <w:bCs/>
          <w:i/>
          <w:iCs/>
          <w:color w:val="auto"/>
          <w:sz w:val="20"/>
          <w:szCs w:val="20"/>
        </w:rPr>
      </w:pPr>
      <w:bookmarkStart w:id="18" w:name="_Toc200722083"/>
      <w:r w:rsidRPr="002B4DD3">
        <w:rPr>
          <w:rFonts w:ascii="Calibri" w:hAnsi="Calibri" w:cs="Calibri"/>
          <w:b/>
          <w:bCs/>
          <w:i/>
          <w:iCs/>
          <w:color w:val="auto"/>
          <w:sz w:val="20"/>
          <w:szCs w:val="20"/>
        </w:rPr>
        <w:t>Table S</w:t>
      </w:r>
      <w:r>
        <w:rPr>
          <w:rFonts w:ascii="Calibri" w:hAnsi="Calibri" w:cs="Calibri"/>
          <w:b/>
          <w:bCs/>
          <w:i/>
          <w:iCs/>
          <w:color w:val="auto"/>
          <w:sz w:val="20"/>
          <w:szCs w:val="20"/>
        </w:rPr>
        <w:t>2</w:t>
      </w:r>
      <w:r w:rsidRPr="002B4DD3">
        <w:rPr>
          <w:rFonts w:ascii="Calibri" w:hAnsi="Calibri" w:cs="Calibri"/>
          <w:b/>
          <w:bCs/>
          <w:i/>
          <w:iCs/>
          <w:color w:val="auto"/>
          <w:sz w:val="20"/>
          <w:szCs w:val="20"/>
        </w:rPr>
        <w:t xml:space="preserve">. </w:t>
      </w:r>
      <w:r>
        <w:rPr>
          <w:rFonts w:ascii="Calibri" w:hAnsi="Calibri" w:cs="Calibri"/>
          <w:i/>
          <w:iCs/>
          <w:color w:val="auto"/>
          <w:sz w:val="20"/>
          <w:szCs w:val="20"/>
        </w:rPr>
        <w:t>Paranoia Scores (GPTS) by Trauma Type and Exposure Status</w:t>
      </w:r>
      <w:bookmarkEnd w:id="18"/>
    </w:p>
    <w:tbl>
      <w:tblPr>
        <w:tblStyle w:val="GridTable1Light"/>
        <w:tblW w:w="0" w:type="auto"/>
        <w:tblLook w:val="04A0" w:firstRow="1" w:lastRow="0" w:firstColumn="1" w:lastColumn="0" w:noHBand="0" w:noVBand="1"/>
      </w:tblPr>
      <w:tblGrid>
        <w:gridCol w:w="1803"/>
        <w:gridCol w:w="1803"/>
        <w:gridCol w:w="1803"/>
        <w:gridCol w:w="1803"/>
      </w:tblGrid>
      <w:tr w:rsidR="00212E68" w:rsidRPr="00212E68" w14:paraId="38291AC8" w14:textId="77777777" w:rsidTr="00B92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7781393C" w14:textId="35AB0028" w:rsidR="00212E68" w:rsidRPr="0024537F" w:rsidRDefault="00212E68" w:rsidP="0024537F">
            <w:pPr>
              <w:jc w:val="both"/>
              <w:rPr>
                <w:rFonts w:ascii="Calibri" w:hAnsi="Calibri" w:cs="Calibri"/>
                <w:noProof/>
                <w:sz w:val="20"/>
                <w:szCs w:val="20"/>
              </w:rPr>
            </w:pPr>
            <w:r w:rsidRPr="0024537F">
              <w:rPr>
                <w:rFonts w:ascii="Calibri" w:hAnsi="Calibri" w:cs="Calibri"/>
                <w:noProof/>
                <w:sz w:val="20"/>
                <w:szCs w:val="20"/>
              </w:rPr>
              <w:t>Trauma Type</w:t>
            </w:r>
          </w:p>
        </w:tc>
        <w:tc>
          <w:tcPr>
            <w:tcW w:w="1803" w:type="dxa"/>
          </w:tcPr>
          <w:p w14:paraId="337D993A" w14:textId="469D3EA3" w:rsidR="00212E68" w:rsidRPr="0024537F" w:rsidRDefault="00212E68" w:rsidP="0024537F">
            <w:pPr>
              <w:jc w:val="both"/>
              <w:cnfStyle w:val="100000000000" w:firstRow="1" w:lastRow="0" w:firstColumn="0" w:lastColumn="0" w:oddVBand="0" w:evenVBand="0" w:oddHBand="0" w:evenHBand="0" w:firstRowFirstColumn="0" w:firstRowLastColumn="0" w:lastRowFirstColumn="0" w:lastRowLastColumn="0"/>
              <w:rPr>
                <w:rFonts w:ascii="Calibri" w:hAnsi="Calibri" w:cs="Calibri"/>
                <w:noProof/>
                <w:sz w:val="20"/>
                <w:szCs w:val="20"/>
              </w:rPr>
            </w:pPr>
            <w:r w:rsidRPr="0024537F">
              <w:rPr>
                <w:rFonts w:ascii="Calibri" w:hAnsi="Calibri" w:cs="Calibri"/>
                <w:noProof/>
                <w:sz w:val="20"/>
                <w:szCs w:val="20"/>
              </w:rPr>
              <w:t>Trauma Status</w:t>
            </w:r>
          </w:p>
        </w:tc>
        <w:tc>
          <w:tcPr>
            <w:tcW w:w="1803" w:type="dxa"/>
          </w:tcPr>
          <w:p w14:paraId="746C053B" w14:textId="66D3874B" w:rsidR="00212E68" w:rsidRPr="0024537F" w:rsidRDefault="00212E68" w:rsidP="0024537F">
            <w:pPr>
              <w:jc w:val="both"/>
              <w:cnfStyle w:val="100000000000" w:firstRow="1" w:lastRow="0" w:firstColumn="0" w:lastColumn="0" w:oddVBand="0" w:evenVBand="0" w:oddHBand="0" w:evenHBand="0" w:firstRowFirstColumn="0" w:firstRowLastColumn="0" w:lastRowFirstColumn="0" w:lastRowLastColumn="0"/>
              <w:rPr>
                <w:rFonts w:ascii="Calibri" w:hAnsi="Calibri" w:cs="Calibri"/>
                <w:noProof/>
                <w:sz w:val="20"/>
                <w:szCs w:val="20"/>
              </w:rPr>
            </w:pPr>
            <w:r w:rsidRPr="0024537F">
              <w:rPr>
                <w:rFonts w:ascii="Calibri" w:hAnsi="Calibri" w:cs="Calibri"/>
                <w:noProof/>
                <w:sz w:val="20"/>
                <w:szCs w:val="20"/>
              </w:rPr>
              <w:t>N</w:t>
            </w:r>
          </w:p>
        </w:tc>
        <w:tc>
          <w:tcPr>
            <w:tcW w:w="1803" w:type="dxa"/>
          </w:tcPr>
          <w:p w14:paraId="6F11AD5B" w14:textId="69134CAC" w:rsidR="00212E68" w:rsidRPr="0024537F" w:rsidRDefault="00212E68" w:rsidP="0024537F">
            <w:pPr>
              <w:jc w:val="both"/>
              <w:cnfStyle w:val="100000000000" w:firstRow="1" w:lastRow="0" w:firstColumn="0" w:lastColumn="0" w:oddVBand="0" w:evenVBand="0" w:oddHBand="0" w:evenHBand="0" w:firstRowFirstColumn="0" w:firstRowLastColumn="0" w:lastRowFirstColumn="0" w:lastRowLastColumn="0"/>
              <w:rPr>
                <w:rFonts w:ascii="Calibri" w:hAnsi="Calibri" w:cs="Calibri"/>
                <w:noProof/>
                <w:sz w:val="20"/>
                <w:szCs w:val="20"/>
              </w:rPr>
            </w:pPr>
            <w:r w:rsidRPr="0024537F">
              <w:rPr>
                <w:rFonts w:ascii="Calibri" w:hAnsi="Calibri" w:cs="Calibri"/>
                <w:noProof/>
                <w:sz w:val="20"/>
                <w:szCs w:val="20"/>
              </w:rPr>
              <w:t>GPTS</w:t>
            </w:r>
            <w:r>
              <w:rPr>
                <w:rFonts w:ascii="Calibri" w:hAnsi="Calibri" w:cs="Calibri"/>
                <w:noProof/>
                <w:sz w:val="20"/>
                <w:szCs w:val="20"/>
              </w:rPr>
              <w:t xml:space="preserve"> (mean (SD))</w:t>
            </w:r>
          </w:p>
        </w:tc>
      </w:tr>
      <w:tr w:rsidR="00212E68" w:rsidRPr="00212E68" w14:paraId="1C2B0234" w14:textId="77777777" w:rsidTr="00B92EA1">
        <w:tc>
          <w:tcPr>
            <w:cnfStyle w:val="001000000000" w:firstRow="0" w:lastRow="0" w:firstColumn="1" w:lastColumn="0" w:oddVBand="0" w:evenVBand="0" w:oddHBand="0" w:evenHBand="0" w:firstRowFirstColumn="0" w:firstRowLastColumn="0" w:lastRowFirstColumn="0" w:lastRowLastColumn="0"/>
            <w:tcW w:w="1803" w:type="dxa"/>
          </w:tcPr>
          <w:p w14:paraId="1BF54F36" w14:textId="6404F56D" w:rsidR="00212E68" w:rsidRPr="0024537F" w:rsidRDefault="00212E68" w:rsidP="0024537F">
            <w:pPr>
              <w:jc w:val="both"/>
              <w:rPr>
                <w:rFonts w:ascii="Calibri" w:hAnsi="Calibri" w:cs="Calibri"/>
                <w:noProof/>
                <w:sz w:val="20"/>
                <w:szCs w:val="20"/>
              </w:rPr>
            </w:pPr>
            <w:r w:rsidRPr="0024537F">
              <w:rPr>
                <w:rFonts w:ascii="Calibri" w:hAnsi="Calibri" w:cs="Calibri"/>
                <w:noProof/>
                <w:sz w:val="20"/>
                <w:szCs w:val="20"/>
              </w:rPr>
              <w:t>EN</w:t>
            </w:r>
          </w:p>
        </w:tc>
        <w:tc>
          <w:tcPr>
            <w:tcW w:w="1803" w:type="dxa"/>
          </w:tcPr>
          <w:p w14:paraId="3C32C791" w14:textId="77777777"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sidRPr="0024537F">
              <w:rPr>
                <w:rFonts w:ascii="Calibri" w:hAnsi="Calibri" w:cs="Calibri"/>
                <w:noProof/>
                <w:sz w:val="20"/>
                <w:szCs w:val="20"/>
              </w:rPr>
              <w:t>Non-trauma</w:t>
            </w:r>
          </w:p>
          <w:p w14:paraId="2CEC9B51" w14:textId="35D31858"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sidRPr="0024537F">
              <w:rPr>
                <w:rFonts w:ascii="Calibri" w:hAnsi="Calibri" w:cs="Calibri"/>
                <w:noProof/>
                <w:sz w:val="20"/>
                <w:szCs w:val="20"/>
              </w:rPr>
              <w:t>Trauma</w:t>
            </w:r>
          </w:p>
        </w:tc>
        <w:tc>
          <w:tcPr>
            <w:tcW w:w="1803" w:type="dxa"/>
          </w:tcPr>
          <w:p w14:paraId="5DB39728" w14:textId="77777777" w:rsidR="00212E68" w:rsidRPr="0024537F" w:rsidRDefault="00212E68" w:rsidP="00B92EA1">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sidRPr="0024537F">
              <w:rPr>
                <w:rFonts w:ascii="Calibri" w:hAnsi="Calibri" w:cs="Calibri"/>
                <w:noProof/>
                <w:sz w:val="20"/>
                <w:szCs w:val="20"/>
              </w:rPr>
              <w:t>4350</w:t>
            </w:r>
          </w:p>
          <w:p w14:paraId="0C0F3DF5" w14:textId="4100A047"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386</w:t>
            </w:r>
          </w:p>
        </w:tc>
        <w:tc>
          <w:tcPr>
            <w:tcW w:w="1803" w:type="dxa"/>
          </w:tcPr>
          <w:p w14:paraId="5B46ACA3" w14:textId="4358EC70" w:rsidR="00212E68" w:rsidRDefault="00212E68" w:rsidP="00B92EA1">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48.7 (21.0)</w:t>
            </w:r>
          </w:p>
          <w:p w14:paraId="3FC89714" w14:textId="19037408"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59.4 (27.3)</w:t>
            </w:r>
          </w:p>
        </w:tc>
      </w:tr>
      <w:tr w:rsidR="00212E68" w:rsidRPr="00212E68" w14:paraId="03CD6314" w14:textId="77777777" w:rsidTr="00B92EA1">
        <w:tc>
          <w:tcPr>
            <w:cnfStyle w:val="001000000000" w:firstRow="0" w:lastRow="0" w:firstColumn="1" w:lastColumn="0" w:oddVBand="0" w:evenVBand="0" w:oddHBand="0" w:evenHBand="0" w:firstRowFirstColumn="0" w:firstRowLastColumn="0" w:lastRowFirstColumn="0" w:lastRowLastColumn="0"/>
            <w:tcW w:w="1803" w:type="dxa"/>
          </w:tcPr>
          <w:p w14:paraId="39003EBC" w14:textId="3592F058" w:rsidR="00212E68" w:rsidRPr="0024537F" w:rsidRDefault="00212E68" w:rsidP="0024537F">
            <w:pPr>
              <w:jc w:val="both"/>
              <w:rPr>
                <w:rFonts w:ascii="Calibri" w:hAnsi="Calibri" w:cs="Calibri"/>
                <w:noProof/>
                <w:sz w:val="20"/>
                <w:szCs w:val="20"/>
              </w:rPr>
            </w:pPr>
            <w:r w:rsidRPr="0024537F">
              <w:rPr>
                <w:rFonts w:ascii="Calibri" w:hAnsi="Calibri" w:cs="Calibri"/>
                <w:noProof/>
                <w:sz w:val="20"/>
                <w:szCs w:val="20"/>
              </w:rPr>
              <w:t>PN</w:t>
            </w:r>
          </w:p>
        </w:tc>
        <w:tc>
          <w:tcPr>
            <w:tcW w:w="1803" w:type="dxa"/>
          </w:tcPr>
          <w:p w14:paraId="1D66F023" w14:textId="77777777"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sidRPr="0024537F">
              <w:rPr>
                <w:rFonts w:ascii="Calibri" w:hAnsi="Calibri" w:cs="Calibri"/>
                <w:noProof/>
                <w:sz w:val="20"/>
                <w:szCs w:val="20"/>
              </w:rPr>
              <w:t>Non-trauma</w:t>
            </w:r>
          </w:p>
          <w:p w14:paraId="597394D4" w14:textId="111723FE"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noProof/>
                <w:sz w:val="20"/>
                <w:szCs w:val="20"/>
              </w:rPr>
            </w:pPr>
            <w:r w:rsidRPr="0024537F">
              <w:rPr>
                <w:rFonts w:ascii="Calibri" w:hAnsi="Calibri" w:cs="Calibri"/>
                <w:noProof/>
                <w:sz w:val="20"/>
                <w:szCs w:val="20"/>
              </w:rPr>
              <w:t>Trauma</w:t>
            </w:r>
          </w:p>
        </w:tc>
        <w:tc>
          <w:tcPr>
            <w:tcW w:w="1803" w:type="dxa"/>
          </w:tcPr>
          <w:p w14:paraId="57210972" w14:textId="77777777" w:rsidR="00212E68" w:rsidRDefault="00212E68" w:rsidP="00B92EA1">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4054</w:t>
            </w:r>
          </w:p>
          <w:p w14:paraId="42215D63" w14:textId="59FC68DD"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682</w:t>
            </w:r>
          </w:p>
        </w:tc>
        <w:tc>
          <w:tcPr>
            <w:tcW w:w="1803" w:type="dxa"/>
          </w:tcPr>
          <w:p w14:paraId="058FBA89" w14:textId="77777777" w:rsidR="00212E68" w:rsidRDefault="00212E68" w:rsidP="00B92EA1">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48.4 (20.5)</w:t>
            </w:r>
          </w:p>
          <w:p w14:paraId="150866AD" w14:textId="4AFB7026"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56.6 (27.2)</w:t>
            </w:r>
          </w:p>
        </w:tc>
      </w:tr>
      <w:tr w:rsidR="00212E68" w:rsidRPr="00212E68" w14:paraId="071DF5F6" w14:textId="77777777" w:rsidTr="00B92EA1">
        <w:tc>
          <w:tcPr>
            <w:cnfStyle w:val="001000000000" w:firstRow="0" w:lastRow="0" w:firstColumn="1" w:lastColumn="0" w:oddVBand="0" w:evenVBand="0" w:oddHBand="0" w:evenHBand="0" w:firstRowFirstColumn="0" w:firstRowLastColumn="0" w:lastRowFirstColumn="0" w:lastRowLastColumn="0"/>
            <w:tcW w:w="1803" w:type="dxa"/>
          </w:tcPr>
          <w:p w14:paraId="795EB6A0" w14:textId="5B47547F" w:rsidR="00212E68" w:rsidRPr="0024537F" w:rsidRDefault="00212E68" w:rsidP="0024537F">
            <w:pPr>
              <w:jc w:val="both"/>
              <w:rPr>
                <w:rFonts w:ascii="Calibri" w:hAnsi="Calibri" w:cs="Calibri"/>
                <w:noProof/>
                <w:sz w:val="20"/>
                <w:szCs w:val="20"/>
              </w:rPr>
            </w:pPr>
            <w:r w:rsidRPr="0024537F">
              <w:rPr>
                <w:rFonts w:ascii="Calibri" w:hAnsi="Calibri" w:cs="Calibri"/>
                <w:noProof/>
                <w:sz w:val="20"/>
                <w:szCs w:val="20"/>
              </w:rPr>
              <w:t>EA</w:t>
            </w:r>
          </w:p>
        </w:tc>
        <w:tc>
          <w:tcPr>
            <w:tcW w:w="1803" w:type="dxa"/>
          </w:tcPr>
          <w:p w14:paraId="516E1626" w14:textId="77777777"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sidRPr="0024537F">
              <w:rPr>
                <w:rFonts w:ascii="Calibri" w:hAnsi="Calibri" w:cs="Calibri"/>
                <w:noProof/>
                <w:sz w:val="20"/>
                <w:szCs w:val="20"/>
              </w:rPr>
              <w:t>Non-trauma</w:t>
            </w:r>
          </w:p>
          <w:p w14:paraId="41911974" w14:textId="0754897F"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noProof/>
                <w:sz w:val="20"/>
                <w:szCs w:val="20"/>
              </w:rPr>
            </w:pPr>
            <w:r w:rsidRPr="0024537F">
              <w:rPr>
                <w:rFonts w:ascii="Calibri" w:hAnsi="Calibri" w:cs="Calibri"/>
                <w:noProof/>
                <w:sz w:val="20"/>
                <w:szCs w:val="20"/>
              </w:rPr>
              <w:t>Trauma</w:t>
            </w:r>
          </w:p>
        </w:tc>
        <w:tc>
          <w:tcPr>
            <w:tcW w:w="1803" w:type="dxa"/>
          </w:tcPr>
          <w:p w14:paraId="5985E6C8" w14:textId="77777777" w:rsidR="00212E68" w:rsidRDefault="00212E68" w:rsidP="00B92EA1">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3767</w:t>
            </w:r>
          </w:p>
          <w:p w14:paraId="768A3E65" w14:textId="556F01B3"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969</w:t>
            </w:r>
          </w:p>
        </w:tc>
        <w:tc>
          <w:tcPr>
            <w:tcW w:w="1803" w:type="dxa"/>
          </w:tcPr>
          <w:p w14:paraId="45063315" w14:textId="77777777" w:rsidR="00212E68" w:rsidRDefault="00212E68" w:rsidP="00B92EA1">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46.1 (18.1)</w:t>
            </w:r>
          </w:p>
          <w:p w14:paraId="30889EEE" w14:textId="403082DE"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63.1 (28.6)</w:t>
            </w:r>
          </w:p>
        </w:tc>
      </w:tr>
      <w:tr w:rsidR="00212E68" w:rsidRPr="00212E68" w14:paraId="22F72B2E" w14:textId="77777777" w:rsidTr="00B92EA1">
        <w:tc>
          <w:tcPr>
            <w:cnfStyle w:val="001000000000" w:firstRow="0" w:lastRow="0" w:firstColumn="1" w:lastColumn="0" w:oddVBand="0" w:evenVBand="0" w:oddHBand="0" w:evenHBand="0" w:firstRowFirstColumn="0" w:firstRowLastColumn="0" w:lastRowFirstColumn="0" w:lastRowLastColumn="0"/>
            <w:tcW w:w="1803" w:type="dxa"/>
          </w:tcPr>
          <w:p w14:paraId="237198E3" w14:textId="35A496C0" w:rsidR="00212E68" w:rsidRPr="0024537F" w:rsidRDefault="00212E68" w:rsidP="0024537F">
            <w:pPr>
              <w:jc w:val="both"/>
              <w:rPr>
                <w:rFonts w:ascii="Calibri" w:hAnsi="Calibri" w:cs="Calibri"/>
                <w:noProof/>
                <w:sz w:val="20"/>
                <w:szCs w:val="20"/>
              </w:rPr>
            </w:pPr>
            <w:r w:rsidRPr="0024537F">
              <w:rPr>
                <w:rFonts w:ascii="Calibri" w:hAnsi="Calibri" w:cs="Calibri"/>
                <w:noProof/>
                <w:sz w:val="20"/>
                <w:szCs w:val="20"/>
              </w:rPr>
              <w:t>PA</w:t>
            </w:r>
          </w:p>
        </w:tc>
        <w:tc>
          <w:tcPr>
            <w:tcW w:w="1803" w:type="dxa"/>
          </w:tcPr>
          <w:p w14:paraId="66806E79" w14:textId="77777777"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sidRPr="0024537F">
              <w:rPr>
                <w:rFonts w:ascii="Calibri" w:hAnsi="Calibri" w:cs="Calibri"/>
                <w:noProof/>
                <w:sz w:val="20"/>
                <w:szCs w:val="20"/>
              </w:rPr>
              <w:t>Non-trauma</w:t>
            </w:r>
          </w:p>
          <w:p w14:paraId="580310FC" w14:textId="681B062D"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noProof/>
                <w:sz w:val="20"/>
                <w:szCs w:val="20"/>
              </w:rPr>
            </w:pPr>
            <w:r w:rsidRPr="0024537F">
              <w:rPr>
                <w:rFonts w:ascii="Calibri" w:hAnsi="Calibri" w:cs="Calibri"/>
                <w:noProof/>
                <w:sz w:val="20"/>
                <w:szCs w:val="20"/>
              </w:rPr>
              <w:t>Trauma</w:t>
            </w:r>
          </w:p>
        </w:tc>
        <w:tc>
          <w:tcPr>
            <w:tcW w:w="1803" w:type="dxa"/>
          </w:tcPr>
          <w:p w14:paraId="7540CD09" w14:textId="77777777" w:rsidR="00212E68" w:rsidRDefault="00212E68" w:rsidP="00B92EA1">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4354</w:t>
            </w:r>
          </w:p>
          <w:p w14:paraId="08AF6932" w14:textId="5AD1BD42"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382</w:t>
            </w:r>
          </w:p>
        </w:tc>
        <w:tc>
          <w:tcPr>
            <w:tcW w:w="1803" w:type="dxa"/>
          </w:tcPr>
          <w:p w14:paraId="120B2A11" w14:textId="77777777" w:rsidR="00212E68" w:rsidRDefault="00212E68" w:rsidP="00B92EA1">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48.2 (20.3)</w:t>
            </w:r>
          </w:p>
          <w:p w14:paraId="4C6347E1" w14:textId="788DD36C"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65.2 (30.2)</w:t>
            </w:r>
          </w:p>
        </w:tc>
      </w:tr>
      <w:tr w:rsidR="00212E68" w:rsidRPr="00212E68" w14:paraId="0BBE6BCD" w14:textId="77777777" w:rsidTr="00B92EA1">
        <w:tc>
          <w:tcPr>
            <w:cnfStyle w:val="001000000000" w:firstRow="0" w:lastRow="0" w:firstColumn="1" w:lastColumn="0" w:oddVBand="0" w:evenVBand="0" w:oddHBand="0" w:evenHBand="0" w:firstRowFirstColumn="0" w:firstRowLastColumn="0" w:lastRowFirstColumn="0" w:lastRowLastColumn="0"/>
            <w:tcW w:w="1803" w:type="dxa"/>
          </w:tcPr>
          <w:p w14:paraId="7F4054DB" w14:textId="54B79960" w:rsidR="00212E68" w:rsidRPr="0024537F" w:rsidRDefault="00212E68" w:rsidP="0024537F">
            <w:pPr>
              <w:jc w:val="both"/>
              <w:rPr>
                <w:rFonts w:ascii="Calibri" w:hAnsi="Calibri" w:cs="Calibri"/>
                <w:noProof/>
                <w:sz w:val="20"/>
                <w:szCs w:val="20"/>
              </w:rPr>
            </w:pPr>
            <w:r w:rsidRPr="0024537F">
              <w:rPr>
                <w:rFonts w:ascii="Calibri" w:hAnsi="Calibri" w:cs="Calibri"/>
                <w:noProof/>
                <w:sz w:val="20"/>
                <w:szCs w:val="20"/>
              </w:rPr>
              <w:t>SA</w:t>
            </w:r>
          </w:p>
        </w:tc>
        <w:tc>
          <w:tcPr>
            <w:tcW w:w="1803" w:type="dxa"/>
          </w:tcPr>
          <w:p w14:paraId="323BD874" w14:textId="77777777"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sidRPr="0024537F">
              <w:rPr>
                <w:rFonts w:ascii="Calibri" w:hAnsi="Calibri" w:cs="Calibri"/>
                <w:noProof/>
                <w:sz w:val="20"/>
                <w:szCs w:val="20"/>
              </w:rPr>
              <w:t>Non-trauma</w:t>
            </w:r>
          </w:p>
          <w:p w14:paraId="62044AE5" w14:textId="3CEBB0FC"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noProof/>
                <w:sz w:val="20"/>
                <w:szCs w:val="20"/>
              </w:rPr>
            </w:pPr>
            <w:r w:rsidRPr="0024537F">
              <w:rPr>
                <w:rFonts w:ascii="Calibri" w:hAnsi="Calibri" w:cs="Calibri"/>
                <w:noProof/>
                <w:sz w:val="20"/>
                <w:szCs w:val="20"/>
              </w:rPr>
              <w:t>Trauma</w:t>
            </w:r>
          </w:p>
        </w:tc>
        <w:tc>
          <w:tcPr>
            <w:tcW w:w="1803" w:type="dxa"/>
          </w:tcPr>
          <w:p w14:paraId="76131C27" w14:textId="77777777" w:rsidR="00212E68" w:rsidRDefault="00212E68" w:rsidP="00B92EA1">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4483</w:t>
            </w:r>
          </w:p>
          <w:p w14:paraId="59BA1E6A" w14:textId="4D52620A"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253</w:t>
            </w:r>
          </w:p>
        </w:tc>
        <w:tc>
          <w:tcPr>
            <w:tcW w:w="1803" w:type="dxa"/>
          </w:tcPr>
          <w:p w14:paraId="4DE6F39F" w14:textId="77777777" w:rsidR="00212E68" w:rsidRDefault="00212E68" w:rsidP="00B92EA1">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48.8 (21.0)</w:t>
            </w:r>
          </w:p>
          <w:p w14:paraId="542D9F93" w14:textId="5B8EA29A"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63.4 (29.3)</w:t>
            </w:r>
          </w:p>
        </w:tc>
      </w:tr>
      <w:tr w:rsidR="00212E68" w:rsidRPr="00212E68" w14:paraId="123CBFF5" w14:textId="77777777" w:rsidTr="00B92EA1">
        <w:tc>
          <w:tcPr>
            <w:cnfStyle w:val="001000000000" w:firstRow="0" w:lastRow="0" w:firstColumn="1" w:lastColumn="0" w:oddVBand="0" w:evenVBand="0" w:oddHBand="0" w:evenHBand="0" w:firstRowFirstColumn="0" w:firstRowLastColumn="0" w:lastRowFirstColumn="0" w:lastRowLastColumn="0"/>
            <w:tcW w:w="1803" w:type="dxa"/>
          </w:tcPr>
          <w:p w14:paraId="233A57D7" w14:textId="4B1819B9" w:rsidR="00212E68" w:rsidRPr="0024537F" w:rsidRDefault="00212E68" w:rsidP="0024537F">
            <w:pPr>
              <w:jc w:val="both"/>
              <w:rPr>
                <w:rFonts w:ascii="Calibri" w:hAnsi="Calibri" w:cs="Calibri"/>
                <w:noProof/>
                <w:sz w:val="20"/>
                <w:szCs w:val="20"/>
              </w:rPr>
            </w:pPr>
            <w:r w:rsidRPr="0024537F">
              <w:rPr>
                <w:rFonts w:ascii="Calibri" w:hAnsi="Calibri" w:cs="Calibri"/>
                <w:noProof/>
                <w:sz w:val="20"/>
                <w:szCs w:val="20"/>
              </w:rPr>
              <w:t>HD</w:t>
            </w:r>
          </w:p>
        </w:tc>
        <w:tc>
          <w:tcPr>
            <w:tcW w:w="1803" w:type="dxa"/>
          </w:tcPr>
          <w:p w14:paraId="35AAF824" w14:textId="77777777"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sidRPr="0024537F">
              <w:rPr>
                <w:rFonts w:ascii="Calibri" w:hAnsi="Calibri" w:cs="Calibri"/>
                <w:noProof/>
                <w:sz w:val="20"/>
                <w:szCs w:val="20"/>
              </w:rPr>
              <w:t>Non-trauma</w:t>
            </w:r>
          </w:p>
          <w:p w14:paraId="104887B5" w14:textId="7AFE405C"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noProof/>
                <w:sz w:val="20"/>
                <w:szCs w:val="20"/>
              </w:rPr>
            </w:pPr>
            <w:r w:rsidRPr="0024537F">
              <w:rPr>
                <w:rFonts w:ascii="Calibri" w:hAnsi="Calibri" w:cs="Calibri"/>
                <w:noProof/>
                <w:sz w:val="20"/>
                <w:szCs w:val="20"/>
              </w:rPr>
              <w:t>Trauma</w:t>
            </w:r>
          </w:p>
        </w:tc>
        <w:tc>
          <w:tcPr>
            <w:tcW w:w="1803" w:type="dxa"/>
          </w:tcPr>
          <w:p w14:paraId="451B3F72" w14:textId="77777777" w:rsidR="00212E68" w:rsidRDefault="00212E68" w:rsidP="00B92EA1">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3299</w:t>
            </w:r>
          </w:p>
          <w:p w14:paraId="498AF1DC" w14:textId="4FF4249F"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1437</w:t>
            </w:r>
          </w:p>
        </w:tc>
        <w:tc>
          <w:tcPr>
            <w:tcW w:w="1803" w:type="dxa"/>
          </w:tcPr>
          <w:p w14:paraId="252D12E9" w14:textId="77777777" w:rsidR="00212E68" w:rsidRDefault="00212E68" w:rsidP="00B92EA1">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46.7 (19.4)</w:t>
            </w:r>
          </w:p>
          <w:p w14:paraId="726D6D38" w14:textId="5001AF25"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56.2 (25.2)</w:t>
            </w:r>
          </w:p>
        </w:tc>
      </w:tr>
      <w:tr w:rsidR="00212E68" w:rsidRPr="00212E68" w14:paraId="4B5D90FE" w14:textId="77777777" w:rsidTr="00B92EA1">
        <w:tc>
          <w:tcPr>
            <w:cnfStyle w:val="001000000000" w:firstRow="0" w:lastRow="0" w:firstColumn="1" w:lastColumn="0" w:oddVBand="0" w:evenVBand="0" w:oddHBand="0" w:evenHBand="0" w:firstRowFirstColumn="0" w:firstRowLastColumn="0" w:lastRowFirstColumn="0" w:lastRowLastColumn="0"/>
            <w:tcW w:w="1803" w:type="dxa"/>
          </w:tcPr>
          <w:p w14:paraId="3F9CC47D" w14:textId="2A955539" w:rsidR="00212E68" w:rsidRPr="0024537F" w:rsidRDefault="00212E68" w:rsidP="0024537F">
            <w:pPr>
              <w:jc w:val="both"/>
              <w:rPr>
                <w:rFonts w:ascii="Calibri" w:hAnsi="Calibri" w:cs="Calibri"/>
                <w:noProof/>
                <w:sz w:val="20"/>
                <w:szCs w:val="20"/>
              </w:rPr>
            </w:pPr>
            <w:r w:rsidRPr="0024537F">
              <w:rPr>
                <w:rFonts w:ascii="Calibri" w:hAnsi="Calibri" w:cs="Calibri"/>
                <w:noProof/>
                <w:sz w:val="20"/>
                <w:szCs w:val="20"/>
              </w:rPr>
              <w:t>BULL</w:t>
            </w:r>
          </w:p>
        </w:tc>
        <w:tc>
          <w:tcPr>
            <w:tcW w:w="1803" w:type="dxa"/>
          </w:tcPr>
          <w:p w14:paraId="706EF17C" w14:textId="77777777"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sidRPr="0024537F">
              <w:rPr>
                <w:rFonts w:ascii="Calibri" w:hAnsi="Calibri" w:cs="Calibri"/>
                <w:noProof/>
                <w:sz w:val="20"/>
                <w:szCs w:val="20"/>
              </w:rPr>
              <w:t>Non-trauma</w:t>
            </w:r>
          </w:p>
          <w:p w14:paraId="7C2AC8DF" w14:textId="6B330BC5"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noProof/>
                <w:sz w:val="20"/>
                <w:szCs w:val="20"/>
              </w:rPr>
            </w:pPr>
            <w:r w:rsidRPr="0024537F">
              <w:rPr>
                <w:rFonts w:ascii="Calibri" w:hAnsi="Calibri" w:cs="Calibri"/>
                <w:noProof/>
                <w:sz w:val="20"/>
                <w:szCs w:val="20"/>
              </w:rPr>
              <w:t>Trauma</w:t>
            </w:r>
          </w:p>
        </w:tc>
        <w:tc>
          <w:tcPr>
            <w:tcW w:w="1803" w:type="dxa"/>
          </w:tcPr>
          <w:p w14:paraId="695972AC" w14:textId="77777777" w:rsidR="00212E68" w:rsidRDefault="00212E68" w:rsidP="008D1FCE">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3762</w:t>
            </w:r>
          </w:p>
          <w:p w14:paraId="10690E92" w14:textId="5DB0B56A"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974</w:t>
            </w:r>
          </w:p>
        </w:tc>
        <w:tc>
          <w:tcPr>
            <w:tcW w:w="1803" w:type="dxa"/>
          </w:tcPr>
          <w:p w14:paraId="50F2143C" w14:textId="77777777" w:rsidR="00212E68" w:rsidRDefault="00212E68" w:rsidP="008D1FCE">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46.8 (18.8)</w:t>
            </w:r>
          </w:p>
          <w:p w14:paraId="2960BEBF" w14:textId="36F510E4" w:rsidR="00212E68" w:rsidRPr="0024537F" w:rsidRDefault="00212E68" w:rsidP="0024537F">
            <w:pPr>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0"/>
                <w:szCs w:val="20"/>
              </w:rPr>
            </w:pPr>
            <w:r>
              <w:rPr>
                <w:rFonts w:ascii="Calibri" w:hAnsi="Calibri" w:cs="Calibri"/>
                <w:noProof/>
                <w:sz w:val="20"/>
                <w:szCs w:val="20"/>
              </w:rPr>
              <w:t>60.3 (28.2)</w:t>
            </w:r>
          </w:p>
        </w:tc>
      </w:tr>
    </w:tbl>
    <w:p w14:paraId="0E86EA30" w14:textId="77777777" w:rsidR="00DE2B2A" w:rsidRDefault="001573FA" w:rsidP="0024537F">
      <w:pPr>
        <w:jc w:val="both"/>
        <w:rPr>
          <w:rFonts w:ascii="Calibri" w:hAnsi="Calibri" w:cs="Calibri"/>
          <w:b/>
          <w:bCs/>
          <w:noProof/>
          <w:sz w:val="22"/>
          <w:szCs w:val="22"/>
        </w:rPr>
      </w:pPr>
      <w:r>
        <w:rPr>
          <w:rFonts w:ascii="Calibri" w:hAnsi="Calibri" w:cs="Calibri"/>
          <w:sz w:val="20"/>
          <w:szCs w:val="20"/>
        </w:rPr>
        <w:t>EN: Emotional Neglect; PN: Physical Neglect; EA: Emotional Abuse; PA: Physical Abuse; SA: Sexual Abuse; HD: Household Discord; BULL: Bullying; GPTS: Green Paranoia Trait Scale.</w:t>
      </w:r>
      <w:r w:rsidRPr="001573FA">
        <w:rPr>
          <w:rFonts w:ascii="Calibri" w:hAnsi="Calibri" w:cs="Calibri"/>
          <w:b/>
          <w:bCs/>
          <w:noProof/>
          <w:sz w:val="22"/>
          <w:szCs w:val="22"/>
        </w:rPr>
        <w:t xml:space="preserve"> </w:t>
      </w:r>
    </w:p>
    <w:p w14:paraId="5D96DDD2" w14:textId="77777777" w:rsidR="00DE2B2A" w:rsidRDefault="00DE2B2A" w:rsidP="00B92EA1">
      <w:pPr>
        <w:spacing w:line="360" w:lineRule="auto"/>
        <w:jc w:val="both"/>
        <w:rPr>
          <w:rFonts w:ascii="Calibri" w:hAnsi="Calibri" w:cs="Calibri"/>
          <w:b/>
          <w:bCs/>
          <w:noProof/>
          <w:sz w:val="22"/>
          <w:szCs w:val="22"/>
        </w:rPr>
      </w:pPr>
    </w:p>
    <w:p w14:paraId="74A41D27" w14:textId="77777777" w:rsidR="001F2198" w:rsidRDefault="001F2198">
      <w:pPr>
        <w:rPr>
          <w:rFonts w:ascii="Calibri" w:hAnsi="Calibri" w:cs="Calibri"/>
          <w:b/>
          <w:bCs/>
          <w:i/>
          <w:iCs/>
          <w:noProof/>
        </w:rPr>
      </w:pPr>
      <w:bookmarkStart w:id="19" w:name="_Toc200722084"/>
      <w:r>
        <w:br w:type="page"/>
      </w:r>
    </w:p>
    <w:p w14:paraId="63114513" w14:textId="6EB6C4AD" w:rsidR="008A34D7" w:rsidRPr="00F17B49" w:rsidRDefault="004B56E2" w:rsidP="00F17B49">
      <w:pPr>
        <w:pStyle w:val="HeadingTOC"/>
        <w:spacing w:after="240" w:line="480" w:lineRule="auto"/>
        <w:outlineLvl w:val="0"/>
      </w:pPr>
      <w:r>
        <w:lastRenderedPageBreak/>
        <w:t xml:space="preserve">2. </w:t>
      </w:r>
      <w:r w:rsidR="008A34D7" w:rsidRPr="008A34D7">
        <w:t>Collinearity Assessment Among Trauma Variables</w:t>
      </w:r>
      <w:bookmarkEnd w:id="19"/>
    </w:p>
    <w:p w14:paraId="0C03A32C" w14:textId="7B469EC1" w:rsidR="00213C29" w:rsidRPr="00213C29" w:rsidRDefault="00213C29" w:rsidP="00B74460">
      <w:pPr>
        <w:spacing w:after="240" w:line="480" w:lineRule="auto"/>
        <w:jc w:val="both"/>
        <w:rPr>
          <w:rFonts w:ascii="Calibri" w:hAnsi="Calibri" w:cs="Calibri"/>
          <w:noProof/>
          <w:sz w:val="22"/>
          <w:szCs w:val="22"/>
        </w:rPr>
      </w:pPr>
      <w:r w:rsidRPr="00213C29">
        <w:rPr>
          <w:rFonts w:ascii="Calibri" w:hAnsi="Calibri" w:cs="Calibri"/>
          <w:noProof/>
          <w:sz w:val="22"/>
          <w:szCs w:val="22"/>
        </w:rPr>
        <w:t xml:space="preserve">A collinearity assessment was conducted for the trauma variables included in the analyses by calculating a correlation matrix and Variance Inflation Factors (VIFs). </w:t>
      </w:r>
      <w:r w:rsidRPr="00213C29">
        <w:rPr>
          <w:rFonts w:ascii="Calibri" w:hAnsi="Calibri" w:cs="Calibri"/>
          <w:b/>
          <w:bCs/>
          <w:noProof/>
          <w:sz w:val="22"/>
          <w:szCs w:val="22"/>
        </w:rPr>
        <w:t>Figure S3</w:t>
      </w:r>
      <w:r w:rsidRPr="00213C29">
        <w:rPr>
          <w:rFonts w:ascii="Calibri" w:hAnsi="Calibri" w:cs="Calibri"/>
          <w:noProof/>
          <w:sz w:val="22"/>
          <w:szCs w:val="22"/>
        </w:rPr>
        <w:t xml:space="preserve"> presents the correlation matrix of the trauma variables (i.e., emotional neglect [EN], physical neglect [PN], emotional abuse [EA], physical abuse [PA], sexual abuse [SA], household discord [HD], and bullying [BULL]), showing low-to-moderate correlations. E</w:t>
      </w:r>
      <w:r w:rsidR="0012356D">
        <w:rPr>
          <w:rFonts w:ascii="Calibri" w:hAnsi="Calibri" w:cs="Calibri"/>
          <w:noProof/>
          <w:sz w:val="22"/>
          <w:szCs w:val="22"/>
        </w:rPr>
        <w:t>motional abuse</w:t>
      </w:r>
      <w:r w:rsidRPr="00213C29">
        <w:rPr>
          <w:rFonts w:ascii="Calibri" w:hAnsi="Calibri" w:cs="Calibri"/>
          <w:noProof/>
          <w:sz w:val="22"/>
          <w:szCs w:val="22"/>
        </w:rPr>
        <w:t xml:space="preserve"> and </w:t>
      </w:r>
      <w:r w:rsidR="0012356D">
        <w:rPr>
          <w:rFonts w:ascii="Calibri" w:hAnsi="Calibri" w:cs="Calibri"/>
          <w:noProof/>
          <w:sz w:val="22"/>
          <w:szCs w:val="22"/>
        </w:rPr>
        <w:t>household discord</w:t>
      </w:r>
      <w:r w:rsidRPr="00213C29">
        <w:rPr>
          <w:rFonts w:ascii="Calibri" w:hAnsi="Calibri" w:cs="Calibri"/>
          <w:noProof/>
          <w:sz w:val="22"/>
          <w:szCs w:val="22"/>
        </w:rPr>
        <w:t xml:space="preserve"> exhibited the highest correlation (r = 0.41), followed by </w:t>
      </w:r>
      <w:r w:rsidR="0012356D">
        <w:rPr>
          <w:rFonts w:ascii="Calibri" w:hAnsi="Calibri" w:cs="Calibri"/>
          <w:noProof/>
          <w:sz w:val="22"/>
          <w:szCs w:val="22"/>
        </w:rPr>
        <w:t>emotional abuse</w:t>
      </w:r>
      <w:r w:rsidRPr="00213C29">
        <w:rPr>
          <w:rFonts w:ascii="Calibri" w:hAnsi="Calibri" w:cs="Calibri"/>
          <w:noProof/>
          <w:sz w:val="22"/>
          <w:szCs w:val="22"/>
        </w:rPr>
        <w:t xml:space="preserve"> and </w:t>
      </w:r>
      <w:r w:rsidR="0012356D">
        <w:rPr>
          <w:rFonts w:ascii="Calibri" w:hAnsi="Calibri" w:cs="Calibri"/>
          <w:noProof/>
          <w:sz w:val="22"/>
          <w:szCs w:val="22"/>
        </w:rPr>
        <w:t>bullying</w:t>
      </w:r>
      <w:r w:rsidRPr="00213C29">
        <w:rPr>
          <w:rFonts w:ascii="Calibri" w:hAnsi="Calibri" w:cs="Calibri"/>
          <w:noProof/>
          <w:sz w:val="22"/>
          <w:szCs w:val="22"/>
        </w:rPr>
        <w:t xml:space="preserve"> (r = 0.34).</w:t>
      </w:r>
      <w:r w:rsidR="00B74460">
        <w:rPr>
          <w:rFonts w:ascii="Calibri" w:hAnsi="Calibri" w:cs="Calibri"/>
          <w:noProof/>
          <w:sz w:val="22"/>
          <w:szCs w:val="22"/>
        </w:rPr>
        <w:t xml:space="preserve"> </w:t>
      </w:r>
      <w:r w:rsidRPr="00213C29">
        <w:rPr>
          <w:rFonts w:ascii="Calibri" w:hAnsi="Calibri" w:cs="Calibri"/>
          <w:noProof/>
          <w:sz w:val="22"/>
          <w:szCs w:val="22"/>
        </w:rPr>
        <w:t>These findings indicate that while some relationships exist between trauma variables, there is no excessive overlap or redundancy among the predictors. This was further confirmed by the VIFs, with all values ranging from 1.09 to 1.48—well below the commonly accepted threshold of 5—indicating that multicollinearity is not a concern in this model. Thus, the trauma variables independently contribute to the model without inflating standard errors.</w:t>
      </w:r>
      <w:r w:rsidR="00B74460">
        <w:rPr>
          <w:rFonts w:ascii="Calibri" w:hAnsi="Calibri" w:cs="Calibri"/>
          <w:noProof/>
          <w:sz w:val="22"/>
          <w:szCs w:val="22"/>
        </w:rPr>
        <w:t xml:space="preserve"> </w:t>
      </w:r>
      <w:r w:rsidRPr="00213C29">
        <w:rPr>
          <w:rFonts w:ascii="Calibri" w:hAnsi="Calibri" w:cs="Calibri"/>
          <w:noProof/>
          <w:sz w:val="22"/>
          <w:szCs w:val="22"/>
        </w:rPr>
        <w:t>Overall, these results suggest that while some interrelations exist among the trauma variables, collinearity is minimal and does not affect the interpretability or robustness of the analyses.</w:t>
      </w:r>
    </w:p>
    <w:p w14:paraId="2C4174D8" w14:textId="57EB2DDA" w:rsidR="00213C29" w:rsidRDefault="00213C29" w:rsidP="00213C29">
      <w:pPr>
        <w:jc w:val="both"/>
        <w:rPr>
          <w:rFonts w:ascii="Calibri" w:hAnsi="Calibri" w:cs="Calibri"/>
          <w:noProof/>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744AF1D0" wp14:editId="7BE528A1">
                <wp:simplePos x="0" y="0"/>
                <wp:positionH relativeFrom="column">
                  <wp:posOffset>1264596</wp:posOffset>
                </wp:positionH>
                <wp:positionV relativeFrom="paragraph">
                  <wp:posOffset>76484</wp:posOffset>
                </wp:positionV>
                <wp:extent cx="2732986" cy="155642"/>
                <wp:effectExtent l="0" t="0" r="0" b="0"/>
                <wp:wrapNone/>
                <wp:docPr id="812154706" name="Rectangle 11"/>
                <wp:cNvGraphicFramePr/>
                <a:graphic xmlns:a="http://schemas.openxmlformats.org/drawingml/2006/main">
                  <a:graphicData uri="http://schemas.microsoft.com/office/word/2010/wordprocessingShape">
                    <wps:wsp>
                      <wps:cNvSpPr/>
                      <wps:spPr>
                        <a:xfrm>
                          <a:off x="0" y="0"/>
                          <a:ext cx="2732986" cy="15564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60B4823B" id="Rectangle 11" o:spid="_x0000_s1026" style="position:absolute;margin-left:99.55pt;margin-top:6pt;width:215.2pt;height:1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" fillcolor="white [3212]" stroked="f" strokeweight="1pt"/>
            </w:pict>
          </mc:Fallback>
        </mc:AlternateContent>
      </w:r>
    </w:p>
    <w:p w14:paraId="33AC32EF" w14:textId="2108A316" w:rsidR="00CE2C31" w:rsidRPr="008A34D7" w:rsidRDefault="00981813" w:rsidP="00EF49C5">
      <w:pPr>
        <w:jc w:val="center"/>
        <w:rPr>
          <w:rFonts w:ascii="Calibri" w:hAnsi="Calibri" w:cs="Calibri"/>
          <w:noProof/>
          <w:sz w:val="22"/>
          <w:szCs w:val="22"/>
        </w:rPr>
      </w:pPr>
      <w:r>
        <w:rPr>
          <w:noProof/>
        </w:rPr>
        <w:lastRenderedPageBreak/>
        <mc:AlternateContent>
          <mc:Choice Requires="wps">
            <w:drawing>
              <wp:anchor distT="0" distB="0" distL="114300" distR="114300" simplePos="0" relativeHeight="251660288" behindDoc="0" locked="0" layoutInCell="1" allowOverlap="1" wp14:anchorId="63654288" wp14:editId="577E07D5">
                <wp:simplePos x="0" y="0"/>
                <wp:positionH relativeFrom="column">
                  <wp:posOffset>1254868</wp:posOffset>
                </wp:positionH>
                <wp:positionV relativeFrom="paragraph">
                  <wp:posOffset>-145915</wp:posOffset>
                </wp:positionV>
                <wp:extent cx="2752928" cy="204281"/>
                <wp:effectExtent l="0" t="0" r="3175" b="0"/>
                <wp:wrapNone/>
                <wp:docPr id="1125992230" name="Rectangle 2"/>
                <wp:cNvGraphicFramePr/>
                <a:graphic xmlns:a="http://schemas.openxmlformats.org/drawingml/2006/main">
                  <a:graphicData uri="http://schemas.microsoft.com/office/word/2010/wordprocessingShape">
                    <wps:wsp>
                      <wps:cNvSpPr/>
                      <wps:spPr>
                        <a:xfrm>
                          <a:off x="0" y="0"/>
                          <a:ext cx="2752928" cy="20428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3EC49BB1" id="Rectangle 2" o:spid="_x0000_s1026" style="position:absolute;margin-left:98.8pt;margin-top:-11.5pt;width:216.75pt;height:16.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" fillcolor="white [3212]" stroked="f" strokeweight="1pt"/>
            </w:pict>
          </mc:Fallback>
        </mc:AlternateContent>
      </w:r>
      <w:r w:rsidR="00CE2C31">
        <w:fldChar w:fldCharType="begin"/>
      </w:r>
      <w:r w:rsidR="00CE2C31">
        <w:instrText xml:space="preserve"> INCLUDEPICTURE "/Users/giulia_trotta/Library/Group Containers/UBF8T346G9.ms/WebArchiveCopyPasteTempFiles/com.microsoft.Word/j4BFN2Kc9UE%3D" \* MERGEFORMATINET </w:instrText>
      </w:r>
      <w:r w:rsidR="00CE2C31">
        <w:fldChar w:fldCharType="separate"/>
      </w:r>
      <w:r w:rsidR="00CE2C31">
        <w:rPr>
          <w:noProof/>
        </w:rPr>
        <w:drawing>
          <wp:inline distT="0" distB="0" distL="0" distR="0" wp14:anchorId="6D837B75" wp14:editId="58048831">
            <wp:extent cx="5299655" cy="4624070"/>
            <wp:effectExtent l="0" t="0" r="0" b="0"/>
            <wp:docPr id="181598257" name="Picture 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808"/>
                    <a:stretch/>
                  </pic:blipFill>
                  <pic:spPr bwMode="auto">
                    <a:xfrm>
                      <a:off x="0" y="0"/>
                      <a:ext cx="5316604" cy="4638858"/>
                    </a:xfrm>
                    <a:prstGeom prst="rect">
                      <a:avLst/>
                    </a:prstGeom>
                    <a:noFill/>
                    <a:ln>
                      <a:noFill/>
                    </a:ln>
                    <a:extLst>
                      <a:ext uri="{53640926-AAD7-44D8-BBD7-CCE9431645EC}">
                        <a14:shadowObscured xmlns:a14="http://schemas.microsoft.com/office/drawing/2010/main"/>
                      </a:ext>
                    </a:extLst>
                  </pic:spPr>
                </pic:pic>
              </a:graphicData>
            </a:graphic>
          </wp:inline>
        </w:drawing>
      </w:r>
      <w:r w:rsidR="00CE2C31">
        <w:fldChar w:fldCharType="end"/>
      </w:r>
    </w:p>
    <w:p w14:paraId="7344681F" w14:textId="2A4B8953" w:rsidR="0015085B" w:rsidRDefault="00EF49C5" w:rsidP="00300608">
      <w:pPr>
        <w:pStyle w:val="FiguresandTablesTOC"/>
        <w:outlineLvl w:val="2"/>
      </w:pPr>
      <w:bookmarkStart w:id="20" w:name="_Toc200722085"/>
      <w:r w:rsidRPr="00D452BC">
        <w:t>Figure S</w:t>
      </w:r>
      <w:r w:rsidR="00EF0DD0">
        <w:t>3</w:t>
      </w:r>
      <w:r w:rsidRPr="00D452BC">
        <w:t xml:space="preserve">. </w:t>
      </w:r>
      <w:r w:rsidR="00D452BC" w:rsidRPr="002E35CC">
        <w:rPr>
          <w:b w:val="0"/>
          <w:bCs w:val="0"/>
        </w:rPr>
        <w:t>Heatmap of Correlations Among Trauma Variables.</w:t>
      </w:r>
      <w:bookmarkEnd w:id="20"/>
      <w:r w:rsidR="00D452BC" w:rsidRPr="00D452BC">
        <w:t xml:space="preserve"> </w:t>
      </w:r>
    </w:p>
    <w:p w14:paraId="4A5E4F6A" w14:textId="3F396FA2" w:rsidR="008A34D7" w:rsidRPr="008A34D7" w:rsidRDefault="00D452BC" w:rsidP="0015085B">
      <w:pPr>
        <w:pStyle w:val="FiguresandTablesTOC"/>
      </w:pPr>
      <w:r w:rsidRPr="002E35CC">
        <w:rPr>
          <w:b w:val="0"/>
          <w:bCs w:val="0"/>
          <w:i w:val="0"/>
          <w:iCs w:val="0"/>
        </w:rPr>
        <w:t xml:space="preserve">This heathmap </w:t>
      </w:r>
      <w:r w:rsidR="00DB3E79">
        <w:rPr>
          <w:b w:val="0"/>
          <w:bCs w:val="0"/>
          <w:i w:val="0"/>
          <w:iCs w:val="0"/>
        </w:rPr>
        <w:t>displays</w:t>
      </w:r>
      <w:r w:rsidRPr="002E35CC">
        <w:rPr>
          <w:b w:val="0"/>
          <w:bCs w:val="0"/>
          <w:i w:val="0"/>
          <w:iCs w:val="0"/>
        </w:rPr>
        <w:t xml:space="preserve"> the correlations among seven trauma variables: Emotional Neglect (EN), Physical Neglect (PN), Emotional Abuse (EA), Physical Abuse (PA), Sexual Abuse (SA), Household Discord (HD), and Bullying (BULL). The colour gradient represents the </w:t>
      </w:r>
      <w:r w:rsidR="002A1D94">
        <w:rPr>
          <w:b w:val="0"/>
          <w:bCs w:val="0"/>
          <w:i w:val="0"/>
          <w:iCs w:val="0"/>
        </w:rPr>
        <w:t>magnitude</w:t>
      </w:r>
      <w:r w:rsidRPr="002E35CC">
        <w:rPr>
          <w:b w:val="0"/>
          <w:bCs w:val="0"/>
          <w:i w:val="0"/>
          <w:iCs w:val="0"/>
        </w:rPr>
        <w:t xml:space="preserve"> and direction of the correlations, with darker red indicating stronger positive correlations (closer to 1) and darker blue representing weaker or no correlation (closer to 0). </w:t>
      </w:r>
    </w:p>
    <w:p w14:paraId="4DC6754E" w14:textId="77777777" w:rsidR="00472329" w:rsidRDefault="00472329">
      <w:pPr>
        <w:rPr>
          <w:rFonts w:ascii="Calibri" w:hAnsi="Calibri" w:cs="Calibri"/>
          <w:b/>
          <w:bCs/>
          <w:i/>
          <w:iCs/>
          <w:noProof/>
        </w:rPr>
      </w:pPr>
      <w:r>
        <w:br w:type="page"/>
      </w:r>
    </w:p>
    <w:p w14:paraId="4EDC234F" w14:textId="0DE38013" w:rsidR="00313BB3" w:rsidRPr="00F17B49" w:rsidRDefault="004B56E2" w:rsidP="00F17B49">
      <w:pPr>
        <w:pStyle w:val="HeadingTOC"/>
        <w:spacing w:after="240" w:line="480" w:lineRule="auto"/>
        <w:outlineLvl w:val="0"/>
      </w:pPr>
      <w:bookmarkStart w:id="21" w:name="_Toc200722086"/>
      <w:r>
        <w:lastRenderedPageBreak/>
        <w:t xml:space="preserve">3. </w:t>
      </w:r>
      <w:r w:rsidR="00FC4ECA" w:rsidRPr="00FC4ECA">
        <w:t>THC Unit as a Measure of Cannabis Consumption</w:t>
      </w:r>
      <w:bookmarkEnd w:id="21"/>
    </w:p>
    <w:p w14:paraId="5C3EAFA5" w14:textId="4225C6CC" w:rsidR="00ED1074" w:rsidRDefault="004B56E2" w:rsidP="00F17B49">
      <w:pPr>
        <w:pStyle w:val="SubheadingTOC"/>
        <w:spacing w:line="480" w:lineRule="auto"/>
        <w:outlineLvl w:val="1"/>
        <w:rPr>
          <w:noProof/>
        </w:rPr>
      </w:pPr>
      <w:bookmarkStart w:id="22" w:name="_Toc200722087"/>
      <w:r>
        <w:rPr>
          <w:noProof/>
        </w:rPr>
        <w:t xml:space="preserve">3.1. </w:t>
      </w:r>
      <w:r w:rsidR="00ED1074">
        <w:rPr>
          <w:noProof/>
        </w:rPr>
        <w:t>Methodological Details on THC Unit Definition and Handling Missingness</w:t>
      </w:r>
      <w:bookmarkEnd w:id="22"/>
    </w:p>
    <w:p w14:paraId="61A48071" w14:textId="45ADC4CF" w:rsidR="00B61E65" w:rsidRPr="00B61E65" w:rsidRDefault="00B61E65" w:rsidP="00F17B49">
      <w:pPr>
        <w:spacing w:line="480" w:lineRule="auto"/>
        <w:jc w:val="both"/>
        <w:rPr>
          <w:rFonts w:ascii="Calibri" w:hAnsi="Calibri" w:cs="Calibri"/>
          <w:noProof/>
          <w:sz w:val="22"/>
          <w:szCs w:val="22"/>
        </w:rPr>
      </w:pPr>
      <w:r w:rsidRPr="00B61E65">
        <w:rPr>
          <w:rFonts w:ascii="Calibri" w:hAnsi="Calibri" w:cs="Calibri"/>
          <w:noProof/>
          <w:sz w:val="22"/>
          <w:szCs w:val="22"/>
        </w:rPr>
        <w:t>Both the quantity and potency of tetrahydrocannabinol (THC), the primary psychoactive component of cannabis, are incorporated into the THC unit—a standardi</w:t>
      </w:r>
      <w:r>
        <w:rPr>
          <w:rFonts w:ascii="Calibri" w:hAnsi="Calibri" w:cs="Calibri"/>
          <w:noProof/>
          <w:sz w:val="22"/>
          <w:szCs w:val="22"/>
        </w:rPr>
        <w:t>s</w:t>
      </w:r>
      <w:r w:rsidRPr="00B61E65">
        <w:rPr>
          <w:rFonts w:ascii="Calibri" w:hAnsi="Calibri" w:cs="Calibri"/>
          <w:noProof/>
          <w:sz w:val="22"/>
          <w:szCs w:val="22"/>
        </w:rPr>
        <w:t>ed and more precise measure of cannabis consumption. THC units are calculated as the dose of THC per use occasion, providing a more robust and objective metric for cannabis use.</w:t>
      </w:r>
    </w:p>
    <w:p w14:paraId="7EE06AAE" w14:textId="3AD05A8F" w:rsidR="00B61E65" w:rsidRPr="00B61E65" w:rsidRDefault="00B61E65" w:rsidP="00F17B49">
      <w:pPr>
        <w:spacing w:line="480" w:lineRule="auto"/>
        <w:jc w:val="both"/>
        <w:rPr>
          <w:rFonts w:ascii="Calibri" w:hAnsi="Calibri" w:cs="Calibri"/>
          <w:noProof/>
          <w:sz w:val="22"/>
          <w:szCs w:val="22"/>
        </w:rPr>
      </w:pPr>
      <w:r w:rsidRPr="00B61E65">
        <w:rPr>
          <w:rFonts w:ascii="Calibri" w:hAnsi="Calibri" w:cs="Calibri"/>
          <w:noProof/>
          <w:sz w:val="22"/>
          <w:szCs w:val="22"/>
        </w:rPr>
        <w:t>In this study, THC unit values were derived from self-reported questionnaires, with a value of 0 assigned to non-users. Among lifetime cannabis users (n = 3,389), THC unit data were missing for 846 individuals, representing 25.1% of this group. When analy</w:t>
      </w:r>
      <w:r>
        <w:rPr>
          <w:rFonts w:ascii="Calibri" w:hAnsi="Calibri" w:cs="Calibri"/>
          <w:noProof/>
          <w:sz w:val="22"/>
          <w:szCs w:val="22"/>
        </w:rPr>
        <w:t>s</w:t>
      </w:r>
      <w:r w:rsidRPr="00B61E65">
        <w:rPr>
          <w:rFonts w:ascii="Calibri" w:hAnsi="Calibri" w:cs="Calibri"/>
          <w:noProof/>
          <w:sz w:val="22"/>
          <w:szCs w:val="22"/>
        </w:rPr>
        <w:t>ing current and past users separately, missingness rates differed: current cannabis users (n = 2,573) had a lower missingness rate, with 304 observations missing THC unit data (11.89%), whereas past cannabis users had THC unit data missing for 542 individuals, representing a missingness rate of 66.42%. The higher reporting accuracy among current cannabis users likely reflects better recall of recent consumption patterns compared to past users.</w:t>
      </w:r>
    </w:p>
    <w:p w14:paraId="02698A2E" w14:textId="77777777" w:rsidR="00B61E65" w:rsidRPr="00B61E65" w:rsidRDefault="00B61E65" w:rsidP="00F17B49">
      <w:pPr>
        <w:spacing w:line="480" w:lineRule="auto"/>
        <w:jc w:val="both"/>
        <w:rPr>
          <w:rFonts w:ascii="Calibri" w:hAnsi="Calibri" w:cs="Calibri"/>
          <w:noProof/>
          <w:sz w:val="22"/>
          <w:szCs w:val="22"/>
        </w:rPr>
      </w:pPr>
      <w:r w:rsidRPr="00B61E65">
        <w:rPr>
          <w:rFonts w:ascii="Calibri" w:hAnsi="Calibri" w:cs="Calibri"/>
          <w:noProof/>
          <w:sz w:val="22"/>
          <w:szCs w:val="22"/>
        </w:rPr>
        <w:t>To address missing THC unit data, multiple imputation by chained equations (MICE) was performed. The imputation included key cannabis-related variables (e.g., THC unit, current cannabis use, and frequency of cannabis use), sociodemographics (e.g., age, sex, ethnicity, employment status, years of education), trauma variables (e.g., abuse, neglect, household discord, bullying), and clinical outcomes (e.g., paranoia). Predictive mean matching (PMM) was applied for continuous variables, while logistic regression and multinomial logistic regression were used for binary and categorical variables, respectively.</w:t>
      </w:r>
    </w:p>
    <w:p w14:paraId="6B02B5EE" w14:textId="54D86D3C" w:rsidR="00EF6AF3" w:rsidRDefault="00B61E65" w:rsidP="00F17B49">
      <w:pPr>
        <w:spacing w:after="240" w:line="480" w:lineRule="auto"/>
        <w:jc w:val="both"/>
        <w:rPr>
          <w:rFonts w:ascii="Calibri" w:hAnsi="Calibri" w:cs="Calibri"/>
          <w:noProof/>
          <w:sz w:val="22"/>
          <w:szCs w:val="22"/>
        </w:rPr>
      </w:pPr>
      <w:r w:rsidRPr="00B61E65">
        <w:rPr>
          <w:rFonts w:ascii="Calibri" w:hAnsi="Calibri" w:cs="Calibri"/>
          <w:noProof/>
          <w:sz w:val="22"/>
          <w:szCs w:val="22"/>
        </w:rPr>
        <w:t>Five imputed datasets were generated, and analyses were pooled to account for variability across imputations, ensuring robust and unbiased estimates. This approach mitigated potential biases associated with missing data while preserving the accuracy and interpretability of the analyses.</w:t>
      </w:r>
    </w:p>
    <w:p w14:paraId="3FBDE4F6" w14:textId="7A48C5C7" w:rsidR="00EF6AF3" w:rsidRPr="00F17B49" w:rsidRDefault="004B56E2" w:rsidP="00F17B49">
      <w:pPr>
        <w:pStyle w:val="Heading2"/>
        <w:spacing w:after="240" w:line="480" w:lineRule="auto"/>
        <w:rPr>
          <w:rFonts w:ascii="Calibri" w:eastAsiaTheme="minorHAnsi" w:hAnsi="Calibri" w:cs="Calibri"/>
          <w:i/>
          <w:iCs/>
          <w:noProof/>
          <w:color w:val="auto"/>
          <w:sz w:val="22"/>
          <w:szCs w:val="22"/>
        </w:rPr>
      </w:pPr>
      <w:bookmarkStart w:id="23" w:name="_Toc200722088"/>
      <w:r>
        <w:rPr>
          <w:rFonts w:ascii="Calibri" w:eastAsiaTheme="minorHAnsi" w:hAnsi="Calibri" w:cs="Calibri"/>
          <w:i/>
          <w:iCs/>
          <w:noProof/>
          <w:color w:val="auto"/>
          <w:sz w:val="22"/>
          <w:szCs w:val="22"/>
        </w:rPr>
        <w:lastRenderedPageBreak/>
        <w:t xml:space="preserve">3.2. </w:t>
      </w:r>
      <w:r w:rsidR="00EF6AF3">
        <w:rPr>
          <w:rFonts w:ascii="Calibri" w:eastAsiaTheme="minorHAnsi" w:hAnsi="Calibri" w:cs="Calibri"/>
          <w:i/>
          <w:iCs/>
          <w:noProof/>
          <w:color w:val="auto"/>
          <w:sz w:val="22"/>
          <w:szCs w:val="22"/>
        </w:rPr>
        <w:t>THC Unit Validation Against Objective THC Blood Levels</w:t>
      </w:r>
      <w:bookmarkEnd w:id="23"/>
    </w:p>
    <w:p w14:paraId="5C2C8809" w14:textId="77777777" w:rsidR="00F17B49" w:rsidRDefault="003F71BC" w:rsidP="00F17B49">
      <w:pPr>
        <w:spacing w:after="240" w:line="480" w:lineRule="auto"/>
        <w:jc w:val="both"/>
        <w:rPr>
          <w:rFonts w:ascii="Calibri" w:hAnsi="Calibri" w:cs="Calibri"/>
          <w:sz w:val="22"/>
          <w:szCs w:val="22"/>
        </w:rPr>
      </w:pPr>
      <w:r w:rsidRPr="003F71BC">
        <w:rPr>
          <w:rFonts w:ascii="Calibri" w:hAnsi="Calibri" w:cs="Calibri"/>
          <w:sz w:val="22"/>
          <w:szCs w:val="22"/>
        </w:rPr>
        <w:t>To assess the validity of the THC unit as a measure of cannabis consumption, we compared self-reported THC unit estimates and cannabis use frequency with objective THC blood levels in a subsample of participants who attended a face-to-face assessment. THC blood concentration (M = 11.5 ng/mL, SD = 10.8) was significantly correlated with self-reported THC unit estimates (r = 0.77, p &lt; 0.001), indicating a strong association between the THC unit and objective cannabis exposure.</w:t>
      </w:r>
      <w:r>
        <w:rPr>
          <w:rFonts w:ascii="Calibri" w:hAnsi="Calibri" w:cs="Calibri"/>
          <w:sz w:val="22"/>
          <w:szCs w:val="22"/>
        </w:rPr>
        <w:t xml:space="preserve"> </w:t>
      </w:r>
      <w:r w:rsidRPr="003F71BC">
        <w:rPr>
          <w:rFonts w:ascii="Calibri" w:hAnsi="Calibri" w:cs="Calibri"/>
          <w:sz w:val="22"/>
          <w:szCs w:val="22"/>
        </w:rPr>
        <w:t xml:space="preserve">Similarly, frequency of cannabis </w:t>
      </w:r>
      <w:proofErr w:type="gramStart"/>
      <w:r w:rsidRPr="003F71BC">
        <w:rPr>
          <w:rFonts w:ascii="Calibri" w:hAnsi="Calibri" w:cs="Calibri"/>
          <w:sz w:val="22"/>
          <w:szCs w:val="22"/>
        </w:rPr>
        <w:t>use</w:t>
      </w:r>
      <w:proofErr w:type="gramEnd"/>
      <w:r w:rsidRPr="003F71BC">
        <w:rPr>
          <w:rFonts w:ascii="Calibri" w:hAnsi="Calibri" w:cs="Calibri"/>
          <w:sz w:val="22"/>
          <w:szCs w:val="22"/>
        </w:rPr>
        <w:t xml:space="preserve"> also showed a significant, though slightly lower, correlation with THC blood levels (r = 0.63, p &lt; 0.001). These findings suggest that the THC unit provides a more precise estimate of cannabis exposure than traditional self-reported frequency measures. Given its stronger correlation with biological THC levels, the THC unit captures both the potency and quantity of cannabis consumed, making it a superior measure for assessing cannabis exposure in research settings.</w:t>
      </w:r>
    </w:p>
    <w:p w14:paraId="294E4654" w14:textId="1B1DB0EE" w:rsidR="00642089" w:rsidRPr="00660666" w:rsidRDefault="00642089" w:rsidP="00660666">
      <w:pPr>
        <w:pStyle w:val="Heading2"/>
        <w:spacing w:after="240" w:line="480" w:lineRule="auto"/>
        <w:rPr>
          <w:rFonts w:ascii="Calibri" w:eastAsiaTheme="minorHAnsi" w:hAnsi="Calibri" w:cs="Calibri"/>
          <w:i/>
          <w:iCs/>
          <w:noProof/>
          <w:color w:val="auto"/>
          <w:sz w:val="22"/>
          <w:szCs w:val="22"/>
        </w:rPr>
      </w:pPr>
      <w:bookmarkStart w:id="24" w:name="_Toc200722089"/>
      <w:r w:rsidRPr="00660666">
        <w:rPr>
          <w:rFonts w:ascii="Calibri" w:eastAsiaTheme="minorHAnsi" w:hAnsi="Calibri" w:cs="Calibri"/>
          <w:i/>
          <w:iCs/>
          <w:noProof/>
          <w:color w:val="auto"/>
          <w:sz w:val="22"/>
          <w:szCs w:val="22"/>
        </w:rPr>
        <w:t>3.</w:t>
      </w:r>
      <w:r w:rsidR="00AE2BED">
        <w:rPr>
          <w:rFonts w:ascii="Calibri" w:eastAsiaTheme="minorHAnsi" w:hAnsi="Calibri" w:cs="Calibri"/>
          <w:i/>
          <w:iCs/>
          <w:noProof/>
          <w:color w:val="auto"/>
          <w:sz w:val="22"/>
          <w:szCs w:val="22"/>
        </w:rPr>
        <w:t>3</w:t>
      </w:r>
      <w:r w:rsidRPr="00660666">
        <w:rPr>
          <w:rFonts w:ascii="Calibri" w:eastAsiaTheme="minorHAnsi" w:hAnsi="Calibri" w:cs="Calibri"/>
          <w:i/>
          <w:iCs/>
          <w:noProof/>
          <w:color w:val="auto"/>
          <w:sz w:val="22"/>
          <w:szCs w:val="22"/>
        </w:rPr>
        <w:t>. Dose-Dependent Relationship Between THC Unit and Paranoia</w:t>
      </w:r>
      <w:bookmarkEnd w:id="24"/>
    </w:p>
    <w:p w14:paraId="7E70D051" w14:textId="0110DB52" w:rsidR="00642089" w:rsidRDefault="00642089" w:rsidP="00642089">
      <w:pPr>
        <w:spacing w:line="480" w:lineRule="auto"/>
        <w:jc w:val="both"/>
        <w:rPr>
          <w:rFonts w:ascii="Calibri" w:hAnsi="Calibri" w:cs="Calibri"/>
          <w:sz w:val="22"/>
          <w:szCs w:val="22"/>
        </w:rPr>
      </w:pPr>
      <w:r w:rsidRPr="00642089">
        <w:rPr>
          <w:rFonts w:ascii="Calibri" w:hAnsi="Calibri" w:cs="Calibri"/>
          <w:sz w:val="22"/>
          <w:szCs w:val="22"/>
        </w:rPr>
        <w:t>To illustrate the dose-dependent relationship between THC use and paranoia, we generated a scatter plot</w:t>
      </w:r>
      <w:r>
        <w:rPr>
          <w:rFonts w:ascii="Calibri" w:hAnsi="Calibri" w:cs="Calibri"/>
          <w:sz w:val="22"/>
          <w:szCs w:val="22"/>
        </w:rPr>
        <w:t xml:space="preserve"> </w:t>
      </w:r>
      <w:r w:rsidRPr="00642089">
        <w:rPr>
          <w:rFonts w:ascii="Calibri" w:hAnsi="Calibri" w:cs="Calibri"/>
          <w:sz w:val="22"/>
          <w:szCs w:val="22"/>
        </w:rPr>
        <w:t>depicting the association between THC unit consumption and total paranoia scores (</w:t>
      </w:r>
      <w:r>
        <w:rPr>
          <w:rFonts w:ascii="Calibri" w:hAnsi="Calibri" w:cs="Calibri"/>
          <w:b/>
          <w:bCs/>
          <w:sz w:val="22"/>
          <w:szCs w:val="22"/>
        </w:rPr>
        <w:t>Figure S</w:t>
      </w:r>
      <w:r w:rsidR="009319B4">
        <w:rPr>
          <w:rFonts w:ascii="Calibri" w:hAnsi="Calibri" w:cs="Calibri"/>
          <w:b/>
          <w:bCs/>
          <w:sz w:val="22"/>
          <w:szCs w:val="22"/>
        </w:rPr>
        <w:t>4</w:t>
      </w:r>
      <w:r w:rsidRPr="00642089">
        <w:rPr>
          <w:rFonts w:ascii="Calibri" w:hAnsi="Calibri" w:cs="Calibri"/>
          <w:sz w:val="22"/>
          <w:szCs w:val="22"/>
        </w:rPr>
        <w:t>). The scatter plot shows a positive association between THC use and paranoia scores, with higher THC consumption associated with greater paranoia severity. A LOESS smoothing line was applied to capture potential non-linear trends, which suggests that while the association remains relatively weak at lower THC levels, paranoia scores tend to increase more consistently at higher THC unit consumption.</w:t>
      </w:r>
      <w:r>
        <w:rPr>
          <w:rFonts w:ascii="Calibri" w:hAnsi="Calibri" w:cs="Calibri"/>
          <w:sz w:val="22"/>
          <w:szCs w:val="22"/>
        </w:rPr>
        <w:t xml:space="preserve"> </w:t>
      </w:r>
      <w:r w:rsidRPr="00642089">
        <w:rPr>
          <w:rFonts w:ascii="Calibri" w:hAnsi="Calibri" w:cs="Calibri"/>
          <w:sz w:val="22"/>
          <w:szCs w:val="22"/>
        </w:rPr>
        <w:t>This visuali</w:t>
      </w:r>
      <w:r>
        <w:rPr>
          <w:rFonts w:ascii="Calibri" w:hAnsi="Calibri" w:cs="Calibri"/>
          <w:sz w:val="22"/>
          <w:szCs w:val="22"/>
        </w:rPr>
        <w:t>s</w:t>
      </w:r>
      <w:r w:rsidRPr="00642089">
        <w:rPr>
          <w:rFonts w:ascii="Calibri" w:hAnsi="Calibri" w:cs="Calibri"/>
          <w:sz w:val="22"/>
          <w:szCs w:val="22"/>
        </w:rPr>
        <w:t>ation </w:t>
      </w:r>
      <w:r w:rsidR="00DC12A5">
        <w:rPr>
          <w:rFonts w:ascii="Calibri" w:hAnsi="Calibri" w:cs="Calibri"/>
          <w:sz w:val="22"/>
          <w:szCs w:val="22"/>
        </w:rPr>
        <w:t>demonstrates</w:t>
      </w:r>
      <w:r w:rsidRPr="00642089">
        <w:rPr>
          <w:rFonts w:ascii="Calibri" w:hAnsi="Calibri" w:cs="Calibri"/>
          <w:sz w:val="22"/>
          <w:szCs w:val="22"/>
        </w:rPr>
        <w:t xml:space="preserve"> how THC use as a continuous measure provides greater precision compared to categorical cannabis use frequency.</w:t>
      </w:r>
    </w:p>
    <w:p w14:paraId="4B4B467F" w14:textId="1ACA08F2" w:rsidR="00642089" w:rsidRDefault="00642089" w:rsidP="00642089">
      <w:pPr>
        <w:spacing w:line="480" w:lineRule="auto"/>
        <w:jc w:val="both"/>
        <w:rPr>
          <w:rFonts w:ascii="Calibri" w:hAnsi="Calibri" w:cs="Calibri"/>
          <w:sz w:val="22"/>
          <w:szCs w:val="22"/>
        </w:rPr>
      </w:pPr>
      <w:r>
        <w:rPr>
          <w:rFonts w:ascii="Calibri" w:hAnsi="Calibri" w:cs="Calibri"/>
          <w:noProof/>
          <w:sz w:val="22"/>
          <w:szCs w:val="22"/>
        </w:rPr>
        <w:lastRenderedPageBreak/>
        <w:drawing>
          <wp:inline distT="0" distB="0" distL="0" distR="0" wp14:anchorId="53C5E588" wp14:editId="7DB41F01">
            <wp:extent cx="5731510" cy="3793552"/>
            <wp:effectExtent l="0" t="0" r="0" b="3810"/>
            <wp:docPr id="1234306931" name="Picture 5" descr="A graph showing a number of blu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06931" name="Picture 5" descr="A graph showing a number of blue dots&#10;&#10;Description automatically generated with medium confidence"/>
                    <pic:cNvPicPr/>
                  </pic:nvPicPr>
                  <pic:blipFill rotWithShape="1">
                    <a:blip r:embed="rId13">
                      <a:extLst>
                        <a:ext uri="{28A0092B-C50C-407E-A947-70E740481C1C}">
                          <a14:useLocalDpi xmlns:a14="http://schemas.microsoft.com/office/drawing/2010/main" val="0"/>
                        </a:ext>
                      </a:extLst>
                    </a:blip>
                    <a:srcRect t="5771"/>
                    <a:stretch/>
                  </pic:blipFill>
                  <pic:spPr bwMode="auto">
                    <a:xfrm>
                      <a:off x="0" y="0"/>
                      <a:ext cx="5731510" cy="3793552"/>
                    </a:xfrm>
                    <a:prstGeom prst="rect">
                      <a:avLst/>
                    </a:prstGeom>
                    <a:ln>
                      <a:noFill/>
                    </a:ln>
                    <a:extLst>
                      <a:ext uri="{53640926-AAD7-44D8-BBD7-CCE9431645EC}">
                        <a14:shadowObscured xmlns:a14="http://schemas.microsoft.com/office/drawing/2010/main"/>
                      </a:ext>
                    </a:extLst>
                  </pic:spPr>
                </pic:pic>
              </a:graphicData>
            </a:graphic>
          </wp:inline>
        </w:drawing>
      </w:r>
    </w:p>
    <w:p w14:paraId="5F36EB33" w14:textId="5584E1E9" w:rsidR="00642089" w:rsidRDefault="00642089" w:rsidP="00642089">
      <w:pPr>
        <w:pStyle w:val="FiguresandTablesTOC"/>
        <w:outlineLvl w:val="2"/>
      </w:pPr>
      <w:bookmarkStart w:id="25" w:name="_Toc200722090"/>
      <w:r w:rsidRPr="002E35CC">
        <w:t>Figure S</w:t>
      </w:r>
      <w:r w:rsidR="009319B4">
        <w:t>4</w:t>
      </w:r>
      <w:r w:rsidRPr="002E35CC">
        <w:t xml:space="preserve">. </w:t>
      </w:r>
      <w:r>
        <w:rPr>
          <w:b w:val="0"/>
          <w:bCs w:val="0"/>
        </w:rPr>
        <w:t>Dose-dependent Relationship Between THC Unit and Paranoia</w:t>
      </w:r>
      <w:r w:rsidRPr="002E35CC">
        <w:rPr>
          <w:b w:val="0"/>
          <w:bCs w:val="0"/>
        </w:rPr>
        <w:t>.</w:t>
      </w:r>
      <w:bookmarkEnd w:id="25"/>
      <w:r w:rsidRPr="002E35CC">
        <w:t xml:space="preserve"> </w:t>
      </w:r>
    </w:p>
    <w:p w14:paraId="58E9FEA2" w14:textId="003A5B39" w:rsidR="00642089" w:rsidRDefault="00642089" w:rsidP="00642089">
      <w:pPr>
        <w:pStyle w:val="FiguresandTablesTOC"/>
        <w:rPr>
          <w:b w:val="0"/>
          <w:bCs w:val="0"/>
          <w:i w:val="0"/>
          <w:iCs w:val="0"/>
        </w:rPr>
      </w:pPr>
      <w:r>
        <w:rPr>
          <w:b w:val="0"/>
          <w:bCs w:val="0"/>
          <w:i w:val="0"/>
          <w:iCs w:val="0"/>
        </w:rPr>
        <w:t>This scatter plot visualises the relationship between THC unit consumption (log-transformed) and paranoia severity (GPTS total score). Each blue dot represents an individual participant, with increased THC consumption generally associated with higher paranoia scores. The red dashed line represents a LOESS smoothing curve, capturing non-linear patterns in the data. The purple dotted line represents a polynomial regression model (quadratic fit), providing an additional perspective on the relationship between THC unit and paranoia severity.</w:t>
      </w:r>
      <w:r w:rsidR="00FB7918">
        <w:rPr>
          <w:b w:val="0"/>
          <w:bCs w:val="0"/>
          <w:i w:val="0"/>
          <w:iCs w:val="0"/>
        </w:rPr>
        <w:t xml:space="preserve"> </w:t>
      </w:r>
      <w:r w:rsidR="00FB7918" w:rsidRPr="00642089">
        <w:rPr>
          <w:b w:val="0"/>
          <w:bCs w:val="0"/>
          <w:i w:val="0"/>
          <w:iCs w:val="0"/>
        </w:rPr>
        <w:t>Given the highly skewed distribution of THC units, we applied a log transformation (log(THC Unit + 1)) to improve interpretability and reduce the impact of extreme values.</w:t>
      </w:r>
    </w:p>
    <w:p w14:paraId="18B47D48" w14:textId="77777777" w:rsidR="00642089" w:rsidRPr="00642089" w:rsidRDefault="00642089" w:rsidP="00642089">
      <w:pPr>
        <w:spacing w:line="480" w:lineRule="auto"/>
        <w:jc w:val="both"/>
        <w:rPr>
          <w:rFonts w:ascii="Calibri" w:hAnsi="Calibri" w:cs="Calibri"/>
          <w:sz w:val="22"/>
          <w:szCs w:val="22"/>
        </w:rPr>
      </w:pPr>
    </w:p>
    <w:p w14:paraId="0E948176" w14:textId="77777777" w:rsidR="00642089" w:rsidRPr="00F17B49" w:rsidRDefault="00642089" w:rsidP="00642089">
      <w:pPr>
        <w:spacing w:after="240" w:line="480" w:lineRule="auto"/>
        <w:jc w:val="both"/>
        <w:rPr>
          <w:rFonts w:ascii="Calibri" w:hAnsi="Calibri" w:cs="Calibri"/>
          <w:i/>
          <w:iCs/>
          <w:noProof/>
          <w:sz w:val="22"/>
          <w:szCs w:val="22"/>
        </w:rPr>
      </w:pPr>
    </w:p>
    <w:p w14:paraId="39DF89FF" w14:textId="77777777" w:rsidR="00642089" w:rsidRDefault="00642089" w:rsidP="00AD2CE1">
      <w:pPr>
        <w:pStyle w:val="FiguresandTablesTOC"/>
        <w:rPr>
          <w:b w:val="0"/>
          <w:bCs w:val="0"/>
          <w:i w:val="0"/>
          <w:iCs w:val="0"/>
        </w:rPr>
      </w:pPr>
    </w:p>
    <w:p w14:paraId="32BA8FE5" w14:textId="47D05B4A" w:rsidR="00642089" w:rsidRDefault="00642089" w:rsidP="00642089">
      <w:pPr>
        <w:pStyle w:val="FiguresandTablesTOC"/>
        <w:jc w:val="both"/>
        <w:rPr>
          <w:sz w:val="22"/>
          <w:szCs w:val="22"/>
        </w:rPr>
        <w:sectPr w:rsidR="00642089" w:rsidSect="00AD2CE1">
          <w:pgSz w:w="11906" w:h="16838"/>
          <w:pgMar w:top="1440" w:right="1440" w:bottom="1440" w:left="1440" w:header="708" w:footer="708" w:gutter="0"/>
          <w:cols w:space="708"/>
          <w:docGrid w:linePitch="360"/>
        </w:sectPr>
      </w:pPr>
    </w:p>
    <w:p w14:paraId="59EE5637" w14:textId="0136667A" w:rsidR="00313BB3" w:rsidRDefault="00073383" w:rsidP="00632CE0">
      <w:pPr>
        <w:pStyle w:val="HeadingTOC"/>
        <w:spacing w:after="240" w:line="480" w:lineRule="auto"/>
        <w:outlineLvl w:val="0"/>
        <w:rPr>
          <w:sz w:val="22"/>
          <w:szCs w:val="22"/>
        </w:rPr>
      </w:pPr>
      <w:bookmarkStart w:id="26" w:name="_Toc200722091"/>
      <w:r>
        <w:lastRenderedPageBreak/>
        <w:t xml:space="preserve">4. </w:t>
      </w:r>
      <w:r w:rsidR="007E7BF6">
        <w:t>Sensitivity</w:t>
      </w:r>
      <w:r w:rsidR="00313BB3" w:rsidRPr="00030454">
        <w:t xml:space="preserve"> analyses with</w:t>
      </w:r>
      <w:r w:rsidR="007637E4">
        <w:t xml:space="preserve"> traditional</w:t>
      </w:r>
      <w:r w:rsidR="00313BB3" w:rsidRPr="00030454">
        <w:t xml:space="preserve"> cannabis measures</w:t>
      </w:r>
      <w:bookmarkEnd w:id="26"/>
    </w:p>
    <w:p w14:paraId="6C534B2A" w14:textId="7D031D29" w:rsidR="00313BB3" w:rsidRDefault="00073383" w:rsidP="00632CE0">
      <w:pPr>
        <w:pStyle w:val="SubheadingTOC"/>
        <w:spacing w:line="480" w:lineRule="auto"/>
        <w:outlineLvl w:val="1"/>
      </w:pPr>
      <w:bookmarkStart w:id="27" w:name="_Toc200722092"/>
      <w:r>
        <w:t xml:space="preserve">4.1. </w:t>
      </w:r>
      <w:r w:rsidR="00313BB3">
        <w:t xml:space="preserve">Cannabis use and its association with </w:t>
      </w:r>
      <w:r w:rsidR="007D6814">
        <w:t>Paranoia</w:t>
      </w:r>
      <w:bookmarkEnd w:id="27"/>
    </w:p>
    <w:p w14:paraId="52777016" w14:textId="18BC2EF6" w:rsidR="00313BB3" w:rsidRDefault="00313BB3" w:rsidP="00632CE0">
      <w:pPr>
        <w:spacing w:after="240" w:line="480" w:lineRule="auto"/>
        <w:jc w:val="both"/>
        <w:rPr>
          <w:rFonts w:ascii="Calibri" w:hAnsi="Calibri" w:cs="Calibri"/>
          <w:sz w:val="22"/>
          <w:szCs w:val="22"/>
        </w:rPr>
      </w:pPr>
      <w:r w:rsidRPr="00CE7262">
        <w:rPr>
          <w:rFonts w:ascii="Calibri" w:hAnsi="Calibri" w:cs="Calibri"/>
          <w:sz w:val="22"/>
          <w:szCs w:val="22"/>
        </w:rPr>
        <w:t xml:space="preserve">Paranoia scores were higher among current cannabis users compared to individuals who had never used cannabis (β = 6.24, SE = 0.92, p &lt; 0.001). </w:t>
      </w:r>
      <w:r w:rsidR="00292317">
        <w:rPr>
          <w:rFonts w:ascii="Calibri" w:hAnsi="Calibri" w:cs="Calibri"/>
          <w:sz w:val="22"/>
          <w:szCs w:val="22"/>
        </w:rPr>
        <w:t>Furthermore</w:t>
      </w:r>
      <w:r w:rsidRPr="00CE7262">
        <w:rPr>
          <w:rFonts w:ascii="Calibri" w:hAnsi="Calibri" w:cs="Calibri"/>
          <w:sz w:val="22"/>
          <w:szCs w:val="22"/>
        </w:rPr>
        <w:t>,</w:t>
      </w:r>
      <w:r w:rsidR="00E578E5">
        <w:rPr>
          <w:rFonts w:ascii="Calibri" w:hAnsi="Calibri" w:cs="Calibri"/>
          <w:sz w:val="22"/>
          <w:szCs w:val="22"/>
        </w:rPr>
        <w:t xml:space="preserve"> a dose-response relationship was </w:t>
      </w:r>
      <w:r w:rsidR="00292317">
        <w:rPr>
          <w:rFonts w:ascii="Calibri" w:hAnsi="Calibri" w:cs="Calibri"/>
          <w:sz w:val="22"/>
          <w:szCs w:val="22"/>
        </w:rPr>
        <w:t>observed</w:t>
      </w:r>
      <w:r w:rsidR="00E578E5">
        <w:rPr>
          <w:rFonts w:ascii="Calibri" w:hAnsi="Calibri" w:cs="Calibri"/>
          <w:sz w:val="22"/>
          <w:szCs w:val="22"/>
        </w:rPr>
        <w:t xml:space="preserve">, with </w:t>
      </w:r>
      <w:r w:rsidR="00292317">
        <w:rPr>
          <w:rFonts w:ascii="Calibri" w:hAnsi="Calibri" w:cs="Calibri"/>
          <w:sz w:val="22"/>
          <w:szCs w:val="22"/>
        </w:rPr>
        <w:t>individuals</w:t>
      </w:r>
      <w:r w:rsidR="00E578E5">
        <w:rPr>
          <w:rFonts w:ascii="Calibri" w:hAnsi="Calibri" w:cs="Calibri"/>
          <w:sz w:val="22"/>
          <w:szCs w:val="22"/>
        </w:rPr>
        <w:t xml:space="preserve"> using cannabis more than once a week </w:t>
      </w:r>
      <w:r w:rsidR="00292317">
        <w:rPr>
          <w:rFonts w:ascii="Calibri" w:hAnsi="Calibri" w:cs="Calibri"/>
          <w:sz w:val="22"/>
          <w:szCs w:val="22"/>
        </w:rPr>
        <w:t>showing</w:t>
      </w:r>
      <w:r w:rsidR="00E578E5">
        <w:rPr>
          <w:rFonts w:ascii="Calibri" w:hAnsi="Calibri" w:cs="Calibri"/>
          <w:sz w:val="22"/>
          <w:szCs w:val="22"/>
        </w:rPr>
        <w:t xml:space="preserve"> elevated paranoia scores compared to infrequent users </w:t>
      </w:r>
      <w:r w:rsidRPr="00CE7262">
        <w:rPr>
          <w:rFonts w:ascii="Calibri" w:hAnsi="Calibri" w:cs="Calibri"/>
          <w:sz w:val="22"/>
          <w:szCs w:val="22"/>
        </w:rPr>
        <w:t>(β = 8.36, SE = 1.01, p &lt; 0.001)</w:t>
      </w:r>
      <w:r w:rsidR="00E578E5">
        <w:rPr>
          <w:rFonts w:ascii="Calibri" w:hAnsi="Calibri" w:cs="Calibri"/>
          <w:sz w:val="22"/>
          <w:szCs w:val="22"/>
        </w:rPr>
        <w:t>.</w:t>
      </w:r>
    </w:p>
    <w:p w14:paraId="4B13D023" w14:textId="2004C908" w:rsidR="00313BB3" w:rsidRPr="00F41503" w:rsidRDefault="00073383" w:rsidP="00632CE0">
      <w:pPr>
        <w:pStyle w:val="SubheadingTOC"/>
        <w:spacing w:line="480" w:lineRule="auto"/>
        <w:outlineLvl w:val="1"/>
      </w:pPr>
      <w:bookmarkStart w:id="28" w:name="_Toc200722093"/>
      <w:r>
        <w:t xml:space="preserve">4.2. </w:t>
      </w:r>
      <w:r w:rsidR="00313BB3">
        <w:t>Childhood Trauma as a determinant of Cannabis Use</w:t>
      </w:r>
      <w:bookmarkEnd w:id="28"/>
    </w:p>
    <w:p w14:paraId="7B5EEC9A" w14:textId="2C870EAD" w:rsidR="0030210F" w:rsidRDefault="0030210F" w:rsidP="008F5C2D">
      <w:pPr>
        <w:pStyle w:val="SubheadingTOC"/>
        <w:spacing w:line="480" w:lineRule="auto"/>
        <w:rPr>
          <w:i w:val="0"/>
          <w:iCs w:val="0"/>
        </w:rPr>
      </w:pPr>
      <w:bookmarkStart w:id="29" w:name="_Toc190955589"/>
      <w:bookmarkStart w:id="30" w:name="_Toc190955782"/>
      <w:bookmarkStart w:id="31" w:name="_Toc190965961"/>
      <w:bookmarkStart w:id="32" w:name="_Toc190966090"/>
      <w:bookmarkStart w:id="33" w:name="_Toc190172851"/>
      <w:bookmarkStart w:id="34" w:name="_Toc190172963"/>
      <w:r>
        <w:rPr>
          <w:i w:val="0"/>
          <w:iCs w:val="0"/>
        </w:rPr>
        <w:t>C</w:t>
      </w:r>
      <w:r w:rsidRPr="0030210F">
        <w:rPr>
          <w:i w:val="0"/>
          <w:iCs w:val="0"/>
        </w:rPr>
        <w:t xml:space="preserve">hildhood trauma emerged as a significant determinant of cannabis use patterns, particularly current cannabis </w:t>
      </w:r>
      <w:proofErr w:type="gramStart"/>
      <w:r w:rsidRPr="0030210F">
        <w:rPr>
          <w:i w:val="0"/>
          <w:iCs w:val="0"/>
        </w:rPr>
        <w:t>use</w:t>
      </w:r>
      <w:proofErr w:type="gramEnd"/>
      <w:r w:rsidRPr="0030210F">
        <w:rPr>
          <w:i w:val="0"/>
          <w:iCs w:val="0"/>
        </w:rPr>
        <w:t xml:space="preserve"> and its frequency. Individuals exposed to </w:t>
      </w:r>
      <w:r w:rsidR="00044379">
        <w:rPr>
          <w:i w:val="0"/>
          <w:iCs w:val="0"/>
        </w:rPr>
        <w:t>emotional abuse</w:t>
      </w:r>
      <w:r w:rsidRPr="0030210F">
        <w:rPr>
          <w:i w:val="0"/>
          <w:iCs w:val="0"/>
        </w:rPr>
        <w:t xml:space="preserve"> during childhood were significantly more likely to report current cannabis use compared to those without such experiences (OR = 2.35, SE = 0.34, p &lt; 0.001). Similarly, </w:t>
      </w:r>
      <w:r w:rsidR="00044379">
        <w:rPr>
          <w:i w:val="0"/>
          <w:iCs w:val="0"/>
        </w:rPr>
        <w:t>physical abuse</w:t>
      </w:r>
      <w:r w:rsidRPr="0030210F">
        <w:rPr>
          <w:i w:val="0"/>
          <w:iCs w:val="0"/>
        </w:rPr>
        <w:t xml:space="preserve"> was strongly associated with an increased risk of current cannabis use (OR = 1.89, SE = 0.29, p &lt; 0.001).</w:t>
      </w:r>
      <w:r>
        <w:rPr>
          <w:i w:val="0"/>
          <w:iCs w:val="0"/>
        </w:rPr>
        <w:t xml:space="preserve"> </w:t>
      </w:r>
      <w:r w:rsidRPr="0030210F">
        <w:rPr>
          <w:i w:val="0"/>
          <w:iCs w:val="0"/>
        </w:rPr>
        <w:t xml:space="preserve">Bullying during childhood also predicted current cannabis use, with individuals reporting bullying experiences showing higher odds of cannabis use (OR = 1.72, SE = 0.26, p = 0.002). While neglect was a significant factor, its effects were relatively smaller than those associated with abuse-related traumas (OR = 1.48, SE = 0.21, p = 0.01). Notably, individuals exposed to </w:t>
      </w:r>
      <w:r w:rsidR="00044379">
        <w:rPr>
          <w:i w:val="0"/>
          <w:iCs w:val="0"/>
        </w:rPr>
        <w:t>household discord</w:t>
      </w:r>
      <w:r w:rsidRPr="0030210F">
        <w:rPr>
          <w:i w:val="0"/>
          <w:iCs w:val="0"/>
        </w:rPr>
        <w:t xml:space="preserve"> were more likely to engage in frequent cannabis use (OR = 1.94, SE = 0.31, p &lt; 0.001).</w:t>
      </w:r>
      <w:r>
        <w:rPr>
          <w:i w:val="0"/>
          <w:iCs w:val="0"/>
        </w:rPr>
        <w:t xml:space="preserve"> </w:t>
      </w:r>
      <w:r w:rsidRPr="0030210F">
        <w:rPr>
          <w:i w:val="0"/>
          <w:iCs w:val="0"/>
        </w:rPr>
        <w:t>Among current cannabis users, trauma exposure also influenced frequency</w:t>
      </w:r>
      <w:r>
        <w:rPr>
          <w:i w:val="0"/>
          <w:iCs w:val="0"/>
        </w:rPr>
        <w:t xml:space="preserve"> of use</w:t>
      </w:r>
      <w:r w:rsidRPr="0030210F">
        <w:rPr>
          <w:i w:val="0"/>
          <w:iCs w:val="0"/>
        </w:rPr>
        <w:t xml:space="preserve">. For example, individuals who experienced </w:t>
      </w:r>
      <w:r w:rsidR="00044379">
        <w:rPr>
          <w:i w:val="0"/>
          <w:iCs w:val="0"/>
        </w:rPr>
        <w:t>sexual abuse</w:t>
      </w:r>
      <w:r w:rsidRPr="0030210F">
        <w:rPr>
          <w:i w:val="0"/>
          <w:iCs w:val="0"/>
        </w:rPr>
        <w:t xml:space="preserve"> during childhood had a significantly elevated risk of frequent cannabis use (OR = 2.12, SE = 0.37, p &lt; 0.001). Similarly, </w:t>
      </w:r>
      <w:r w:rsidR="00044379">
        <w:rPr>
          <w:i w:val="0"/>
          <w:iCs w:val="0"/>
        </w:rPr>
        <w:t>emotional neglect</w:t>
      </w:r>
      <w:r w:rsidRPr="0030210F">
        <w:rPr>
          <w:i w:val="0"/>
          <w:iCs w:val="0"/>
        </w:rPr>
        <w:t xml:space="preserve"> was associated with a higher frequency of cannabis use among current users (OR = 1.65, SE = 0.28, p = 0.003).</w:t>
      </w:r>
      <w:bookmarkEnd w:id="29"/>
      <w:bookmarkEnd w:id="30"/>
      <w:bookmarkEnd w:id="31"/>
      <w:bookmarkEnd w:id="32"/>
      <w:r>
        <w:rPr>
          <w:i w:val="0"/>
          <w:iCs w:val="0"/>
        </w:rPr>
        <w:t xml:space="preserve"> </w:t>
      </w:r>
      <w:bookmarkEnd w:id="33"/>
      <w:bookmarkEnd w:id="34"/>
    </w:p>
    <w:p w14:paraId="5485DA30" w14:textId="77777777" w:rsidR="00044379" w:rsidRDefault="00044379">
      <w:pPr>
        <w:rPr>
          <w:rFonts w:ascii="Calibri" w:hAnsi="Calibri" w:cs="Calibri"/>
          <w:i/>
          <w:iCs/>
          <w:sz w:val="22"/>
          <w:szCs w:val="22"/>
        </w:rPr>
      </w:pPr>
      <w:r>
        <w:br w:type="page"/>
      </w:r>
    </w:p>
    <w:p w14:paraId="6349426B" w14:textId="544ACC20" w:rsidR="00313BB3" w:rsidRDefault="00073383" w:rsidP="00632CE0">
      <w:pPr>
        <w:pStyle w:val="SubheadingTOC"/>
        <w:spacing w:line="480" w:lineRule="auto"/>
        <w:outlineLvl w:val="1"/>
      </w:pPr>
      <w:bookmarkStart w:id="35" w:name="_Toc200722094"/>
      <w:r>
        <w:lastRenderedPageBreak/>
        <w:t xml:space="preserve">4.3. </w:t>
      </w:r>
      <w:r w:rsidR="00313BB3">
        <w:t xml:space="preserve">Cannabis Use as a Moderator Between Childhood Trauma and </w:t>
      </w:r>
      <w:r w:rsidR="00884C81">
        <w:t>Paranoia</w:t>
      </w:r>
      <w:bookmarkEnd w:id="35"/>
    </w:p>
    <w:p w14:paraId="0C86015A" w14:textId="3B9D900D" w:rsidR="00313BB3" w:rsidRDefault="00313BB3" w:rsidP="00632CE0">
      <w:pPr>
        <w:spacing w:after="240" w:line="480" w:lineRule="auto"/>
        <w:jc w:val="both"/>
        <w:rPr>
          <w:rFonts w:ascii="Calibri" w:hAnsi="Calibri" w:cs="Calibri"/>
          <w:sz w:val="22"/>
          <w:szCs w:val="22"/>
        </w:rPr>
      </w:pPr>
      <w:r w:rsidRPr="00807160">
        <w:rPr>
          <w:rFonts w:ascii="Calibri" w:hAnsi="Calibri" w:cs="Calibri"/>
          <w:sz w:val="22"/>
          <w:szCs w:val="22"/>
        </w:rPr>
        <w:t xml:space="preserve">Cannabis use significantly moderated the relationship between childhood trauma and paranoia. For example, individuals </w:t>
      </w:r>
      <w:r w:rsidR="00345858">
        <w:rPr>
          <w:rFonts w:ascii="Calibri" w:hAnsi="Calibri" w:cs="Calibri"/>
          <w:sz w:val="22"/>
          <w:szCs w:val="22"/>
        </w:rPr>
        <w:t>who experienced</w:t>
      </w:r>
      <w:r w:rsidRPr="00807160">
        <w:rPr>
          <w:rFonts w:ascii="Calibri" w:hAnsi="Calibri" w:cs="Calibri"/>
          <w:sz w:val="22"/>
          <w:szCs w:val="22"/>
        </w:rPr>
        <w:t xml:space="preserve"> bullying </w:t>
      </w:r>
      <w:r w:rsidR="00345858">
        <w:rPr>
          <w:rFonts w:ascii="Calibri" w:hAnsi="Calibri" w:cs="Calibri"/>
          <w:sz w:val="22"/>
          <w:szCs w:val="22"/>
        </w:rPr>
        <w:t>and</w:t>
      </w:r>
      <w:r w:rsidRPr="00807160">
        <w:rPr>
          <w:rFonts w:ascii="Calibri" w:hAnsi="Calibri" w:cs="Calibri"/>
          <w:sz w:val="22"/>
          <w:szCs w:val="22"/>
        </w:rPr>
        <w:t xml:space="preserve"> were also current cannabis users showed significantly </w:t>
      </w:r>
      <w:r w:rsidR="00345858">
        <w:rPr>
          <w:rFonts w:ascii="Calibri" w:hAnsi="Calibri" w:cs="Calibri"/>
          <w:sz w:val="22"/>
          <w:szCs w:val="22"/>
        </w:rPr>
        <w:t>higher</w:t>
      </w:r>
      <w:r w:rsidRPr="00807160">
        <w:rPr>
          <w:rFonts w:ascii="Calibri" w:hAnsi="Calibri" w:cs="Calibri"/>
          <w:sz w:val="22"/>
          <w:szCs w:val="22"/>
        </w:rPr>
        <w:t xml:space="preserve"> paranoia scores compared to non-users (interaction term β = 2.47, SE = 0.89, p = 0.004). Similarly, frequent cannabis users with a history of </w:t>
      </w:r>
      <w:r w:rsidR="009858BB">
        <w:rPr>
          <w:rFonts w:ascii="Calibri" w:hAnsi="Calibri" w:cs="Calibri"/>
          <w:sz w:val="22"/>
          <w:szCs w:val="22"/>
        </w:rPr>
        <w:t>emotional abuse</w:t>
      </w:r>
      <w:r w:rsidRPr="00807160">
        <w:rPr>
          <w:rFonts w:ascii="Calibri" w:hAnsi="Calibri" w:cs="Calibri"/>
          <w:sz w:val="22"/>
          <w:szCs w:val="22"/>
        </w:rPr>
        <w:t xml:space="preserve"> exhibited exacerbated paranoia (interaction term β = 3.85, SE = 1.12, p &lt; 0.001).</w:t>
      </w:r>
      <w:r>
        <w:rPr>
          <w:rFonts w:ascii="Calibri" w:hAnsi="Calibri" w:cs="Calibri"/>
          <w:sz w:val="22"/>
          <w:szCs w:val="22"/>
        </w:rPr>
        <w:t xml:space="preserve"> </w:t>
      </w:r>
    </w:p>
    <w:p w14:paraId="0BEEA48D" w14:textId="417A60DC" w:rsidR="00313BB3" w:rsidRPr="001646B3" w:rsidRDefault="00073383" w:rsidP="00632CE0">
      <w:pPr>
        <w:pStyle w:val="SubheadingTOC"/>
        <w:spacing w:line="480" w:lineRule="auto"/>
        <w:outlineLvl w:val="1"/>
      </w:pPr>
      <w:bookmarkStart w:id="36" w:name="_Toc200722095"/>
      <w:r>
        <w:t xml:space="preserve">4.4. </w:t>
      </w:r>
      <w:r w:rsidR="00313BB3" w:rsidRPr="001646B3">
        <w:t xml:space="preserve">Structural Equation Model Insights on Trauma, Cannabis Use, and </w:t>
      </w:r>
      <w:r w:rsidR="00551A02">
        <w:t>Paranoia</w:t>
      </w:r>
      <w:bookmarkEnd w:id="36"/>
    </w:p>
    <w:p w14:paraId="5CAA3838" w14:textId="32E62DFE" w:rsidR="00BF3C3E" w:rsidRDefault="00551A02" w:rsidP="00632CE0">
      <w:pPr>
        <w:spacing w:after="240" w:line="480" w:lineRule="auto"/>
        <w:jc w:val="both"/>
        <w:rPr>
          <w:rFonts w:ascii="Calibri" w:hAnsi="Calibri" w:cs="Calibri"/>
          <w:sz w:val="22"/>
          <w:szCs w:val="22"/>
        </w:rPr>
      </w:pPr>
      <w:r w:rsidRPr="00551A02">
        <w:rPr>
          <w:rFonts w:ascii="Calibri" w:hAnsi="Calibri" w:cs="Calibri"/>
          <w:sz w:val="22"/>
          <w:szCs w:val="22"/>
        </w:rPr>
        <w:t xml:space="preserve">The SEM model </w:t>
      </w:r>
      <w:r w:rsidR="007F0E22">
        <w:rPr>
          <w:rFonts w:ascii="Calibri" w:hAnsi="Calibri" w:cs="Calibri"/>
          <w:sz w:val="22"/>
          <w:szCs w:val="22"/>
        </w:rPr>
        <w:t>(</w:t>
      </w:r>
      <w:r w:rsidR="007F0E22" w:rsidRPr="007F0E22">
        <w:rPr>
          <w:rFonts w:ascii="Calibri" w:hAnsi="Calibri" w:cs="Calibri"/>
          <w:b/>
          <w:bCs/>
          <w:sz w:val="22"/>
          <w:szCs w:val="22"/>
        </w:rPr>
        <w:t>Figure S</w:t>
      </w:r>
      <w:r w:rsidR="009319B4">
        <w:rPr>
          <w:rFonts w:ascii="Calibri" w:hAnsi="Calibri" w:cs="Calibri"/>
          <w:b/>
          <w:bCs/>
          <w:sz w:val="22"/>
          <w:szCs w:val="22"/>
        </w:rPr>
        <w:t>5</w:t>
      </w:r>
      <w:r w:rsidR="007F0E22">
        <w:rPr>
          <w:rFonts w:ascii="Calibri" w:hAnsi="Calibri" w:cs="Calibri"/>
          <w:sz w:val="22"/>
          <w:szCs w:val="22"/>
        </w:rPr>
        <w:t xml:space="preserve">) </w:t>
      </w:r>
      <w:r w:rsidRPr="00551A02">
        <w:rPr>
          <w:rFonts w:ascii="Calibri" w:hAnsi="Calibri" w:cs="Calibri"/>
          <w:sz w:val="22"/>
          <w:szCs w:val="22"/>
        </w:rPr>
        <w:t>confirmed that childhood trauma had a strong direct effect on paranoia (β = 0.38, p &lt; 0.001), reinforcing its role as a key predictor of paranoid thinking. Trauma was also associated with increased cannabis use (β = 0.22, p &lt; 0.001), which in turn predicted higher cannabis frequency (β = 0.71, p &lt; 0.001). However, neither current cannabis use (β = 0.01, p = 0.543) nor cannabis frequency (β = 0.02, p = 0.085) significantly predicted paranoia.</w:t>
      </w:r>
      <w:r>
        <w:rPr>
          <w:rFonts w:ascii="Calibri" w:hAnsi="Calibri" w:cs="Calibri"/>
          <w:sz w:val="22"/>
          <w:szCs w:val="22"/>
        </w:rPr>
        <w:t xml:space="preserve"> </w:t>
      </w:r>
      <w:r w:rsidRPr="00551A02">
        <w:rPr>
          <w:rFonts w:ascii="Calibri" w:hAnsi="Calibri" w:cs="Calibri"/>
          <w:sz w:val="22"/>
          <w:szCs w:val="22"/>
        </w:rPr>
        <w:t>Mediation analyses showed no significant indirect effects of trauma on paranoia via cannabis use or frequency, suggesting that trauma directly contributes to paranoia rather than through cannabis consumption. The model fit was excellent (CFI = 1.000, RMSEA = 0.036, SRMR = 0.053</w:t>
      </w:r>
      <w:r w:rsidR="00B64EC8">
        <w:rPr>
          <w:rFonts w:ascii="Calibri" w:hAnsi="Calibri" w:cs="Calibri"/>
          <w:sz w:val="22"/>
          <w:szCs w:val="22"/>
        </w:rPr>
        <w:t>)</w:t>
      </w:r>
      <w:r w:rsidRPr="00551A02">
        <w:rPr>
          <w:rFonts w:ascii="Calibri" w:hAnsi="Calibri" w:cs="Calibri"/>
          <w:sz w:val="22"/>
          <w:szCs w:val="22"/>
        </w:rPr>
        <w:t xml:space="preserve">. </w:t>
      </w:r>
    </w:p>
    <w:p w14:paraId="33F6BF97" w14:textId="36A24E15" w:rsidR="00074DAC" w:rsidRDefault="00074DAC" w:rsidP="00551A02">
      <w:pPr>
        <w:jc w:val="both"/>
        <w:rPr>
          <w:rFonts w:ascii="Calibri" w:hAnsi="Calibri" w:cs="Calibri"/>
          <w:sz w:val="22"/>
          <w:szCs w:val="22"/>
        </w:rPr>
      </w:pPr>
      <w:r>
        <w:rPr>
          <w:rFonts w:ascii="Calibri" w:hAnsi="Calibri" w:cs="Calibri"/>
          <w:sz w:val="22"/>
          <w:szCs w:val="22"/>
        </w:rPr>
        <w:br w:type="page"/>
      </w:r>
    </w:p>
    <w:p w14:paraId="3A213607" w14:textId="77777777" w:rsidR="00074DAC" w:rsidRDefault="00074DAC" w:rsidP="00551A02">
      <w:pPr>
        <w:jc w:val="both"/>
        <w:rPr>
          <w:rFonts w:ascii="Calibri" w:hAnsi="Calibri" w:cs="Calibri"/>
          <w:sz w:val="22"/>
          <w:szCs w:val="22"/>
        </w:rPr>
        <w:sectPr w:rsidR="00074DAC" w:rsidSect="00C1076F">
          <w:pgSz w:w="11906" w:h="16838"/>
          <w:pgMar w:top="1440" w:right="1440" w:bottom="1440" w:left="1440" w:header="708" w:footer="708" w:gutter="0"/>
          <w:cols w:space="708"/>
          <w:docGrid w:linePitch="360"/>
        </w:sectPr>
      </w:pPr>
    </w:p>
    <w:p w14:paraId="61D4B791" w14:textId="77777777" w:rsidR="00074DAC" w:rsidRDefault="00074DAC" w:rsidP="00074DAC">
      <w:pPr>
        <w:spacing w:after="240"/>
        <w:jc w:val="center"/>
      </w:pPr>
      <w:r>
        <w:rPr>
          <w:noProof/>
        </w:rPr>
        <w:lastRenderedPageBreak/>
        <w:drawing>
          <wp:inline distT="0" distB="0" distL="0" distR="0" wp14:anchorId="187E3B1E" wp14:editId="3DAEA7AB">
            <wp:extent cx="8025319" cy="4503816"/>
            <wp:effectExtent l="0" t="0" r="1270" b="5080"/>
            <wp:docPr id="90070075" name="Picture 3" descr="A diagram of a traum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34212" name="Picture 3" descr="A diagram of a trauma&#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8051038" cy="4518249"/>
                    </a:xfrm>
                    <a:prstGeom prst="rect">
                      <a:avLst/>
                    </a:prstGeom>
                  </pic:spPr>
                </pic:pic>
              </a:graphicData>
            </a:graphic>
          </wp:inline>
        </w:drawing>
      </w:r>
    </w:p>
    <w:p w14:paraId="38931AC1" w14:textId="1CB75A76" w:rsidR="00074DAC" w:rsidRPr="006F47EE" w:rsidRDefault="00074DAC" w:rsidP="00074DAC">
      <w:pPr>
        <w:pStyle w:val="FiguresandTablesTOC"/>
        <w:outlineLvl w:val="2"/>
        <w:rPr>
          <w:b w:val="0"/>
          <w:bCs w:val="0"/>
        </w:rPr>
      </w:pPr>
      <w:bookmarkStart w:id="37" w:name="_Toc200722096"/>
      <w:r>
        <w:t>Figure S</w:t>
      </w:r>
      <w:r w:rsidR="009319B4">
        <w:t>5</w:t>
      </w:r>
      <w:r>
        <w:t xml:space="preserve">. </w:t>
      </w:r>
      <w:r w:rsidRPr="006F47EE">
        <w:rPr>
          <w:b w:val="0"/>
          <w:bCs w:val="0"/>
        </w:rPr>
        <w:t>Structural Equation Model</w:t>
      </w:r>
      <w:r w:rsidR="00913AEF">
        <w:rPr>
          <w:b w:val="0"/>
          <w:bCs w:val="0"/>
        </w:rPr>
        <w:t xml:space="preserve"> – Traditional Cannabis Measures</w:t>
      </w:r>
      <w:r>
        <w:rPr>
          <w:b w:val="0"/>
          <w:bCs w:val="0"/>
        </w:rPr>
        <w:t>.</w:t>
      </w:r>
      <w:bookmarkEnd w:id="37"/>
    </w:p>
    <w:p w14:paraId="7E763939" w14:textId="77777777" w:rsidR="00074DAC" w:rsidRDefault="00074DAC" w:rsidP="00074DAC">
      <w:pPr>
        <w:jc w:val="center"/>
        <w:rPr>
          <w:rFonts w:ascii="Calibri" w:hAnsi="Calibri" w:cs="Calibri"/>
          <w:sz w:val="20"/>
          <w:szCs w:val="20"/>
        </w:rPr>
      </w:pPr>
      <w:r w:rsidRPr="00105869">
        <w:rPr>
          <w:rFonts w:ascii="Calibri" w:hAnsi="Calibri" w:cs="Calibri"/>
          <w:sz w:val="20"/>
          <w:szCs w:val="20"/>
        </w:rPr>
        <w:t xml:space="preserve">This structural equation model (SEM) illustrates the relationships between trauma (latent variable defined by seven indicators: Emotional Neglect [EN], Physical Neglect [PN], Emotional Abuse [EA], Physical Abuse [PA], Sexual Abuse [SA], Household Discord [HD], and Bullying [BULL]), cannabis use (measured as </w:t>
      </w:r>
      <w:r>
        <w:rPr>
          <w:rFonts w:ascii="Calibri" w:hAnsi="Calibri" w:cs="Calibri"/>
          <w:sz w:val="20"/>
          <w:szCs w:val="20"/>
        </w:rPr>
        <w:t>current cannabis use and frequency of use</w:t>
      </w:r>
      <w:r w:rsidRPr="00105869">
        <w:rPr>
          <w:rFonts w:ascii="Calibri" w:hAnsi="Calibri" w:cs="Calibri"/>
          <w:sz w:val="20"/>
          <w:szCs w:val="20"/>
        </w:rPr>
        <w:t xml:space="preserve">), and Paranoia </w:t>
      </w:r>
      <w:r>
        <w:rPr>
          <w:rFonts w:ascii="Calibri" w:hAnsi="Calibri" w:cs="Calibri"/>
          <w:sz w:val="20"/>
          <w:szCs w:val="20"/>
        </w:rPr>
        <w:t>(</w:t>
      </w:r>
      <w:r w:rsidRPr="00105869">
        <w:rPr>
          <w:rFonts w:ascii="Calibri" w:hAnsi="Calibri" w:cs="Calibri"/>
          <w:sz w:val="20"/>
          <w:szCs w:val="20"/>
        </w:rPr>
        <w:t xml:space="preserve">GPTS). Standardized coefficients are displayed along the pathways, with dashed lines indicating non-significant paths. </w:t>
      </w:r>
    </w:p>
    <w:p w14:paraId="0B9A50FA" w14:textId="77777777" w:rsidR="00C22244" w:rsidRDefault="00C22244" w:rsidP="00551A02">
      <w:pPr>
        <w:jc w:val="both"/>
        <w:rPr>
          <w:rFonts w:ascii="Calibri" w:hAnsi="Calibri" w:cs="Calibri"/>
          <w:sz w:val="22"/>
          <w:szCs w:val="22"/>
        </w:rPr>
      </w:pPr>
    </w:p>
    <w:p w14:paraId="5E3AEB62" w14:textId="77777777" w:rsidR="00074DAC" w:rsidRDefault="00074DAC">
      <w:pPr>
        <w:rPr>
          <w:rFonts w:ascii="Calibri" w:hAnsi="Calibri" w:cs="Calibri"/>
          <w:i/>
          <w:iCs/>
          <w:sz w:val="22"/>
          <w:szCs w:val="22"/>
        </w:rPr>
      </w:pPr>
      <w:r>
        <w:br w:type="page"/>
      </w:r>
    </w:p>
    <w:p w14:paraId="1564EA64" w14:textId="77777777" w:rsidR="00074DAC" w:rsidRDefault="00074DAC" w:rsidP="00C22244">
      <w:pPr>
        <w:pStyle w:val="SubheadingTOC"/>
        <w:outlineLvl w:val="1"/>
        <w:sectPr w:rsidR="00074DAC" w:rsidSect="00074DAC">
          <w:pgSz w:w="16838" w:h="11906" w:orient="landscape"/>
          <w:pgMar w:top="1440" w:right="1440" w:bottom="1440" w:left="1440" w:header="708" w:footer="708" w:gutter="0"/>
          <w:cols w:space="708"/>
          <w:docGrid w:linePitch="360"/>
        </w:sectPr>
      </w:pPr>
    </w:p>
    <w:p w14:paraId="1C20C485" w14:textId="1784D70E" w:rsidR="00C22244" w:rsidRPr="009A20A8" w:rsidRDefault="00073383" w:rsidP="00632CE0">
      <w:pPr>
        <w:pStyle w:val="SubheadingTOC"/>
        <w:spacing w:line="480" w:lineRule="auto"/>
        <w:outlineLvl w:val="1"/>
      </w:pPr>
      <w:bookmarkStart w:id="38" w:name="_Toc200722097"/>
      <w:r>
        <w:lastRenderedPageBreak/>
        <w:t xml:space="preserve">4.5. </w:t>
      </w:r>
      <w:r w:rsidR="00C22244" w:rsidRPr="009A20A8">
        <w:t>Comparing THC Unit Analyses with Traditional Cannabis Use Measures</w:t>
      </w:r>
      <w:bookmarkEnd w:id="38"/>
    </w:p>
    <w:p w14:paraId="41254C6A" w14:textId="5A3AC88F" w:rsidR="001A56C2" w:rsidRDefault="006E6D2D" w:rsidP="00632CE0">
      <w:pPr>
        <w:spacing w:line="480" w:lineRule="auto"/>
        <w:jc w:val="both"/>
        <w:rPr>
          <w:rFonts w:ascii="Calibri" w:hAnsi="Calibri" w:cs="Calibri"/>
          <w:sz w:val="22"/>
          <w:szCs w:val="22"/>
        </w:rPr>
      </w:pPr>
      <w:r w:rsidRPr="006E6D2D">
        <w:rPr>
          <w:rFonts w:ascii="Calibri" w:hAnsi="Calibri" w:cs="Calibri"/>
          <w:sz w:val="22"/>
          <w:szCs w:val="22"/>
        </w:rPr>
        <w:t xml:space="preserve">The use of THC units as </w:t>
      </w:r>
      <w:r w:rsidR="00883E8C">
        <w:rPr>
          <w:rFonts w:ascii="Calibri" w:hAnsi="Calibri" w:cs="Calibri"/>
          <w:sz w:val="22"/>
          <w:szCs w:val="22"/>
        </w:rPr>
        <w:t>a comprehensive</w:t>
      </w:r>
      <w:r w:rsidRPr="006E6D2D">
        <w:rPr>
          <w:rFonts w:ascii="Calibri" w:hAnsi="Calibri" w:cs="Calibri"/>
          <w:sz w:val="22"/>
          <w:szCs w:val="22"/>
        </w:rPr>
        <w:t xml:space="preserve"> measure of cannabis exposure provided critical insights beyond traditional self-reported measures, such as current use and frequency. While both approaches confirmed significant associations between cannabis use and paranoia, THC units offered a more precise dose-response relationship. Notably, in the SEM model, cannabis exposure—measured in THC units—significantly predicted paranoia, whereas traditional measures (</w:t>
      </w:r>
      <w:r w:rsidR="002607B4">
        <w:rPr>
          <w:rFonts w:ascii="Calibri" w:hAnsi="Calibri" w:cs="Calibri"/>
          <w:sz w:val="22"/>
          <w:szCs w:val="22"/>
        </w:rPr>
        <w:t xml:space="preserve">i.e., </w:t>
      </w:r>
      <w:r w:rsidRPr="006E6D2D">
        <w:rPr>
          <w:rFonts w:ascii="Calibri" w:hAnsi="Calibri" w:cs="Calibri"/>
          <w:sz w:val="22"/>
          <w:szCs w:val="22"/>
        </w:rPr>
        <w:t>current use and frequency) showed non-significant effects. This suggests that</w:t>
      </w:r>
      <w:r w:rsidR="00083A15">
        <w:rPr>
          <w:rFonts w:ascii="Calibri" w:hAnsi="Calibri" w:cs="Calibri"/>
          <w:sz w:val="22"/>
          <w:szCs w:val="22"/>
        </w:rPr>
        <w:t xml:space="preserve"> </w:t>
      </w:r>
      <w:r w:rsidR="00883E8C">
        <w:rPr>
          <w:rFonts w:ascii="Calibri" w:hAnsi="Calibri" w:cs="Calibri"/>
          <w:sz w:val="22"/>
          <w:szCs w:val="22"/>
        </w:rPr>
        <w:t xml:space="preserve">directly measured </w:t>
      </w:r>
      <w:r w:rsidRPr="006E6D2D">
        <w:rPr>
          <w:rFonts w:ascii="Calibri" w:hAnsi="Calibri" w:cs="Calibri"/>
          <w:sz w:val="22"/>
          <w:szCs w:val="22"/>
        </w:rPr>
        <w:t xml:space="preserve">THC </w:t>
      </w:r>
      <w:r w:rsidR="00883E8C">
        <w:rPr>
          <w:rFonts w:ascii="Calibri" w:hAnsi="Calibri" w:cs="Calibri"/>
          <w:sz w:val="22"/>
          <w:szCs w:val="22"/>
        </w:rPr>
        <w:t>consumption</w:t>
      </w:r>
      <w:r w:rsidRPr="006E6D2D">
        <w:rPr>
          <w:rFonts w:ascii="Calibri" w:hAnsi="Calibri" w:cs="Calibri"/>
          <w:sz w:val="22"/>
          <w:szCs w:val="22"/>
        </w:rPr>
        <w:t xml:space="preserve">, rather than frequency </w:t>
      </w:r>
      <w:r w:rsidR="00883E8C">
        <w:rPr>
          <w:rFonts w:ascii="Calibri" w:hAnsi="Calibri" w:cs="Calibri"/>
          <w:sz w:val="22"/>
          <w:szCs w:val="22"/>
        </w:rPr>
        <w:t xml:space="preserve">of use </w:t>
      </w:r>
      <w:r w:rsidRPr="006E6D2D">
        <w:rPr>
          <w:rFonts w:ascii="Calibri" w:hAnsi="Calibri" w:cs="Calibri"/>
          <w:sz w:val="22"/>
          <w:szCs w:val="22"/>
        </w:rPr>
        <w:t xml:space="preserve">alone, is a key factor in understanding cannabis-related paranoia risk. Additionally, the THC unit model identified a small but significant indirect effect of trauma on paranoia via cannabis use, an effect not observed with traditional measures. These findings highlight the added value of THC units in psychiatric research. While frequency-based measures remain useful for broad epidemiological insights, they </w:t>
      </w:r>
      <w:r w:rsidR="00883E8C">
        <w:rPr>
          <w:rFonts w:ascii="Calibri" w:hAnsi="Calibri" w:cs="Calibri"/>
          <w:sz w:val="22"/>
          <w:szCs w:val="22"/>
        </w:rPr>
        <w:t xml:space="preserve">lack the precision for fully </w:t>
      </w:r>
      <w:r w:rsidR="00083A15">
        <w:rPr>
          <w:rFonts w:ascii="Calibri" w:hAnsi="Calibri" w:cs="Calibri"/>
          <w:sz w:val="22"/>
          <w:szCs w:val="22"/>
        </w:rPr>
        <w:t>characterising</w:t>
      </w:r>
      <w:r w:rsidR="00883E8C">
        <w:rPr>
          <w:rFonts w:ascii="Calibri" w:hAnsi="Calibri" w:cs="Calibri"/>
          <w:sz w:val="22"/>
          <w:szCs w:val="22"/>
        </w:rPr>
        <w:t xml:space="preserve"> the relationship between cannabis use and health outcomes</w:t>
      </w:r>
      <w:r w:rsidRPr="006E6D2D">
        <w:rPr>
          <w:rFonts w:ascii="Calibri" w:hAnsi="Calibri" w:cs="Calibri"/>
          <w:sz w:val="22"/>
          <w:szCs w:val="22"/>
        </w:rPr>
        <w:t>.</w:t>
      </w:r>
      <w:r w:rsidR="00883E8C">
        <w:rPr>
          <w:rFonts w:ascii="Calibri" w:hAnsi="Calibri" w:cs="Calibri"/>
          <w:sz w:val="22"/>
          <w:szCs w:val="22"/>
        </w:rPr>
        <w:t xml:space="preserve"> For example, they can help differentiate</w:t>
      </w:r>
      <w:r w:rsidR="009A368C">
        <w:rPr>
          <w:rFonts w:ascii="Calibri" w:hAnsi="Calibri" w:cs="Calibri"/>
          <w:sz w:val="22"/>
          <w:szCs w:val="22"/>
        </w:rPr>
        <w:t xml:space="preserve"> the</w:t>
      </w:r>
      <w:r w:rsidR="00883E8C">
        <w:rPr>
          <w:rFonts w:ascii="Calibri" w:hAnsi="Calibri" w:cs="Calibri"/>
          <w:sz w:val="22"/>
          <w:szCs w:val="22"/>
        </w:rPr>
        <w:t xml:space="preserve"> level of risk related to </w:t>
      </w:r>
      <w:r w:rsidR="009A368C">
        <w:rPr>
          <w:rFonts w:ascii="Calibri" w:hAnsi="Calibri" w:cs="Calibri"/>
          <w:sz w:val="22"/>
          <w:szCs w:val="22"/>
        </w:rPr>
        <w:t>consuming a smaller amount of cannabis every day (e.g., 1 unit per day) versus a larger amount of cannabis every day (e.g.</w:t>
      </w:r>
      <w:r w:rsidR="00083A15">
        <w:rPr>
          <w:rFonts w:ascii="Calibri" w:hAnsi="Calibri" w:cs="Calibri"/>
          <w:sz w:val="22"/>
          <w:szCs w:val="22"/>
        </w:rPr>
        <w:t>,</w:t>
      </w:r>
      <w:r w:rsidR="009A368C">
        <w:rPr>
          <w:rFonts w:ascii="Calibri" w:hAnsi="Calibri" w:cs="Calibri"/>
          <w:sz w:val="22"/>
          <w:szCs w:val="22"/>
        </w:rPr>
        <w:t xml:space="preserve"> 50 units per day); these would be classified as the same (i.e. daily use) when categorised by frequency of use alone. </w:t>
      </w:r>
      <w:r w:rsidRPr="006E6D2D">
        <w:rPr>
          <w:rFonts w:ascii="Calibri" w:hAnsi="Calibri" w:cs="Calibri"/>
          <w:sz w:val="22"/>
          <w:szCs w:val="22"/>
        </w:rPr>
        <w:t>Integrating THC units into future research and clinical assessments could enhance risk detection and intervention strategies, particularly for individuals with trauma histories who are prone to paranoia.</w:t>
      </w:r>
    </w:p>
    <w:p w14:paraId="77897F9C" w14:textId="77777777" w:rsidR="001A56C2" w:rsidRDefault="001A56C2" w:rsidP="00632CE0">
      <w:pPr>
        <w:spacing w:line="480" w:lineRule="auto"/>
        <w:jc w:val="both"/>
        <w:rPr>
          <w:rFonts w:ascii="Calibri" w:hAnsi="Calibri" w:cs="Calibri"/>
          <w:sz w:val="22"/>
          <w:szCs w:val="22"/>
        </w:rPr>
      </w:pPr>
    </w:p>
    <w:p w14:paraId="53CE35B2" w14:textId="77777777" w:rsidR="00DE2B2A" w:rsidRDefault="00DE2B2A">
      <w:pPr>
        <w:rPr>
          <w:rFonts w:ascii="Calibri" w:hAnsi="Calibri" w:cs="Calibri"/>
          <w:b/>
          <w:bCs/>
          <w:i/>
          <w:iCs/>
          <w:noProof/>
        </w:rPr>
      </w:pPr>
      <w:r>
        <w:br w:type="page"/>
      </w:r>
    </w:p>
    <w:p w14:paraId="3BAF6278" w14:textId="5790FB49" w:rsidR="00E42506" w:rsidRDefault="00DE2B2A" w:rsidP="00DE2B2A">
      <w:pPr>
        <w:pStyle w:val="HeadingTOC"/>
        <w:spacing w:line="480" w:lineRule="auto"/>
        <w:outlineLvl w:val="0"/>
      </w:pPr>
      <w:bookmarkStart w:id="39" w:name="_Toc200722098"/>
      <w:r>
        <w:lastRenderedPageBreak/>
        <w:t>5. Stratified Analyses by Gender</w:t>
      </w:r>
      <w:bookmarkEnd w:id="39"/>
    </w:p>
    <w:p w14:paraId="230D3835" w14:textId="53FAB141" w:rsidR="008D1FCE" w:rsidRDefault="008D1FCE" w:rsidP="00E42506">
      <w:pPr>
        <w:pStyle w:val="HeadingTOC"/>
        <w:spacing w:line="480" w:lineRule="auto"/>
        <w:rPr>
          <w:b w:val="0"/>
          <w:bCs w:val="0"/>
          <w:i w:val="0"/>
          <w:iCs w:val="0"/>
          <w:sz w:val="22"/>
          <w:szCs w:val="22"/>
        </w:rPr>
      </w:pPr>
      <w:r>
        <w:rPr>
          <w:b w:val="0"/>
          <w:bCs w:val="0"/>
          <w:i w:val="0"/>
          <w:iCs w:val="0"/>
          <w:sz w:val="22"/>
          <w:szCs w:val="22"/>
        </w:rPr>
        <w:t>To explore potential sex differences in the associations between childhood trauma, cannabis use, and paranoia, we conducted stratified analyses for male and female participants.</w:t>
      </w:r>
    </w:p>
    <w:p w14:paraId="7F898BED" w14:textId="23BD8560" w:rsidR="008D1FCE" w:rsidRDefault="008D1FCE" w:rsidP="00E42506">
      <w:pPr>
        <w:pStyle w:val="HeadingTOC"/>
        <w:spacing w:line="480" w:lineRule="auto"/>
        <w:rPr>
          <w:b w:val="0"/>
          <w:bCs w:val="0"/>
          <w:i w:val="0"/>
          <w:iCs w:val="0"/>
          <w:sz w:val="22"/>
          <w:szCs w:val="22"/>
        </w:rPr>
      </w:pPr>
      <w:r>
        <w:rPr>
          <w:b w:val="0"/>
          <w:bCs w:val="0"/>
          <w:i w:val="0"/>
          <w:iCs w:val="0"/>
          <w:sz w:val="22"/>
          <w:szCs w:val="22"/>
        </w:rPr>
        <w:t>Among males, nearly all trauma subtypes were significantly associated with elevated paranoia scores. The strongest effects were observed for emotional abuse (</w:t>
      </w:r>
      <w:r w:rsidRPr="008D1FCE">
        <w:rPr>
          <w:b w:val="0"/>
          <w:bCs w:val="0"/>
          <w:i w:val="0"/>
          <w:iCs w:val="0"/>
          <w:sz w:val="22"/>
          <w:szCs w:val="22"/>
        </w:rPr>
        <w:t xml:space="preserve">β = 11.94, p &lt; </w:t>
      </w:r>
      <w:r>
        <w:rPr>
          <w:b w:val="0"/>
          <w:bCs w:val="0"/>
          <w:i w:val="0"/>
          <w:iCs w:val="0"/>
          <w:sz w:val="22"/>
          <w:szCs w:val="22"/>
        </w:rPr>
        <w:t>0</w:t>
      </w:r>
      <w:r w:rsidRPr="008D1FCE">
        <w:rPr>
          <w:b w:val="0"/>
          <w:bCs w:val="0"/>
          <w:i w:val="0"/>
          <w:iCs w:val="0"/>
          <w:sz w:val="22"/>
          <w:szCs w:val="22"/>
        </w:rPr>
        <w:t>.001</w:t>
      </w:r>
      <w:r>
        <w:rPr>
          <w:b w:val="0"/>
          <w:bCs w:val="0"/>
          <w:i w:val="0"/>
          <w:iCs w:val="0"/>
          <w:sz w:val="22"/>
          <w:szCs w:val="22"/>
        </w:rPr>
        <w:t>), physical abuse (</w:t>
      </w:r>
      <w:r w:rsidRPr="008D1FCE">
        <w:rPr>
          <w:b w:val="0"/>
          <w:bCs w:val="0"/>
          <w:i w:val="0"/>
          <w:iCs w:val="0"/>
          <w:sz w:val="22"/>
          <w:szCs w:val="22"/>
        </w:rPr>
        <w:t xml:space="preserve">β = </w:t>
      </w:r>
      <w:r>
        <w:rPr>
          <w:b w:val="0"/>
          <w:bCs w:val="0"/>
          <w:i w:val="0"/>
          <w:iCs w:val="0"/>
          <w:sz w:val="22"/>
          <w:szCs w:val="22"/>
        </w:rPr>
        <w:t>9.34</w:t>
      </w:r>
      <w:r w:rsidRPr="008D1FCE">
        <w:rPr>
          <w:b w:val="0"/>
          <w:bCs w:val="0"/>
          <w:i w:val="0"/>
          <w:iCs w:val="0"/>
          <w:sz w:val="22"/>
          <w:szCs w:val="22"/>
        </w:rPr>
        <w:t xml:space="preserve">, p &lt; </w:t>
      </w:r>
      <w:r>
        <w:rPr>
          <w:b w:val="0"/>
          <w:bCs w:val="0"/>
          <w:i w:val="0"/>
          <w:iCs w:val="0"/>
          <w:sz w:val="22"/>
          <w:szCs w:val="22"/>
        </w:rPr>
        <w:t>0</w:t>
      </w:r>
      <w:r w:rsidRPr="008D1FCE">
        <w:rPr>
          <w:b w:val="0"/>
          <w:bCs w:val="0"/>
          <w:i w:val="0"/>
          <w:iCs w:val="0"/>
          <w:sz w:val="22"/>
          <w:szCs w:val="22"/>
        </w:rPr>
        <w:t>.001</w:t>
      </w:r>
      <w:r>
        <w:rPr>
          <w:b w:val="0"/>
          <w:bCs w:val="0"/>
          <w:i w:val="0"/>
          <w:iCs w:val="0"/>
          <w:sz w:val="22"/>
          <w:szCs w:val="22"/>
        </w:rPr>
        <w:t>), and bullying (</w:t>
      </w:r>
      <w:r w:rsidRPr="008D1FCE">
        <w:rPr>
          <w:b w:val="0"/>
          <w:bCs w:val="0"/>
          <w:i w:val="0"/>
          <w:iCs w:val="0"/>
          <w:sz w:val="22"/>
          <w:szCs w:val="22"/>
        </w:rPr>
        <w:t xml:space="preserve">β = </w:t>
      </w:r>
      <w:r>
        <w:rPr>
          <w:b w:val="0"/>
          <w:bCs w:val="0"/>
          <w:i w:val="0"/>
          <w:iCs w:val="0"/>
          <w:sz w:val="22"/>
          <w:szCs w:val="22"/>
        </w:rPr>
        <w:t>6.66</w:t>
      </w:r>
      <w:r w:rsidRPr="008D1FCE">
        <w:rPr>
          <w:b w:val="0"/>
          <w:bCs w:val="0"/>
          <w:i w:val="0"/>
          <w:iCs w:val="0"/>
          <w:sz w:val="22"/>
          <w:szCs w:val="22"/>
        </w:rPr>
        <w:t xml:space="preserve">, p &lt; </w:t>
      </w:r>
      <w:r>
        <w:rPr>
          <w:b w:val="0"/>
          <w:bCs w:val="0"/>
          <w:i w:val="0"/>
          <w:iCs w:val="0"/>
          <w:sz w:val="22"/>
          <w:szCs w:val="22"/>
        </w:rPr>
        <w:t>0</w:t>
      </w:r>
      <w:r w:rsidRPr="008D1FCE">
        <w:rPr>
          <w:b w:val="0"/>
          <w:bCs w:val="0"/>
          <w:i w:val="0"/>
          <w:iCs w:val="0"/>
          <w:sz w:val="22"/>
          <w:szCs w:val="22"/>
        </w:rPr>
        <w:t>.001</w:t>
      </w:r>
      <w:r>
        <w:rPr>
          <w:b w:val="0"/>
          <w:bCs w:val="0"/>
          <w:i w:val="0"/>
          <w:iCs w:val="0"/>
          <w:sz w:val="22"/>
          <w:szCs w:val="22"/>
        </w:rPr>
        <w:t>). Smaller but significant associations were found for sexual abuse, physical neglect, and household discord. Cannabis use, measured via THC units, was also a significant predictor of paranoia in males (</w:t>
      </w:r>
      <w:r w:rsidRPr="008D1FCE">
        <w:rPr>
          <w:b w:val="0"/>
          <w:bCs w:val="0"/>
          <w:i w:val="0"/>
          <w:iCs w:val="0"/>
          <w:sz w:val="22"/>
          <w:szCs w:val="22"/>
        </w:rPr>
        <w:t xml:space="preserve">β = </w:t>
      </w:r>
      <w:r>
        <w:rPr>
          <w:b w:val="0"/>
          <w:bCs w:val="0"/>
          <w:i w:val="0"/>
          <w:iCs w:val="0"/>
          <w:sz w:val="22"/>
          <w:szCs w:val="22"/>
        </w:rPr>
        <w:t>0.0063</w:t>
      </w:r>
      <w:r w:rsidRPr="008D1FCE">
        <w:rPr>
          <w:b w:val="0"/>
          <w:bCs w:val="0"/>
          <w:i w:val="0"/>
          <w:iCs w:val="0"/>
          <w:sz w:val="22"/>
          <w:szCs w:val="22"/>
        </w:rPr>
        <w:t xml:space="preserve">, p &lt; </w:t>
      </w:r>
      <w:r>
        <w:rPr>
          <w:b w:val="0"/>
          <w:bCs w:val="0"/>
          <w:i w:val="0"/>
          <w:iCs w:val="0"/>
          <w:sz w:val="22"/>
          <w:szCs w:val="22"/>
        </w:rPr>
        <w:t>0</w:t>
      </w:r>
      <w:r w:rsidRPr="008D1FCE">
        <w:rPr>
          <w:b w:val="0"/>
          <w:bCs w:val="0"/>
          <w:i w:val="0"/>
          <w:iCs w:val="0"/>
          <w:sz w:val="22"/>
          <w:szCs w:val="22"/>
        </w:rPr>
        <w:t>.001</w:t>
      </w:r>
      <w:r>
        <w:rPr>
          <w:b w:val="0"/>
          <w:bCs w:val="0"/>
          <w:i w:val="0"/>
          <w:iCs w:val="0"/>
          <w:sz w:val="22"/>
          <w:szCs w:val="22"/>
        </w:rPr>
        <w:t>). A significant household discord x THC units interaction emerged (</w:t>
      </w:r>
      <w:r w:rsidRPr="008D1FCE">
        <w:rPr>
          <w:b w:val="0"/>
          <w:bCs w:val="0"/>
          <w:i w:val="0"/>
          <w:iCs w:val="0"/>
          <w:sz w:val="22"/>
          <w:szCs w:val="22"/>
        </w:rPr>
        <w:t xml:space="preserve">β = </w:t>
      </w:r>
      <w:r>
        <w:rPr>
          <w:b w:val="0"/>
          <w:bCs w:val="0"/>
          <w:i w:val="0"/>
          <w:iCs w:val="0"/>
          <w:sz w:val="22"/>
          <w:szCs w:val="22"/>
        </w:rPr>
        <w:t>0.0082</w:t>
      </w:r>
      <w:r w:rsidRPr="008D1FCE">
        <w:rPr>
          <w:b w:val="0"/>
          <w:bCs w:val="0"/>
          <w:i w:val="0"/>
          <w:iCs w:val="0"/>
          <w:sz w:val="22"/>
          <w:szCs w:val="22"/>
        </w:rPr>
        <w:t xml:space="preserve">, p &lt; </w:t>
      </w:r>
      <w:r>
        <w:rPr>
          <w:b w:val="0"/>
          <w:bCs w:val="0"/>
          <w:i w:val="0"/>
          <w:iCs w:val="0"/>
          <w:sz w:val="22"/>
          <w:szCs w:val="22"/>
        </w:rPr>
        <w:t>0</w:t>
      </w:r>
      <w:r w:rsidRPr="008D1FCE">
        <w:rPr>
          <w:b w:val="0"/>
          <w:bCs w:val="0"/>
          <w:i w:val="0"/>
          <w:iCs w:val="0"/>
          <w:sz w:val="22"/>
          <w:szCs w:val="22"/>
        </w:rPr>
        <w:t>.0</w:t>
      </w:r>
      <w:r>
        <w:rPr>
          <w:b w:val="0"/>
          <w:bCs w:val="0"/>
          <w:i w:val="0"/>
          <w:iCs w:val="0"/>
          <w:sz w:val="22"/>
          <w:szCs w:val="22"/>
        </w:rPr>
        <w:t>34).</w:t>
      </w:r>
    </w:p>
    <w:p w14:paraId="4D0E4BD9" w14:textId="4FF45CB9" w:rsidR="008D1FCE" w:rsidRDefault="008D1FCE" w:rsidP="00E42506">
      <w:pPr>
        <w:pStyle w:val="HeadingTOC"/>
        <w:spacing w:line="480" w:lineRule="auto"/>
        <w:rPr>
          <w:b w:val="0"/>
          <w:bCs w:val="0"/>
          <w:i w:val="0"/>
          <w:iCs w:val="0"/>
          <w:sz w:val="22"/>
          <w:szCs w:val="22"/>
        </w:rPr>
      </w:pPr>
      <w:r>
        <w:rPr>
          <w:b w:val="0"/>
          <w:bCs w:val="0"/>
          <w:i w:val="0"/>
          <w:iCs w:val="0"/>
          <w:sz w:val="22"/>
          <w:szCs w:val="22"/>
        </w:rPr>
        <w:t>In females, significant main effects were more selective. Paranoia was significantly elevated in relation to emotional abuse (</w:t>
      </w:r>
      <w:r w:rsidRPr="008D1FCE">
        <w:rPr>
          <w:b w:val="0"/>
          <w:bCs w:val="0"/>
          <w:i w:val="0"/>
          <w:iCs w:val="0"/>
          <w:sz w:val="22"/>
          <w:szCs w:val="22"/>
        </w:rPr>
        <w:t xml:space="preserve">β = </w:t>
      </w:r>
      <w:r>
        <w:rPr>
          <w:b w:val="0"/>
          <w:bCs w:val="0"/>
          <w:i w:val="0"/>
          <w:iCs w:val="0"/>
          <w:sz w:val="22"/>
          <w:szCs w:val="22"/>
        </w:rPr>
        <w:t>9.89</w:t>
      </w:r>
      <w:r w:rsidRPr="008D1FCE">
        <w:rPr>
          <w:b w:val="0"/>
          <w:bCs w:val="0"/>
          <w:i w:val="0"/>
          <w:iCs w:val="0"/>
          <w:sz w:val="22"/>
          <w:szCs w:val="22"/>
        </w:rPr>
        <w:t xml:space="preserve">, p &lt; </w:t>
      </w:r>
      <w:r>
        <w:rPr>
          <w:b w:val="0"/>
          <w:bCs w:val="0"/>
          <w:i w:val="0"/>
          <w:iCs w:val="0"/>
          <w:sz w:val="22"/>
          <w:szCs w:val="22"/>
        </w:rPr>
        <w:t>0</w:t>
      </w:r>
      <w:r w:rsidRPr="008D1FCE">
        <w:rPr>
          <w:b w:val="0"/>
          <w:bCs w:val="0"/>
          <w:i w:val="0"/>
          <w:iCs w:val="0"/>
          <w:sz w:val="22"/>
          <w:szCs w:val="22"/>
        </w:rPr>
        <w:t>.001</w:t>
      </w:r>
      <w:r>
        <w:rPr>
          <w:b w:val="0"/>
          <w:bCs w:val="0"/>
          <w:i w:val="0"/>
          <w:iCs w:val="0"/>
          <w:sz w:val="22"/>
          <w:szCs w:val="22"/>
        </w:rPr>
        <w:t>), bullying (</w:t>
      </w:r>
      <w:r w:rsidRPr="008D1FCE">
        <w:rPr>
          <w:b w:val="0"/>
          <w:bCs w:val="0"/>
          <w:i w:val="0"/>
          <w:iCs w:val="0"/>
          <w:sz w:val="22"/>
          <w:szCs w:val="22"/>
        </w:rPr>
        <w:t xml:space="preserve">β = </w:t>
      </w:r>
      <w:r>
        <w:rPr>
          <w:b w:val="0"/>
          <w:bCs w:val="0"/>
          <w:i w:val="0"/>
          <w:iCs w:val="0"/>
          <w:sz w:val="22"/>
          <w:szCs w:val="22"/>
        </w:rPr>
        <w:t>9.00</w:t>
      </w:r>
      <w:r w:rsidRPr="008D1FCE">
        <w:rPr>
          <w:b w:val="0"/>
          <w:bCs w:val="0"/>
          <w:i w:val="0"/>
          <w:iCs w:val="0"/>
          <w:sz w:val="22"/>
          <w:szCs w:val="22"/>
        </w:rPr>
        <w:t xml:space="preserve">, p &lt; </w:t>
      </w:r>
      <w:r>
        <w:rPr>
          <w:b w:val="0"/>
          <w:bCs w:val="0"/>
          <w:i w:val="0"/>
          <w:iCs w:val="0"/>
          <w:sz w:val="22"/>
          <w:szCs w:val="22"/>
        </w:rPr>
        <w:t>0</w:t>
      </w:r>
      <w:r w:rsidRPr="008D1FCE">
        <w:rPr>
          <w:b w:val="0"/>
          <w:bCs w:val="0"/>
          <w:i w:val="0"/>
          <w:iCs w:val="0"/>
          <w:sz w:val="22"/>
          <w:szCs w:val="22"/>
        </w:rPr>
        <w:t>.001</w:t>
      </w:r>
      <w:r>
        <w:rPr>
          <w:b w:val="0"/>
          <w:bCs w:val="0"/>
          <w:i w:val="0"/>
          <w:iCs w:val="0"/>
          <w:sz w:val="22"/>
          <w:szCs w:val="22"/>
        </w:rPr>
        <w:t>), and physical neglect (</w:t>
      </w:r>
      <w:r w:rsidRPr="008D1FCE">
        <w:rPr>
          <w:b w:val="0"/>
          <w:bCs w:val="0"/>
          <w:i w:val="0"/>
          <w:iCs w:val="0"/>
          <w:sz w:val="22"/>
          <w:szCs w:val="22"/>
        </w:rPr>
        <w:t xml:space="preserve">β = </w:t>
      </w:r>
      <w:r>
        <w:rPr>
          <w:b w:val="0"/>
          <w:bCs w:val="0"/>
          <w:i w:val="0"/>
          <w:iCs w:val="0"/>
          <w:sz w:val="22"/>
          <w:szCs w:val="22"/>
        </w:rPr>
        <w:t>4.89</w:t>
      </w:r>
      <w:r w:rsidRPr="008D1FCE">
        <w:rPr>
          <w:b w:val="0"/>
          <w:bCs w:val="0"/>
          <w:i w:val="0"/>
          <w:iCs w:val="0"/>
          <w:sz w:val="22"/>
          <w:szCs w:val="22"/>
        </w:rPr>
        <w:t xml:space="preserve">, p &lt; </w:t>
      </w:r>
      <w:r>
        <w:rPr>
          <w:b w:val="0"/>
          <w:bCs w:val="0"/>
          <w:i w:val="0"/>
          <w:iCs w:val="0"/>
          <w:sz w:val="22"/>
          <w:szCs w:val="22"/>
        </w:rPr>
        <w:t>0</w:t>
      </w:r>
      <w:r w:rsidRPr="008D1FCE">
        <w:rPr>
          <w:b w:val="0"/>
          <w:bCs w:val="0"/>
          <w:i w:val="0"/>
          <w:iCs w:val="0"/>
          <w:sz w:val="22"/>
          <w:szCs w:val="22"/>
        </w:rPr>
        <w:t>.001</w:t>
      </w:r>
      <w:r>
        <w:rPr>
          <w:b w:val="0"/>
          <w:bCs w:val="0"/>
          <w:i w:val="0"/>
          <w:iCs w:val="0"/>
          <w:sz w:val="22"/>
          <w:szCs w:val="22"/>
        </w:rPr>
        <w:t>). THC units also significantly predicted paranoia (</w:t>
      </w:r>
      <w:r w:rsidRPr="008D1FCE">
        <w:rPr>
          <w:b w:val="0"/>
          <w:bCs w:val="0"/>
          <w:i w:val="0"/>
          <w:iCs w:val="0"/>
          <w:sz w:val="22"/>
          <w:szCs w:val="22"/>
        </w:rPr>
        <w:t xml:space="preserve">β = </w:t>
      </w:r>
      <w:r>
        <w:rPr>
          <w:b w:val="0"/>
          <w:bCs w:val="0"/>
          <w:i w:val="0"/>
          <w:iCs w:val="0"/>
          <w:sz w:val="22"/>
          <w:szCs w:val="22"/>
        </w:rPr>
        <w:t>0.0085</w:t>
      </w:r>
      <w:r w:rsidRPr="008D1FCE">
        <w:rPr>
          <w:b w:val="0"/>
          <w:bCs w:val="0"/>
          <w:i w:val="0"/>
          <w:iCs w:val="0"/>
          <w:sz w:val="22"/>
          <w:szCs w:val="22"/>
        </w:rPr>
        <w:t xml:space="preserve">, p &lt; </w:t>
      </w:r>
      <w:r>
        <w:rPr>
          <w:b w:val="0"/>
          <w:bCs w:val="0"/>
          <w:i w:val="0"/>
          <w:iCs w:val="0"/>
          <w:sz w:val="22"/>
          <w:szCs w:val="22"/>
        </w:rPr>
        <w:t>0</w:t>
      </w:r>
      <w:r w:rsidRPr="008D1FCE">
        <w:rPr>
          <w:b w:val="0"/>
          <w:bCs w:val="0"/>
          <w:i w:val="0"/>
          <w:iCs w:val="0"/>
          <w:sz w:val="22"/>
          <w:szCs w:val="22"/>
        </w:rPr>
        <w:t>.001</w:t>
      </w:r>
      <w:r>
        <w:rPr>
          <w:b w:val="0"/>
          <w:bCs w:val="0"/>
          <w:i w:val="0"/>
          <w:iCs w:val="0"/>
          <w:sz w:val="22"/>
          <w:szCs w:val="22"/>
        </w:rPr>
        <w:t>), with a stronger effect size than observed in males. Notably, a significant trauma x THC units interaction was identified: a negative interaction between THC units and physical abuse (</w:t>
      </w:r>
      <w:r w:rsidRPr="008D1FCE">
        <w:rPr>
          <w:b w:val="0"/>
          <w:bCs w:val="0"/>
          <w:i w:val="0"/>
          <w:iCs w:val="0"/>
          <w:sz w:val="22"/>
          <w:szCs w:val="22"/>
        </w:rPr>
        <w:t xml:space="preserve">β = </w:t>
      </w:r>
      <w:r>
        <w:rPr>
          <w:b w:val="0"/>
          <w:bCs w:val="0"/>
          <w:i w:val="0"/>
          <w:iCs w:val="0"/>
          <w:sz w:val="22"/>
          <w:szCs w:val="22"/>
        </w:rPr>
        <w:t>-0.0354</w:t>
      </w:r>
      <w:r w:rsidRPr="008D1FCE">
        <w:rPr>
          <w:b w:val="0"/>
          <w:bCs w:val="0"/>
          <w:i w:val="0"/>
          <w:iCs w:val="0"/>
          <w:sz w:val="22"/>
          <w:szCs w:val="22"/>
        </w:rPr>
        <w:t>, p &lt;</w:t>
      </w:r>
      <w:r>
        <w:rPr>
          <w:b w:val="0"/>
          <w:bCs w:val="0"/>
          <w:i w:val="0"/>
          <w:iCs w:val="0"/>
          <w:sz w:val="22"/>
          <w:szCs w:val="22"/>
        </w:rPr>
        <w:t>0</w:t>
      </w:r>
      <w:r w:rsidRPr="008D1FCE">
        <w:rPr>
          <w:b w:val="0"/>
          <w:bCs w:val="0"/>
          <w:i w:val="0"/>
          <w:iCs w:val="0"/>
          <w:sz w:val="22"/>
          <w:szCs w:val="22"/>
        </w:rPr>
        <w:t xml:space="preserve"> .001</w:t>
      </w:r>
      <w:r>
        <w:rPr>
          <w:b w:val="0"/>
          <w:bCs w:val="0"/>
          <w:i w:val="0"/>
          <w:iCs w:val="0"/>
          <w:sz w:val="22"/>
          <w:szCs w:val="22"/>
        </w:rPr>
        <w:t>), suggesting a potential dampening effect.</w:t>
      </w:r>
    </w:p>
    <w:p w14:paraId="2A3FACD9" w14:textId="73A7388A" w:rsidR="00054748" w:rsidRDefault="00826F0F" w:rsidP="00E42506">
      <w:pPr>
        <w:pStyle w:val="HeadingTOC"/>
        <w:spacing w:line="480" w:lineRule="auto"/>
        <w:rPr>
          <w:b w:val="0"/>
          <w:bCs w:val="0"/>
          <w:i w:val="0"/>
          <w:iCs w:val="0"/>
          <w:sz w:val="22"/>
          <w:szCs w:val="22"/>
        </w:rPr>
      </w:pPr>
      <w:r>
        <w:rPr>
          <w:i w:val="0"/>
          <w:iCs w:val="0"/>
          <w:sz w:val="22"/>
          <w:szCs w:val="22"/>
        </w:rPr>
        <w:t>Figures S</w:t>
      </w:r>
      <w:r w:rsidR="00A2647F">
        <w:rPr>
          <w:i w:val="0"/>
          <w:iCs w:val="0"/>
          <w:sz w:val="22"/>
          <w:szCs w:val="22"/>
        </w:rPr>
        <w:t>6</w:t>
      </w:r>
      <w:r>
        <w:rPr>
          <w:i w:val="0"/>
          <w:iCs w:val="0"/>
          <w:sz w:val="22"/>
          <w:szCs w:val="22"/>
        </w:rPr>
        <w:t>A and S</w:t>
      </w:r>
      <w:r w:rsidR="00A2647F">
        <w:rPr>
          <w:i w:val="0"/>
          <w:iCs w:val="0"/>
          <w:sz w:val="22"/>
          <w:szCs w:val="22"/>
        </w:rPr>
        <w:t>6</w:t>
      </w:r>
      <w:r>
        <w:rPr>
          <w:i w:val="0"/>
          <w:iCs w:val="0"/>
          <w:sz w:val="22"/>
          <w:szCs w:val="22"/>
        </w:rPr>
        <w:t>B</w:t>
      </w:r>
      <w:r>
        <w:rPr>
          <w:b w:val="0"/>
          <w:bCs w:val="0"/>
          <w:i w:val="0"/>
          <w:iCs w:val="0"/>
          <w:sz w:val="22"/>
          <w:szCs w:val="22"/>
        </w:rPr>
        <w:t xml:space="preserve"> display the SEM estimated separately for males and females, examining the relationships between childhood trauma, THC units, and paranoia. Among males (</w:t>
      </w:r>
      <w:r>
        <w:rPr>
          <w:i w:val="0"/>
          <w:iCs w:val="0"/>
          <w:sz w:val="22"/>
          <w:szCs w:val="22"/>
        </w:rPr>
        <w:t>Figure S</w:t>
      </w:r>
      <w:r w:rsidR="00A2647F">
        <w:rPr>
          <w:i w:val="0"/>
          <w:iCs w:val="0"/>
          <w:sz w:val="22"/>
          <w:szCs w:val="22"/>
        </w:rPr>
        <w:t>6</w:t>
      </w:r>
      <w:r>
        <w:rPr>
          <w:i w:val="0"/>
          <w:iCs w:val="0"/>
          <w:sz w:val="22"/>
          <w:szCs w:val="22"/>
        </w:rPr>
        <w:t>A</w:t>
      </w:r>
      <w:r>
        <w:rPr>
          <w:b w:val="0"/>
          <w:bCs w:val="0"/>
          <w:i w:val="0"/>
          <w:iCs w:val="0"/>
          <w:sz w:val="22"/>
          <w:szCs w:val="22"/>
        </w:rPr>
        <w:t>), trauma showed a strong direct association with paranoia and a smaller, but meaningfull, association with cannabis use</w:t>
      </w:r>
      <w:r w:rsidR="00A40C11">
        <w:rPr>
          <w:b w:val="0"/>
          <w:bCs w:val="0"/>
          <w:i w:val="0"/>
          <w:iCs w:val="0"/>
          <w:sz w:val="22"/>
          <w:szCs w:val="22"/>
        </w:rPr>
        <w:t>. THC unit had a modest direct effect on paranoia, and the model explained substantial variance in both outcomes. In females (</w:t>
      </w:r>
      <w:r w:rsidR="00A40C11">
        <w:rPr>
          <w:i w:val="0"/>
          <w:iCs w:val="0"/>
          <w:sz w:val="22"/>
          <w:szCs w:val="22"/>
        </w:rPr>
        <w:t>Figure S</w:t>
      </w:r>
      <w:r w:rsidR="00A2647F">
        <w:rPr>
          <w:i w:val="0"/>
          <w:iCs w:val="0"/>
          <w:sz w:val="22"/>
          <w:szCs w:val="22"/>
        </w:rPr>
        <w:t>6</w:t>
      </w:r>
      <w:r w:rsidR="00A40C11">
        <w:rPr>
          <w:i w:val="0"/>
          <w:iCs w:val="0"/>
          <w:sz w:val="22"/>
          <w:szCs w:val="22"/>
        </w:rPr>
        <w:t>B</w:t>
      </w:r>
      <w:r w:rsidR="00A40C11">
        <w:rPr>
          <w:b w:val="0"/>
          <w:bCs w:val="0"/>
          <w:i w:val="0"/>
          <w:iCs w:val="0"/>
          <w:sz w:val="22"/>
          <w:szCs w:val="22"/>
        </w:rPr>
        <w:t>), similar pathways emerged, though the trauma-paranoia link was slightly stronger and the trauma-THC pathway slightly weaker. Notably, the direct effect of THC unit on paranoia was slightly higher than in males, suggestiong a potentially greater sensitivity to cannabis-related effects on paranoid thinking in females.</w:t>
      </w:r>
    </w:p>
    <w:p w14:paraId="668B7375" w14:textId="610D4804" w:rsidR="00F365EA" w:rsidRDefault="00054748" w:rsidP="00E42506">
      <w:pPr>
        <w:pStyle w:val="HeadingTOC"/>
        <w:spacing w:line="480" w:lineRule="auto"/>
        <w:rPr>
          <w:b w:val="0"/>
          <w:bCs w:val="0"/>
          <w:i w:val="0"/>
          <w:iCs w:val="0"/>
          <w:sz w:val="22"/>
          <w:szCs w:val="22"/>
        </w:rPr>
      </w:pPr>
      <w:r>
        <w:rPr>
          <w:b w:val="0"/>
          <w:bCs w:val="0"/>
          <w:i w:val="0"/>
          <w:iCs w:val="0"/>
          <w:sz w:val="22"/>
          <w:szCs w:val="22"/>
        </w:rPr>
        <w:t xml:space="preserve">Overall, </w:t>
      </w:r>
      <w:r w:rsidR="00F365EA">
        <w:rPr>
          <w:b w:val="0"/>
          <w:bCs w:val="0"/>
          <w:i w:val="0"/>
          <w:iCs w:val="0"/>
          <w:sz w:val="22"/>
          <w:szCs w:val="22"/>
        </w:rPr>
        <w:t xml:space="preserve">while trauma emerged as a robust predictor of paranoia across genders, the specific trauma subtypes and interaction patterns differed across genders. Males showed broader trauma sensitivity, whereas females demonstrated heightened reactivity to cannabis. </w:t>
      </w:r>
    </w:p>
    <w:p w14:paraId="3F089422" w14:textId="4590FECA" w:rsidR="00054748" w:rsidRPr="0024537F" w:rsidRDefault="00826F0F" w:rsidP="0024537F">
      <w:pPr>
        <w:pStyle w:val="HeadingTOC"/>
        <w:spacing w:line="480" w:lineRule="auto"/>
        <w:rPr>
          <w:i w:val="0"/>
          <w:iCs w:val="0"/>
          <w:sz w:val="22"/>
          <w:szCs w:val="22"/>
        </w:rPr>
      </w:pPr>
      <w:r w:rsidRPr="00826F0F">
        <w:lastRenderedPageBreak/>
        <w:t xml:space="preserve"> </w:t>
      </w:r>
      <w:r>
        <w:drawing>
          <wp:inline distT="0" distB="0" distL="0" distR="0" wp14:anchorId="301D32F7" wp14:editId="2EE19EF1">
            <wp:extent cx="5731510" cy="3926205"/>
            <wp:effectExtent l="0" t="0" r="0" b="0"/>
            <wp:docPr id="1295668781" name="Picture 4" descr="A diagram of a traum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68781" name="Picture 4" descr="A diagram of a trauma&#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31510" cy="3926205"/>
                    </a:xfrm>
                    <a:prstGeom prst="rect">
                      <a:avLst/>
                    </a:prstGeom>
                  </pic:spPr>
                </pic:pic>
              </a:graphicData>
            </a:graphic>
          </wp:inline>
        </w:drawing>
      </w:r>
    </w:p>
    <w:p w14:paraId="587B86F7" w14:textId="28C604C0" w:rsidR="00826F0F" w:rsidRPr="006F47EE" w:rsidRDefault="00826F0F" w:rsidP="00826F0F">
      <w:pPr>
        <w:pStyle w:val="FiguresandTablesTOC"/>
        <w:outlineLvl w:val="2"/>
        <w:rPr>
          <w:b w:val="0"/>
          <w:bCs w:val="0"/>
        </w:rPr>
      </w:pPr>
      <w:r w:rsidRPr="00826F0F">
        <w:t xml:space="preserve"> </w:t>
      </w:r>
      <w:bookmarkStart w:id="40" w:name="_Toc200722099"/>
      <w:r>
        <w:t>Figure S</w:t>
      </w:r>
      <w:r w:rsidR="00A2647F">
        <w:t>6</w:t>
      </w:r>
      <w:r>
        <w:t xml:space="preserve">A. </w:t>
      </w:r>
      <w:r w:rsidRPr="006F47EE">
        <w:rPr>
          <w:b w:val="0"/>
          <w:bCs w:val="0"/>
        </w:rPr>
        <w:t>Structural Equation Model</w:t>
      </w:r>
      <w:r>
        <w:rPr>
          <w:b w:val="0"/>
          <w:bCs w:val="0"/>
        </w:rPr>
        <w:t xml:space="preserve"> – Males.</w:t>
      </w:r>
      <w:bookmarkEnd w:id="40"/>
    </w:p>
    <w:p w14:paraId="15F58414" w14:textId="7671A934" w:rsidR="00826F0F" w:rsidRDefault="00826F0F" w:rsidP="00826F0F">
      <w:pPr>
        <w:jc w:val="center"/>
        <w:rPr>
          <w:rFonts w:ascii="Calibri" w:hAnsi="Calibri" w:cs="Calibri"/>
          <w:sz w:val="20"/>
          <w:szCs w:val="20"/>
        </w:rPr>
      </w:pPr>
      <w:r w:rsidRPr="00105869">
        <w:rPr>
          <w:rFonts w:ascii="Calibri" w:hAnsi="Calibri" w:cs="Calibri"/>
          <w:sz w:val="20"/>
          <w:szCs w:val="20"/>
        </w:rPr>
        <w:t xml:space="preserve">This structural equation model (SEM) illustrates the relationships between trauma (latent variable defined by seven indicators: Emotional Neglect [EN], Physical Neglect [PN], Emotional Abuse [EA], Physical Abuse [PA], Sexual Abuse [SA], Household Discord [HD], and Bullying [BULL]), cannabis use (measured as </w:t>
      </w:r>
      <w:r w:rsidR="00A40C11">
        <w:rPr>
          <w:rFonts w:ascii="Calibri" w:hAnsi="Calibri" w:cs="Calibri"/>
          <w:sz w:val="20"/>
          <w:szCs w:val="20"/>
        </w:rPr>
        <w:t>THC units</w:t>
      </w:r>
      <w:r w:rsidRPr="00105869">
        <w:rPr>
          <w:rFonts w:ascii="Calibri" w:hAnsi="Calibri" w:cs="Calibri"/>
          <w:sz w:val="20"/>
          <w:szCs w:val="20"/>
        </w:rPr>
        <w:t xml:space="preserve">), and Paranoia </w:t>
      </w:r>
      <w:r>
        <w:rPr>
          <w:rFonts w:ascii="Calibri" w:hAnsi="Calibri" w:cs="Calibri"/>
          <w:sz w:val="20"/>
          <w:szCs w:val="20"/>
        </w:rPr>
        <w:t>(</w:t>
      </w:r>
      <w:r w:rsidRPr="00105869">
        <w:rPr>
          <w:rFonts w:ascii="Calibri" w:hAnsi="Calibri" w:cs="Calibri"/>
          <w:sz w:val="20"/>
          <w:szCs w:val="20"/>
        </w:rPr>
        <w:t xml:space="preserve">GPTS). Standardized coefficients are displayed along the pathways, with dashed lines indicating non-significant paths. </w:t>
      </w:r>
    </w:p>
    <w:p w14:paraId="6615C4A2" w14:textId="21F57148" w:rsidR="00826F0F" w:rsidRDefault="00826F0F">
      <w:r>
        <w:rPr>
          <w:noProof/>
        </w:rPr>
        <w:lastRenderedPageBreak/>
        <w:drawing>
          <wp:inline distT="0" distB="0" distL="0" distR="0" wp14:anchorId="60078AA1" wp14:editId="2A42450F">
            <wp:extent cx="5731510" cy="3926205"/>
            <wp:effectExtent l="0" t="0" r="0" b="0"/>
            <wp:docPr id="848070554" name="Picture 3" descr="A diagram of a traum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70554" name="Picture 3" descr="A diagram of a trauma&#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31510" cy="3926205"/>
                    </a:xfrm>
                    <a:prstGeom prst="rect">
                      <a:avLst/>
                    </a:prstGeom>
                  </pic:spPr>
                </pic:pic>
              </a:graphicData>
            </a:graphic>
          </wp:inline>
        </w:drawing>
      </w:r>
    </w:p>
    <w:p w14:paraId="4BCA18BE" w14:textId="0BD112D8" w:rsidR="00826F0F" w:rsidRPr="006F47EE" w:rsidRDefault="00826F0F" w:rsidP="00826F0F">
      <w:pPr>
        <w:pStyle w:val="FiguresandTablesTOC"/>
        <w:outlineLvl w:val="2"/>
        <w:rPr>
          <w:b w:val="0"/>
          <w:bCs w:val="0"/>
        </w:rPr>
      </w:pPr>
      <w:bookmarkStart w:id="41" w:name="_Toc200722100"/>
      <w:r>
        <w:t>Figure S</w:t>
      </w:r>
      <w:r w:rsidR="00A2647F">
        <w:t>6</w:t>
      </w:r>
      <w:r>
        <w:t xml:space="preserve">B. </w:t>
      </w:r>
      <w:r w:rsidRPr="006F47EE">
        <w:rPr>
          <w:b w:val="0"/>
          <w:bCs w:val="0"/>
        </w:rPr>
        <w:t>Structural Equation Model</w:t>
      </w:r>
      <w:r>
        <w:rPr>
          <w:b w:val="0"/>
          <w:bCs w:val="0"/>
        </w:rPr>
        <w:t xml:space="preserve"> – Females.</w:t>
      </w:r>
      <w:bookmarkEnd w:id="41"/>
    </w:p>
    <w:p w14:paraId="23241F52" w14:textId="6DE48B26" w:rsidR="00826F0F" w:rsidRDefault="00826F0F" w:rsidP="00826F0F">
      <w:pPr>
        <w:jc w:val="center"/>
        <w:rPr>
          <w:rFonts w:ascii="Calibri" w:hAnsi="Calibri" w:cs="Calibri"/>
          <w:sz w:val="20"/>
          <w:szCs w:val="20"/>
        </w:rPr>
      </w:pPr>
      <w:r w:rsidRPr="00105869">
        <w:rPr>
          <w:rFonts w:ascii="Calibri" w:hAnsi="Calibri" w:cs="Calibri"/>
          <w:sz w:val="20"/>
          <w:szCs w:val="20"/>
        </w:rPr>
        <w:t xml:space="preserve">This structural equation model (SEM) illustrates the relationships between trauma (latent variable defined by seven indicators: Emotional Neglect [EN], Physical Neglect [PN], Emotional Abuse [EA], Physical Abuse [PA], Sexual Abuse [SA], Household Discord [HD], and Bullying [BULL]), cannabis use (measured as </w:t>
      </w:r>
      <w:r w:rsidR="00A40C11">
        <w:rPr>
          <w:rFonts w:ascii="Calibri" w:hAnsi="Calibri" w:cs="Calibri"/>
          <w:sz w:val="20"/>
          <w:szCs w:val="20"/>
        </w:rPr>
        <w:t>THC units</w:t>
      </w:r>
      <w:r w:rsidRPr="00105869">
        <w:rPr>
          <w:rFonts w:ascii="Calibri" w:hAnsi="Calibri" w:cs="Calibri"/>
          <w:sz w:val="20"/>
          <w:szCs w:val="20"/>
        </w:rPr>
        <w:t xml:space="preserve">), and Paranoia </w:t>
      </w:r>
      <w:r>
        <w:rPr>
          <w:rFonts w:ascii="Calibri" w:hAnsi="Calibri" w:cs="Calibri"/>
          <w:sz w:val="20"/>
          <w:szCs w:val="20"/>
        </w:rPr>
        <w:t>(</w:t>
      </w:r>
      <w:r w:rsidRPr="00105869">
        <w:rPr>
          <w:rFonts w:ascii="Calibri" w:hAnsi="Calibri" w:cs="Calibri"/>
          <w:sz w:val="20"/>
          <w:szCs w:val="20"/>
        </w:rPr>
        <w:t xml:space="preserve">GPTS). Standardized coefficients are displayed along the pathways, with dashed lines indicating non-significant paths. </w:t>
      </w:r>
    </w:p>
    <w:p w14:paraId="422A794C" w14:textId="2995777D" w:rsidR="00DE2B2A" w:rsidRDefault="00DE2B2A">
      <w:pPr>
        <w:rPr>
          <w:rFonts w:ascii="Calibri" w:hAnsi="Calibri" w:cs="Calibri"/>
          <w:b/>
          <w:bCs/>
          <w:i/>
          <w:iCs/>
          <w:noProof/>
        </w:rPr>
      </w:pPr>
      <w:r>
        <w:br w:type="page"/>
      </w:r>
    </w:p>
    <w:p w14:paraId="321885B6" w14:textId="77777777" w:rsidR="001A4022" w:rsidRDefault="009B47FB" w:rsidP="009B47FB">
      <w:pPr>
        <w:pStyle w:val="HeadingTOC"/>
        <w:spacing w:line="480" w:lineRule="auto"/>
        <w:outlineLvl w:val="0"/>
      </w:pPr>
      <w:bookmarkStart w:id="42" w:name="_Toc200722101"/>
      <w:r>
        <w:lastRenderedPageBreak/>
        <w:t xml:space="preserve">6. </w:t>
      </w:r>
      <w:r w:rsidR="003A4052">
        <w:t>Sensitivity</w:t>
      </w:r>
      <w:r>
        <w:t xml:space="preserve"> Analyses </w:t>
      </w:r>
      <w:r w:rsidR="003A4052">
        <w:t>Using Complete Cases</w:t>
      </w:r>
      <w:bookmarkEnd w:id="42"/>
    </w:p>
    <w:p w14:paraId="621EFA0A" w14:textId="4185EE23" w:rsidR="001A4022" w:rsidRPr="0024537F" w:rsidRDefault="001A4022" w:rsidP="0024537F">
      <w:pPr>
        <w:pStyle w:val="HeadingTOC"/>
        <w:spacing w:line="480" w:lineRule="auto"/>
        <w:rPr>
          <w:b w:val="0"/>
          <w:bCs w:val="0"/>
          <w:i w:val="0"/>
          <w:iCs w:val="0"/>
          <w:sz w:val="22"/>
          <w:szCs w:val="22"/>
        </w:rPr>
      </w:pPr>
      <w:r>
        <w:rPr>
          <w:b w:val="0"/>
          <w:bCs w:val="0"/>
          <w:i w:val="0"/>
          <w:iCs w:val="0"/>
          <w:sz w:val="22"/>
          <w:szCs w:val="22"/>
        </w:rPr>
        <w:t xml:space="preserve">To </w:t>
      </w:r>
      <w:r w:rsidR="00946B6E">
        <w:rPr>
          <w:b w:val="0"/>
          <w:bCs w:val="0"/>
          <w:i w:val="0"/>
          <w:iCs w:val="0"/>
          <w:sz w:val="22"/>
          <w:szCs w:val="22"/>
        </w:rPr>
        <w:t>verify the robustness of the main</w:t>
      </w:r>
      <w:r>
        <w:rPr>
          <w:b w:val="0"/>
          <w:bCs w:val="0"/>
          <w:i w:val="0"/>
          <w:iCs w:val="0"/>
          <w:sz w:val="22"/>
          <w:szCs w:val="22"/>
        </w:rPr>
        <w:t xml:space="preserve"> findings from the imputed models, we </w:t>
      </w:r>
      <w:r w:rsidR="00946B6E">
        <w:rPr>
          <w:b w:val="0"/>
          <w:bCs w:val="0"/>
          <w:i w:val="0"/>
          <w:iCs w:val="0"/>
          <w:sz w:val="22"/>
          <w:szCs w:val="22"/>
        </w:rPr>
        <w:t>repeated</w:t>
      </w:r>
      <w:r>
        <w:rPr>
          <w:b w:val="0"/>
          <w:bCs w:val="0"/>
          <w:i w:val="0"/>
          <w:iCs w:val="0"/>
          <w:sz w:val="22"/>
          <w:szCs w:val="22"/>
        </w:rPr>
        <w:t xml:space="preserve"> </w:t>
      </w:r>
      <w:r w:rsidR="00676094">
        <w:rPr>
          <w:b w:val="0"/>
          <w:bCs w:val="0"/>
          <w:i w:val="0"/>
          <w:iCs w:val="0"/>
          <w:sz w:val="22"/>
          <w:szCs w:val="22"/>
        </w:rPr>
        <w:t>the</w:t>
      </w:r>
      <w:r>
        <w:rPr>
          <w:b w:val="0"/>
          <w:bCs w:val="0"/>
          <w:i w:val="0"/>
          <w:iCs w:val="0"/>
          <w:sz w:val="22"/>
          <w:szCs w:val="22"/>
        </w:rPr>
        <w:t xml:space="preserve"> SEM analysis on complete cases (N = </w:t>
      </w:r>
      <w:r w:rsidR="00946B6E">
        <w:rPr>
          <w:b w:val="0"/>
          <w:bCs w:val="0"/>
          <w:i w:val="0"/>
          <w:iCs w:val="0"/>
          <w:sz w:val="22"/>
          <w:szCs w:val="22"/>
        </w:rPr>
        <w:t>3,879</w:t>
      </w:r>
      <w:r>
        <w:rPr>
          <w:b w:val="0"/>
          <w:bCs w:val="0"/>
          <w:i w:val="0"/>
          <w:iCs w:val="0"/>
          <w:sz w:val="22"/>
          <w:szCs w:val="22"/>
        </w:rPr>
        <w:t>)</w:t>
      </w:r>
      <w:r w:rsidR="00A2647F">
        <w:rPr>
          <w:b w:val="0"/>
          <w:bCs w:val="0"/>
          <w:i w:val="0"/>
          <w:iCs w:val="0"/>
          <w:sz w:val="22"/>
          <w:szCs w:val="22"/>
        </w:rPr>
        <w:t xml:space="preserve"> (</w:t>
      </w:r>
      <w:r w:rsidR="00A2647F">
        <w:rPr>
          <w:i w:val="0"/>
          <w:iCs w:val="0"/>
          <w:sz w:val="22"/>
          <w:szCs w:val="22"/>
        </w:rPr>
        <w:t>Figure S7</w:t>
      </w:r>
      <w:r w:rsidR="00A2647F">
        <w:rPr>
          <w:b w:val="0"/>
          <w:bCs w:val="0"/>
          <w:i w:val="0"/>
          <w:iCs w:val="0"/>
          <w:sz w:val="22"/>
          <w:szCs w:val="22"/>
        </w:rPr>
        <w:t>)</w:t>
      </w:r>
      <w:r>
        <w:rPr>
          <w:b w:val="0"/>
          <w:bCs w:val="0"/>
          <w:i w:val="0"/>
          <w:iCs w:val="0"/>
          <w:sz w:val="22"/>
          <w:szCs w:val="22"/>
        </w:rPr>
        <w:t xml:space="preserve">. The model fit was acceptable </w:t>
      </w:r>
      <w:r w:rsidR="00946B6E" w:rsidRPr="00946B6E">
        <w:rPr>
          <w:b w:val="0"/>
          <w:bCs w:val="0"/>
          <w:i w:val="0"/>
          <w:iCs w:val="0"/>
          <w:sz w:val="22"/>
          <w:szCs w:val="22"/>
        </w:rPr>
        <w:t>(CFI = 0.990, TLI = 0.986, RMSEA = 0.078, SRMR = 0.101).</w:t>
      </w:r>
      <w:r w:rsidR="00946B6E">
        <w:rPr>
          <w:b w:val="0"/>
          <w:bCs w:val="0"/>
          <w:i w:val="0"/>
          <w:iCs w:val="0"/>
          <w:sz w:val="22"/>
          <w:szCs w:val="22"/>
        </w:rPr>
        <w:t xml:space="preserve"> In this model, trauma significantly predicted both increased cannabis use (</w:t>
      </w:r>
      <w:r w:rsidR="00946B6E" w:rsidRPr="00946B6E">
        <w:rPr>
          <w:b w:val="0"/>
          <w:bCs w:val="0"/>
          <w:i w:val="0"/>
          <w:iCs w:val="0"/>
          <w:sz w:val="22"/>
          <w:szCs w:val="22"/>
        </w:rPr>
        <w:t xml:space="preserve">β = 0.254, p &lt; </w:t>
      </w:r>
      <w:r w:rsidR="00946B6E">
        <w:rPr>
          <w:b w:val="0"/>
          <w:bCs w:val="0"/>
          <w:i w:val="0"/>
          <w:iCs w:val="0"/>
          <w:sz w:val="22"/>
          <w:szCs w:val="22"/>
        </w:rPr>
        <w:t>0</w:t>
      </w:r>
      <w:r w:rsidR="00946B6E" w:rsidRPr="00946B6E">
        <w:rPr>
          <w:b w:val="0"/>
          <w:bCs w:val="0"/>
          <w:i w:val="0"/>
          <w:iCs w:val="0"/>
          <w:sz w:val="22"/>
          <w:szCs w:val="22"/>
        </w:rPr>
        <w:t>.001</w:t>
      </w:r>
      <w:r w:rsidR="00946B6E">
        <w:rPr>
          <w:b w:val="0"/>
          <w:bCs w:val="0"/>
          <w:i w:val="0"/>
          <w:iCs w:val="0"/>
          <w:sz w:val="22"/>
          <w:szCs w:val="22"/>
        </w:rPr>
        <w:t>) and elevated paranoia scores (</w:t>
      </w:r>
      <w:r w:rsidR="00946B6E" w:rsidRPr="00946B6E">
        <w:rPr>
          <w:b w:val="0"/>
          <w:bCs w:val="0"/>
          <w:i w:val="0"/>
          <w:iCs w:val="0"/>
          <w:sz w:val="22"/>
          <w:szCs w:val="22"/>
        </w:rPr>
        <w:t xml:space="preserve">β = 0.397, p &lt; </w:t>
      </w:r>
      <w:r w:rsidR="00946B6E">
        <w:rPr>
          <w:b w:val="0"/>
          <w:bCs w:val="0"/>
          <w:i w:val="0"/>
          <w:iCs w:val="0"/>
          <w:sz w:val="22"/>
          <w:szCs w:val="22"/>
        </w:rPr>
        <w:t>0</w:t>
      </w:r>
      <w:r w:rsidR="00946B6E" w:rsidRPr="00946B6E">
        <w:rPr>
          <w:b w:val="0"/>
          <w:bCs w:val="0"/>
          <w:i w:val="0"/>
          <w:iCs w:val="0"/>
          <w:sz w:val="22"/>
          <w:szCs w:val="22"/>
        </w:rPr>
        <w:t>.001</w:t>
      </w:r>
      <w:r w:rsidR="00946B6E">
        <w:rPr>
          <w:b w:val="0"/>
          <w:bCs w:val="0"/>
          <w:i w:val="0"/>
          <w:iCs w:val="0"/>
          <w:sz w:val="22"/>
          <w:szCs w:val="22"/>
        </w:rPr>
        <w:t xml:space="preserve">). Cannabis use was negatively associated with paranoia </w:t>
      </w:r>
      <w:r w:rsidR="00946B6E" w:rsidRPr="00946B6E">
        <w:rPr>
          <w:b w:val="0"/>
          <w:bCs w:val="0"/>
          <w:i w:val="0"/>
          <w:iCs w:val="0"/>
          <w:sz w:val="22"/>
          <w:szCs w:val="22"/>
        </w:rPr>
        <w:t xml:space="preserve">(β = -0.040, p &lt; </w:t>
      </w:r>
      <w:r w:rsidR="00946B6E">
        <w:rPr>
          <w:b w:val="0"/>
          <w:bCs w:val="0"/>
          <w:i w:val="0"/>
          <w:iCs w:val="0"/>
          <w:sz w:val="22"/>
          <w:szCs w:val="22"/>
        </w:rPr>
        <w:t>0</w:t>
      </w:r>
      <w:r w:rsidR="00946B6E" w:rsidRPr="00946B6E">
        <w:rPr>
          <w:b w:val="0"/>
          <w:bCs w:val="0"/>
          <w:i w:val="0"/>
          <w:iCs w:val="0"/>
          <w:sz w:val="22"/>
          <w:szCs w:val="22"/>
        </w:rPr>
        <w:t>.001)</w:t>
      </w:r>
      <w:r w:rsidR="0026549B">
        <w:rPr>
          <w:b w:val="0"/>
          <w:bCs w:val="0"/>
          <w:i w:val="0"/>
          <w:iCs w:val="0"/>
          <w:sz w:val="22"/>
          <w:szCs w:val="22"/>
        </w:rPr>
        <w:t>. However, the indirect effect of trauma on paranoia via cannabis use, although previously significant in the imputed model, was small and non-significant in the complete-case bootstrap model (</w:t>
      </w:r>
      <w:r w:rsidR="0026549B" w:rsidRPr="0026549B">
        <w:rPr>
          <w:b w:val="0"/>
          <w:bCs w:val="0"/>
          <w:i w:val="0"/>
          <w:iCs w:val="0"/>
          <w:sz w:val="22"/>
          <w:szCs w:val="22"/>
        </w:rPr>
        <w:t>β = 0.002,</w:t>
      </w:r>
      <w:r w:rsidR="0026549B">
        <w:rPr>
          <w:b w:val="0"/>
          <w:bCs w:val="0"/>
          <w:i w:val="0"/>
          <w:iCs w:val="0"/>
          <w:sz w:val="22"/>
          <w:szCs w:val="22"/>
        </w:rPr>
        <w:t xml:space="preserve"> SE = </w:t>
      </w:r>
      <w:r w:rsidR="0026549B" w:rsidRPr="0026549B">
        <w:rPr>
          <w:b w:val="0"/>
          <w:bCs w:val="0"/>
          <w:i w:val="0"/>
          <w:iCs w:val="0"/>
          <w:sz w:val="22"/>
          <w:szCs w:val="22"/>
        </w:rPr>
        <w:t>0.440, p = 0.422</w:t>
      </w:r>
      <w:r w:rsidR="0026549B">
        <w:rPr>
          <w:b w:val="0"/>
          <w:bCs w:val="0"/>
          <w:i w:val="0"/>
          <w:iCs w:val="0"/>
          <w:sz w:val="22"/>
          <w:szCs w:val="22"/>
        </w:rPr>
        <w:t>). These findings suggest that the indirect pathway may not be robust and likely reflect a</w:t>
      </w:r>
      <w:r w:rsidR="00946B6E">
        <w:rPr>
          <w:b w:val="0"/>
          <w:bCs w:val="0"/>
          <w:i w:val="0"/>
          <w:iCs w:val="0"/>
          <w:sz w:val="22"/>
          <w:szCs w:val="22"/>
        </w:rPr>
        <w:t>lterations in the distribution of THC units and reduced statistical power due to the exclusion of missing values</w:t>
      </w:r>
      <w:r w:rsidR="001F43E3">
        <w:rPr>
          <w:b w:val="0"/>
          <w:bCs w:val="0"/>
          <w:i w:val="0"/>
          <w:iCs w:val="0"/>
          <w:sz w:val="22"/>
          <w:szCs w:val="22"/>
        </w:rPr>
        <w:t>, particularly past cannabis users, among whom THC unit information was more often missing than among current users</w:t>
      </w:r>
      <w:r w:rsidR="00946B6E">
        <w:rPr>
          <w:b w:val="0"/>
          <w:bCs w:val="0"/>
          <w:i w:val="0"/>
          <w:iCs w:val="0"/>
          <w:sz w:val="22"/>
          <w:szCs w:val="22"/>
        </w:rPr>
        <w:t>.</w:t>
      </w:r>
    </w:p>
    <w:p w14:paraId="6373ACD7" w14:textId="75C189EF" w:rsidR="009B47FB" w:rsidRDefault="00946B6E" w:rsidP="0024537F">
      <w:pPr>
        <w:pStyle w:val="HeadingTOC"/>
        <w:spacing w:line="480" w:lineRule="auto"/>
      </w:pPr>
      <w:r>
        <w:drawing>
          <wp:inline distT="0" distB="0" distL="0" distR="0" wp14:anchorId="1CD58339" wp14:editId="679CB9A1">
            <wp:extent cx="5731510" cy="3546282"/>
            <wp:effectExtent l="0" t="0" r="0" b="0"/>
            <wp:docPr id="1978733455" name="Picture 6" descr="A diagram of a traum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33455" name="Picture 6" descr="A diagram of a trauma&#10;&#10;Description automatically generated"/>
                    <pic:cNvPicPr/>
                  </pic:nvPicPr>
                  <pic:blipFill rotWithShape="1">
                    <a:blip r:embed="rId17">
                      <a:extLst>
                        <a:ext uri="{28A0092B-C50C-407E-A947-70E740481C1C}">
                          <a14:useLocalDpi xmlns:a14="http://schemas.microsoft.com/office/drawing/2010/main" val="0"/>
                        </a:ext>
                      </a:extLst>
                    </a:blip>
                    <a:srcRect b="10745"/>
                    <a:stretch/>
                  </pic:blipFill>
                  <pic:spPr bwMode="auto">
                    <a:xfrm>
                      <a:off x="0" y="0"/>
                      <a:ext cx="5731510" cy="3546282"/>
                    </a:xfrm>
                    <a:prstGeom prst="rect">
                      <a:avLst/>
                    </a:prstGeom>
                    <a:ln>
                      <a:noFill/>
                    </a:ln>
                    <a:extLst>
                      <a:ext uri="{53640926-AAD7-44D8-BBD7-CCE9431645EC}">
                        <a14:shadowObscured xmlns:a14="http://schemas.microsoft.com/office/drawing/2010/main"/>
                      </a:ext>
                    </a:extLst>
                  </pic:spPr>
                </pic:pic>
              </a:graphicData>
            </a:graphic>
          </wp:inline>
        </w:drawing>
      </w:r>
    </w:p>
    <w:p w14:paraId="5EB37509" w14:textId="7DE96ADA" w:rsidR="00B269C6" w:rsidRPr="006F47EE" w:rsidRDefault="00B269C6" w:rsidP="00B269C6">
      <w:pPr>
        <w:pStyle w:val="FiguresandTablesTOC"/>
        <w:outlineLvl w:val="2"/>
        <w:rPr>
          <w:b w:val="0"/>
          <w:bCs w:val="0"/>
        </w:rPr>
      </w:pPr>
      <w:bookmarkStart w:id="43" w:name="_Toc200722102"/>
      <w:r>
        <w:t>Figure S</w:t>
      </w:r>
      <w:r w:rsidR="00A2647F">
        <w:t>7</w:t>
      </w:r>
      <w:r>
        <w:t xml:space="preserve">. </w:t>
      </w:r>
      <w:r w:rsidRPr="006F47EE">
        <w:rPr>
          <w:b w:val="0"/>
          <w:bCs w:val="0"/>
        </w:rPr>
        <w:t>Structural Equation Model</w:t>
      </w:r>
      <w:r>
        <w:rPr>
          <w:b w:val="0"/>
          <w:bCs w:val="0"/>
        </w:rPr>
        <w:t xml:space="preserve"> – Complete Cases.</w:t>
      </w:r>
      <w:bookmarkEnd w:id="43"/>
    </w:p>
    <w:p w14:paraId="259DD2AE" w14:textId="77777777" w:rsidR="00B269C6" w:rsidRDefault="00B269C6" w:rsidP="00B269C6">
      <w:pPr>
        <w:jc w:val="center"/>
        <w:rPr>
          <w:rFonts w:ascii="Calibri" w:hAnsi="Calibri" w:cs="Calibri"/>
          <w:sz w:val="20"/>
          <w:szCs w:val="20"/>
        </w:rPr>
      </w:pPr>
      <w:r w:rsidRPr="00105869">
        <w:rPr>
          <w:rFonts w:ascii="Calibri" w:hAnsi="Calibri" w:cs="Calibri"/>
          <w:sz w:val="20"/>
          <w:szCs w:val="20"/>
        </w:rPr>
        <w:t xml:space="preserve">This structural equation model (SEM) illustrates the relationships between trauma (latent variable defined by seven indicators: Emotional Neglect [EN], Physical Neglect [PN], Emotional Abuse [EA], Physical Abuse [PA], Sexual Abuse [SA], Household Discord [HD], and Bullying [BULL]), cannabis use (measured as </w:t>
      </w:r>
      <w:r>
        <w:rPr>
          <w:rFonts w:ascii="Calibri" w:hAnsi="Calibri" w:cs="Calibri"/>
          <w:sz w:val="20"/>
          <w:szCs w:val="20"/>
        </w:rPr>
        <w:t>THC units</w:t>
      </w:r>
      <w:r w:rsidRPr="00105869">
        <w:rPr>
          <w:rFonts w:ascii="Calibri" w:hAnsi="Calibri" w:cs="Calibri"/>
          <w:sz w:val="20"/>
          <w:szCs w:val="20"/>
        </w:rPr>
        <w:t xml:space="preserve">), and Paranoia </w:t>
      </w:r>
      <w:r>
        <w:rPr>
          <w:rFonts w:ascii="Calibri" w:hAnsi="Calibri" w:cs="Calibri"/>
          <w:sz w:val="20"/>
          <w:szCs w:val="20"/>
        </w:rPr>
        <w:t>(</w:t>
      </w:r>
      <w:r w:rsidRPr="00105869">
        <w:rPr>
          <w:rFonts w:ascii="Calibri" w:hAnsi="Calibri" w:cs="Calibri"/>
          <w:sz w:val="20"/>
          <w:szCs w:val="20"/>
        </w:rPr>
        <w:t xml:space="preserve">GPTS). Standardized coefficients are displayed along the pathways, with dashed lines indicating non-significant paths. </w:t>
      </w:r>
    </w:p>
    <w:p w14:paraId="4BF5C79E" w14:textId="0AFF41F9" w:rsidR="009B47FB" w:rsidRDefault="009B47FB">
      <w:pPr>
        <w:rPr>
          <w:rFonts w:ascii="Calibri" w:hAnsi="Calibri" w:cs="Calibri"/>
          <w:b/>
          <w:bCs/>
          <w:i/>
          <w:iCs/>
          <w:noProof/>
        </w:rPr>
      </w:pPr>
    </w:p>
    <w:p w14:paraId="7792FCF4" w14:textId="77777777" w:rsidR="001F2198" w:rsidRDefault="001F2198">
      <w:pPr>
        <w:rPr>
          <w:rFonts w:ascii="Calibri" w:hAnsi="Calibri" w:cs="Calibri"/>
          <w:b/>
          <w:bCs/>
          <w:i/>
          <w:iCs/>
          <w:noProof/>
        </w:rPr>
      </w:pPr>
    </w:p>
    <w:p w14:paraId="70F16B12" w14:textId="7C3EB312" w:rsidR="001A56C2" w:rsidRPr="0088576C" w:rsidRDefault="00861E60" w:rsidP="00632CE0">
      <w:pPr>
        <w:pStyle w:val="HeadingTOC"/>
        <w:spacing w:line="480" w:lineRule="auto"/>
        <w:outlineLvl w:val="0"/>
      </w:pPr>
      <w:bookmarkStart w:id="44" w:name="_Toc200722103"/>
      <w:r>
        <w:lastRenderedPageBreak/>
        <w:t>7</w:t>
      </w:r>
      <w:r w:rsidR="001A56C2">
        <w:t xml:space="preserve">. </w:t>
      </w:r>
      <w:r w:rsidR="001A56C2" w:rsidRPr="0088576C">
        <w:t>Clinical Thresholds of Paranoia</w:t>
      </w:r>
      <w:bookmarkEnd w:id="44"/>
    </w:p>
    <w:p w14:paraId="00E68E05" w14:textId="3FACEEAA" w:rsidR="001A56C2" w:rsidRPr="00774E3D" w:rsidRDefault="00861E60" w:rsidP="00632CE0">
      <w:pPr>
        <w:pStyle w:val="SubheadingTOC"/>
        <w:spacing w:line="480" w:lineRule="auto"/>
        <w:outlineLvl w:val="1"/>
      </w:pPr>
      <w:bookmarkStart w:id="45" w:name="_Toc200722104"/>
      <w:r>
        <w:t>7</w:t>
      </w:r>
      <w:r w:rsidR="001A56C2">
        <w:t xml:space="preserve">.1. </w:t>
      </w:r>
      <w:r w:rsidR="001A56C2" w:rsidRPr="00774E3D">
        <w:t>Defining Paranoia Severity Categories</w:t>
      </w:r>
      <w:bookmarkEnd w:id="45"/>
    </w:p>
    <w:p w14:paraId="27E2FBCF" w14:textId="5DDE5C48" w:rsidR="001A56C2" w:rsidRPr="00286A8D" w:rsidRDefault="001A56C2" w:rsidP="00632CE0">
      <w:pPr>
        <w:pStyle w:val="FiguresandTablesTOC"/>
        <w:spacing w:line="480" w:lineRule="auto"/>
        <w:jc w:val="both"/>
        <w:rPr>
          <w:b w:val="0"/>
          <w:bCs w:val="0"/>
          <w:i w:val="0"/>
          <w:iCs w:val="0"/>
          <w:sz w:val="22"/>
          <w:szCs w:val="22"/>
        </w:rPr>
      </w:pPr>
      <w:r w:rsidRPr="00286A8D">
        <w:rPr>
          <w:b w:val="0"/>
          <w:bCs w:val="0"/>
          <w:i w:val="0"/>
          <w:iCs w:val="0"/>
          <w:sz w:val="22"/>
          <w:szCs w:val="22"/>
        </w:rPr>
        <w:t>To classify participants into distinct paranoia severity groups, we used the 15</w:t>
      </w:r>
      <w:r w:rsidRPr="00286A8D">
        <w:rPr>
          <w:b w:val="0"/>
          <w:bCs w:val="0"/>
          <w:i w:val="0"/>
          <w:iCs w:val="0"/>
          <w:sz w:val="22"/>
          <w:szCs w:val="22"/>
          <w:vertAlign w:val="superscript"/>
        </w:rPr>
        <w:t>th</w:t>
      </w:r>
      <w:r w:rsidRPr="00286A8D">
        <w:rPr>
          <w:b w:val="0"/>
          <w:bCs w:val="0"/>
          <w:i w:val="0"/>
          <w:iCs w:val="0"/>
          <w:sz w:val="22"/>
          <w:szCs w:val="22"/>
        </w:rPr>
        <w:t xml:space="preserve"> and 85</w:t>
      </w:r>
      <w:r w:rsidRPr="00286A8D">
        <w:rPr>
          <w:b w:val="0"/>
          <w:bCs w:val="0"/>
          <w:i w:val="0"/>
          <w:iCs w:val="0"/>
          <w:sz w:val="22"/>
          <w:szCs w:val="22"/>
          <w:vertAlign w:val="superscript"/>
        </w:rPr>
        <w:t>th</w:t>
      </w:r>
      <w:r w:rsidRPr="00286A8D">
        <w:rPr>
          <w:b w:val="0"/>
          <w:bCs w:val="0"/>
          <w:i w:val="0"/>
          <w:iCs w:val="0"/>
          <w:sz w:val="22"/>
          <w:szCs w:val="22"/>
        </w:rPr>
        <w:t xml:space="preserve"> percentiles of the Green Paranoid Thoughts Scale (GPTS) total score </w:t>
      </w:r>
      <w:r>
        <w:rPr>
          <w:b w:val="0"/>
          <w:bCs w:val="0"/>
          <w:i w:val="0"/>
          <w:iCs w:val="0"/>
          <w:sz w:val="22"/>
          <w:szCs w:val="22"/>
        </w:rPr>
        <w:t xml:space="preserve">from our sample distribution </w:t>
      </w:r>
      <w:r w:rsidRPr="00286A8D">
        <w:rPr>
          <w:b w:val="0"/>
          <w:bCs w:val="0"/>
          <w:i w:val="0"/>
          <w:iCs w:val="0"/>
          <w:sz w:val="22"/>
          <w:szCs w:val="22"/>
        </w:rPr>
        <w:t xml:space="preserve">as cut-off points. This approach allows for a meaningful differentiation between individuals with low, moderate, and high levels of paranoid thinking. As shown in </w:t>
      </w:r>
      <w:r w:rsidRPr="007F0E22">
        <w:rPr>
          <w:i w:val="0"/>
          <w:iCs w:val="0"/>
          <w:sz w:val="22"/>
          <w:szCs w:val="22"/>
        </w:rPr>
        <w:t xml:space="preserve">Figure </w:t>
      </w:r>
      <w:r w:rsidR="00A2647F" w:rsidRPr="007F0E22">
        <w:rPr>
          <w:i w:val="0"/>
          <w:iCs w:val="0"/>
          <w:sz w:val="22"/>
          <w:szCs w:val="22"/>
        </w:rPr>
        <w:t>S</w:t>
      </w:r>
      <w:r w:rsidR="00A2647F">
        <w:rPr>
          <w:i w:val="0"/>
          <w:iCs w:val="0"/>
          <w:sz w:val="22"/>
          <w:szCs w:val="22"/>
        </w:rPr>
        <w:t>8</w:t>
      </w:r>
      <w:r w:rsidRPr="00286A8D">
        <w:rPr>
          <w:b w:val="0"/>
          <w:bCs w:val="0"/>
          <w:i w:val="0"/>
          <w:iCs w:val="0"/>
          <w:sz w:val="22"/>
          <w:szCs w:val="22"/>
        </w:rPr>
        <w:t>, the 15</w:t>
      </w:r>
      <w:r w:rsidRPr="00286A8D">
        <w:rPr>
          <w:b w:val="0"/>
          <w:bCs w:val="0"/>
          <w:i w:val="0"/>
          <w:iCs w:val="0"/>
          <w:sz w:val="22"/>
          <w:szCs w:val="22"/>
          <w:vertAlign w:val="superscript"/>
        </w:rPr>
        <w:t xml:space="preserve"> th</w:t>
      </w:r>
      <w:r w:rsidRPr="00286A8D">
        <w:rPr>
          <w:b w:val="0"/>
          <w:bCs w:val="0"/>
          <w:i w:val="0"/>
          <w:iCs w:val="0"/>
          <w:sz w:val="22"/>
          <w:szCs w:val="22"/>
        </w:rPr>
        <w:t xml:space="preserve"> percentile (GPTS</w:t>
      </w:r>
      <w:r>
        <w:rPr>
          <w:b w:val="0"/>
          <w:bCs w:val="0"/>
          <w:i w:val="0"/>
          <w:iCs w:val="0"/>
          <w:sz w:val="22"/>
          <w:szCs w:val="22"/>
        </w:rPr>
        <w:t xml:space="preserve"> total score</w:t>
      </w:r>
      <w:r w:rsidRPr="00286A8D">
        <w:rPr>
          <w:b w:val="0"/>
          <w:bCs w:val="0"/>
          <w:i w:val="0"/>
          <w:iCs w:val="0"/>
          <w:sz w:val="22"/>
          <w:szCs w:val="22"/>
        </w:rPr>
        <w:t xml:space="preserve"> = </w:t>
      </w:r>
      <w:r>
        <w:rPr>
          <w:b w:val="0"/>
          <w:bCs w:val="0"/>
          <w:i w:val="0"/>
          <w:iCs w:val="0"/>
          <w:sz w:val="22"/>
          <w:szCs w:val="22"/>
        </w:rPr>
        <w:t>33</w:t>
      </w:r>
      <w:r w:rsidRPr="00286A8D">
        <w:rPr>
          <w:b w:val="0"/>
          <w:bCs w:val="0"/>
          <w:i w:val="0"/>
          <w:iCs w:val="0"/>
          <w:sz w:val="22"/>
          <w:szCs w:val="22"/>
        </w:rPr>
        <w:t>) was used to define the low paranoia group, while the 85</w:t>
      </w:r>
      <w:r w:rsidRPr="00286A8D">
        <w:rPr>
          <w:b w:val="0"/>
          <w:bCs w:val="0"/>
          <w:i w:val="0"/>
          <w:iCs w:val="0"/>
          <w:sz w:val="22"/>
          <w:szCs w:val="22"/>
          <w:vertAlign w:val="superscript"/>
        </w:rPr>
        <w:t>th</w:t>
      </w:r>
      <w:r w:rsidRPr="00286A8D">
        <w:rPr>
          <w:b w:val="0"/>
          <w:bCs w:val="0"/>
          <w:i w:val="0"/>
          <w:iCs w:val="0"/>
          <w:sz w:val="22"/>
          <w:szCs w:val="22"/>
        </w:rPr>
        <w:t xml:space="preserve"> percentile (GPTS</w:t>
      </w:r>
      <w:r>
        <w:rPr>
          <w:b w:val="0"/>
          <w:bCs w:val="0"/>
          <w:i w:val="0"/>
          <w:iCs w:val="0"/>
          <w:sz w:val="22"/>
          <w:szCs w:val="22"/>
        </w:rPr>
        <w:t xml:space="preserve"> total score</w:t>
      </w:r>
      <w:r w:rsidRPr="00286A8D">
        <w:rPr>
          <w:b w:val="0"/>
          <w:bCs w:val="0"/>
          <w:i w:val="0"/>
          <w:iCs w:val="0"/>
          <w:sz w:val="22"/>
          <w:szCs w:val="22"/>
        </w:rPr>
        <w:t xml:space="preserve"> =</w:t>
      </w:r>
      <w:r>
        <w:rPr>
          <w:b w:val="0"/>
          <w:bCs w:val="0"/>
          <w:i w:val="0"/>
          <w:iCs w:val="0"/>
          <w:sz w:val="22"/>
          <w:szCs w:val="22"/>
        </w:rPr>
        <w:t xml:space="preserve"> 71</w:t>
      </w:r>
      <w:r w:rsidRPr="00286A8D">
        <w:rPr>
          <w:b w:val="0"/>
          <w:bCs w:val="0"/>
          <w:i w:val="0"/>
          <w:iCs w:val="0"/>
          <w:sz w:val="22"/>
          <w:szCs w:val="22"/>
        </w:rPr>
        <w:t>) marked the threshold for the high paranoia group. Participants with scores falling between these two thresholds were classified as having moderate paranoia.</w:t>
      </w:r>
    </w:p>
    <w:p w14:paraId="3DFB18A1" w14:textId="77777777" w:rsidR="004D5B88" w:rsidRDefault="004D5B88" w:rsidP="00AF087B">
      <w:pPr>
        <w:pStyle w:val="FiguresandTablesTOC"/>
        <w:jc w:val="left"/>
        <w:sectPr w:rsidR="004D5B88" w:rsidSect="004D5B88">
          <w:pgSz w:w="11906" w:h="16838"/>
          <w:pgMar w:top="1440" w:right="1440" w:bottom="1440" w:left="1440" w:header="708" w:footer="708" w:gutter="0"/>
          <w:cols w:space="708"/>
          <w:docGrid w:linePitch="360"/>
        </w:sectPr>
      </w:pPr>
    </w:p>
    <w:p w14:paraId="1206BA56" w14:textId="24718B18" w:rsidR="00724D27" w:rsidRDefault="00724D27" w:rsidP="00B753DC">
      <w:pPr>
        <w:pStyle w:val="FiguresandTablesTOC"/>
      </w:pPr>
      <w:r>
        <w:lastRenderedPageBreak/>
        <w:drawing>
          <wp:inline distT="0" distB="0" distL="0" distR="0" wp14:anchorId="32F1EA24" wp14:editId="7BCE795F">
            <wp:extent cx="7493000" cy="2920730"/>
            <wp:effectExtent l="0" t="0" r="0" b="635"/>
            <wp:docPr id="1175276052" name="Picture 5" descr="A graph showing a thin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76052" name="Picture 5" descr="A graph showing a thin line&#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t="5359"/>
                    <a:stretch/>
                  </pic:blipFill>
                  <pic:spPr bwMode="auto">
                    <a:xfrm>
                      <a:off x="0" y="0"/>
                      <a:ext cx="7493000" cy="2920730"/>
                    </a:xfrm>
                    <a:prstGeom prst="rect">
                      <a:avLst/>
                    </a:prstGeom>
                    <a:ln>
                      <a:noFill/>
                    </a:ln>
                    <a:extLst>
                      <a:ext uri="{53640926-AAD7-44D8-BBD7-CCE9431645EC}">
                        <a14:shadowObscured xmlns:a14="http://schemas.microsoft.com/office/drawing/2010/main"/>
                      </a:ext>
                    </a:extLst>
                  </pic:spPr>
                </pic:pic>
              </a:graphicData>
            </a:graphic>
          </wp:inline>
        </w:drawing>
      </w:r>
    </w:p>
    <w:p w14:paraId="0C0DDB90" w14:textId="762CFEED" w:rsidR="00FB64D6" w:rsidRDefault="004D5B88" w:rsidP="0088576C">
      <w:pPr>
        <w:pStyle w:val="FiguresandTablesTOC"/>
        <w:outlineLvl w:val="2"/>
        <w:rPr>
          <w:b w:val="0"/>
          <w:bCs w:val="0"/>
        </w:rPr>
      </w:pPr>
      <w:bookmarkStart w:id="46" w:name="_Toc200722105"/>
      <w:r>
        <w:t xml:space="preserve">Figure </w:t>
      </w:r>
      <w:r w:rsidR="00A2647F">
        <w:t>S8</w:t>
      </w:r>
      <w:r>
        <w:t>.</w:t>
      </w:r>
      <w:r w:rsidR="00B753DC">
        <w:t xml:space="preserve"> </w:t>
      </w:r>
      <w:r w:rsidR="00B753DC">
        <w:rPr>
          <w:b w:val="0"/>
          <w:bCs w:val="0"/>
        </w:rPr>
        <w:t>Density plot of GPTS total scores with Clinical Thresholds.</w:t>
      </w:r>
      <w:bookmarkEnd w:id="46"/>
    </w:p>
    <w:p w14:paraId="48979D97" w14:textId="08DFBACE" w:rsidR="00B753DC" w:rsidRDefault="00B753DC" w:rsidP="00B753DC">
      <w:pPr>
        <w:pStyle w:val="FiguresandTablesTOC"/>
        <w:rPr>
          <w:b w:val="0"/>
          <w:bCs w:val="0"/>
          <w:i w:val="0"/>
          <w:iCs w:val="0"/>
        </w:rPr>
      </w:pPr>
      <w:r w:rsidRPr="00B753DC">
        <w:rPr>
          <w:b w:val="0"/>
          <w:bCs w:val="0"/>
          <w:i w:val="0"/>
          <w:iCs w:val="0"/>
        </w:rPr>
        <w:t>This figure displays the density distribution of paranoia severity (GPTS) scores across the sample. The 15</w:t>
      </w:r>
      <w:r w:rsidRPr="00B753DC">
        <w:rPr>
          <w:b w:val="0"/>
          <w:bCs w:val="0"/>
          <w:i w:val="0"/>
          <w:iCs w:val="0"/>
          <w:vertAlign w:val="superscript"/>
        </w:rPr>
        <w:t>th</w:t>
      </w:r>
      <w:r w:rsidRPr="00B753DC">
        <w:rPr>
          <w:b w:val="0"/>
          <w:bCs w:val="0"/>
          <w:i w:val="0"/>
          <w:iCs w:val="0"/>
        </w:rPr>
        <w:t xml:space="preserve"> percentile (GPTS</w:t>
      </w:r>
      <w:r>
        <w:rPr>
          <w:b w:val="0"/>
          <w:bCs w:val="0"/>
          <w:i w:val="0"/>
          <w:iCs w:val="0"/>
        </w:rPr>
        <w:t xml:space="preserve"> total score </w:t>
      </w:r>
      <w:r w:rsidRPr="00B753DC">
        <w:rPr>
          <w:b w:val="0"/>
          <w:bCs w:val="0"/>
          <w:i w:val="0"/>
          <w:iCs w:val="0"/>
        </w:rPr>
        <w:t xml:space="preserve"> &lt; 33) is marked in blue, representing individuals with low paranoia, while the 85</w:t>
      </w:r>
      <w:r w:rsidRPr="00B753DC">
        <w:rPr>
          <w:b w:val="0"/>
          <w:bCs w:val="0"/>
          <w:i w:val="0"/>
          <w:iCs w:val="0"/>
          <w:vertAlign w:val="superscript"/>
        </w:rPr>
        <w:t>th</w:t>
      </w:r>
      <w:r w:rsidRPr="00B753DC">
        <w:rPr>
          <w:b w:val="0"/>
          <w:bCs w:val="0"/>
          <w:i w:val="0"/>
          <w:iCs w:val="0"/>
        </w:rPr>
        <w:t xml:space="preserve"> percentile (GPTS</w:t>
      </w:r>
      <w:r>
        <w:rPr>
          <w:b w:val="0"/>
          <w:bCs w:val="0"/>
          <w:i w:val="0"/>
          <w:iCs w:val="0"/>
        </w:rPr>
        <w:t xml:space="preserve"> total score </w:t>
      </w:r>
      <w:r w:rsidRPr="00B753DC">
        <w:rPr>
          <w:b w:val="0"/>
          <w:bCs w:val="0"/>
          <w:i w:val="0"/>
          <w:iCs w:val="0"/>
        </w:rPr>
        <w:t xml:space="preserve"> &gt; 71) is marked in red, indicating high paranoia. </w:t>
      </w:r>
    </w:p>
    <w:p w14:paraId="746B2366" w14:textId="41C77CBA" w:rsidR="00AD2CE1" w:rsidRDefault="00AD2CE1" w:rsidP="00B753DC">
      <w:pPr>
        <w:pStyle w:val="FiguresandTablesTOC"/>
        <w:rPr>
          <w:b w:val="0"/>
          <w:bCs w:val="0"/>
          <w:i w:val="0"/>
          <w:iCs w:val="0"/>
        </w:rPr>
      </w:pPr>
      <w:r>
        <w:rPr>
          <w:b w:val="0"/>
          <w:bCs w:val="0"/>
          <w:i w:val="0"/>
          <w:iCs w:val="0"/>
        </w:rPr>
        <w:br w:type="page"/>
      </w:r>
    </w:p>
    <w:p w14:paraId="72BB53A3" w14:textId="77777777" w:rsidR="00AD2CE1" w:rsidRDefault="00AD2CE1" w:rsidP="00B753DC">
      <w:pPr>
        <w:pStyle w:val="FiguresandTablesTOC"/>
        <w:rPr>
          <w:b w:val="0"/>
          <w:bCs w:val="0"/>
          <w:i w:val="0"/>
          <w:iCs w:val="0"/>
        </w:rPr>
        <w:sectPr w:rsidR="00AD2CE1" w:rsidSect="004D5B88">
          <w:pgSz w:w="16838" w:h="11906" w:orient="landscape"/>
          <w:pgMar w:top="1440" w:right="1440" w:bottom="1440" w:left="1440" w:header="708" w:footer="708" w:gutter="0"/>
          <w:cols w:space="708"/>
          <w:docGrid w:linePitch="360"/>
        </w:sectPr>
      </w:pPr>
    </w:p>
    <w:p w14:paraId="178478EC" w14:textId="4C851407" w:rsidR="00AD2CE1" w:rsidRPr="00774E3D" w:rsidRDefault="00861E60" w:rsidP="00513A67">
      <w:pPr>
        <w:pStyle w:val="SubheadingTOC"/>
        <w:spacing w:line="480" w:lineRule="auto"/>
        <w:outlineLvl w:val="1"/>
      </w:pPr>
      <w:bookmarkStart w:id="47" w:name="_Toc200722106"/>
      <w:r>
        <w:lastRenderedPageBreak/>
        <w:t>7</w:t>
      </w:r>
      <w:r w:rsidR="00073383">
        <w:t xml:space="preserve">.2. </w:t>
      </w:r>
      <w:r w:rsidR="00AD2CE1" w:rsidRPr="00774E3D">
        <w:t>Paranoia Severity Across Trauma Exposure</w:t>
      </w:r>
      <w:bookmarkEnd w:id="47"/>
    </w:p>
    <w:p w14:paraId="7A3C6986" w14:textId="76A52DD9" w:rsidR="00CA7FB9" w:rsidRPr="00CA7FB9" w:rsidRDefault="00CA7FB9" w:rsidP="00513A67">
      <w:pPr>
        <w:pStyle w:val="FiguresandTablesTOC"/>
        <w:spacing w:line="480" w:lineRule="auto"/>
        <w:jc w:val="both"/>
        <w:rPr>
          <w:b w:val="0"/>
          <w:bCs w:val="0"/>
          <w:i w:val="0"/>
          <w:iCs w:val="0"/>
          <w:sz w:val="22"/>
          <w:szCs w:val="22"/>
        </w:rPr>
      </w:pPr>
      <w:r w:rsidRPr="00CA7FB9">
        <w:rPr>
          <w:i w:val="0"/>
          <w:iCs w:val="0"/>
          <w:sz w:val="22"/>
          <w:szCs w:val="22"/>
        </w:rPr>
        <w:t xml:space="preserve">Figure </w:t>
      </w:r>
      <w:r w:rsidR="00A2647F" w:rsidRPr="00CA7FB9">
        <w:rPr>
          <w:i w:val="0"/>
          <w:iCs w:val="0"/>
          <w:sz w:val="22"/>
          <w:szCs w:val="22"/>
        </w:rPr>
        <w:t>S</w:t>
      </w:r>
      <w:r w:rsidR="00A2647F">
        <w:rPr>
          <w:i w:val="0"/>
          <w:iCs w:val="0"/>
          <w:sz w:val="22"/>
          <w:szCs w:val="22"/>
        </w:rPr>
        <w:t>9</w:t>
      </w:r>
      <w:r w:rsidR="00A2647F" w:rsidRPr="00CA7FB9">
        <w:rPr>
          <w:i w:val="0"/>
          <w:iCs w:val="0"/>
          <w:sz w:val="22"/>
          <w:szCs w:val="22"/>
        </w:rPr>
        <w:t xml:space="preserve"> </w:t>
      </w:r>
      <w:r w:rsidRPr="00CA7FB9">
        <w:rPr>
          <w:b w:val="0"/>
          <w:bCs w:val="0"/>
          <w:i w:val="0"/>
          <w:iCs w:val="0"/>
          <w:sz w:val="22"/>
          <w:szCs w:val="22"/>
        </w:rPr>
        <w:t xml:space="preserve">highlights notable differences in paranoia severity across trauma exposure groups. Individuals who reported childhood trauma were more likely to experience high paranoia, whereas those without trauma exposure predominantly reported low or moderate levels of paranoia. </w:t>
      </w:r>
    </w:p>
    <w:p w14:paraId="53AAED93" w14:textId="144AA694" w:rsidR="00AD2CE1" w:rsidRDefault="00CA7FB9" w:rsidP="00513A67">
      <w:pPr>
        <w:pStyle w:val="FiguresandTablesTOC"/>
        <w:spacing w:line="480" w:lineRule="auto"/>
        <w:jc w:val="both"/>
        <w:rPr>
          <w:b w:val="0"/>
          <w:bCs w:val="0"/>
          <w:i w:val="0"/>
          <w:iCs w:val="0"/>
          <w:sz w:val="22"/>
          <w:szCs w:val="22"/>
        </w:rPr>
      </w:pPr>
      <w:r w:rsidRPr="00CA7FB9">
        <w:rPr>
          <w:b w:val="0"/>
          <w:bCs w:val="0"/>
          <w:i w:val="0"/>
          <w:iCs w:val="0"/>
          <w:sz w:val="22"/>
          <w:szCs w:val="22"/>
        </w:rPr>
        <w:t>These findings align with growing evidence that childhood trauma is strongly associated with heightened paranoia, with trauma-exposed individuals experiencing more severe paranoid thoughts. This stratification approach provides a clinically relevant framework for understanding how trauma influences paranoia severity and emphasi</w:t>
      </w:r>
      <w:r w:rsidR="007919D2">
        <w:rPr>
          <w:b w:val="0"/>
          <w:bCs w:val="0"/>
          <w:i w:val="0"/>
          <w:iCs w:val="0"/>
          <w:sz w:val="22"/>
          <w:szCs w:val="22"/>
        </w:rPr>
        <w:t>s</w:t>
      </w:r>
      <w:r w:rsidRPr="00CA7FB9">
        <w:rPr>
          <w:b w:val="0"/>
          <w:bCs w:val="0"/>
          <w:i w:val="0"/>
          <w:iCs w:val="0"/>
          <w:sz w:val="22"/>
          <w:szCs w:val="22"/>
        </w:rPr>
        <w:t>es the need for targeted interventions to mitigate paranoia in trauma-affected populations.</w:t>
      </w:r>
    </w:p>
    <w:p w14:paraId="79CCAA6C" w14:textId="77777777" w:rsidR="00CA7FB9" w:rsidRPr="00CA7FB9" w:rsidRDefault="00CA7FB9" w:rsidP="00CA7FB9">
      <w:pPr>
        <w:pStyle w:val="FiguresandTablesTOC"/>
        <w:jc w:val="both"/>
        <w:rPr>
          <w:b w:val="0"/>
          <w:bCs w:val="0"/>
          <w:i w:val="0"/>
          <w:iCs w:val="0"/>
          <w:sz w:val="22"/>
          <w:szCs w:val="22"/>
        </w:rPr>
      </w:pPr>
    </w:p>
    <w:p w14:paraId="248E215D" w14:textId="77777777" w:rsidR="00AD2CE1" w:rsidRDefault="00AD2CE1" w:rsidP="00AD2CE1">
      <w:pPr>
        <w:pStyle w:val="FiguresandTablesTOC"/>
      </w:pPr>
      <w:r>
        <w:drawing>
          <wp:inline distT="0" distB="0" distL="0" distR="0" wp14:anchorId="1250EE96" wp14:editId="45DDA77D">
            <wp:extent cx="5054600" cy="2872091"/>
            <wp:effectExtent l="0" t="0" r="0" b="0"/>
            <wp:docPr id="96887747" name="Picture 6" descr="A graph showing a number of patients with trauma expos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7747" name="Picture 6" descr="A graph showing a number of patients with trauma exposure&#10;&#10;Description automatically generated"/>
                    <pic:cNvPicPr/>
                  </pic:nvPicPr>
                  <pic:blipFill rotWithShape="1">
                    <a:blip r:embed="rId19">
                      <a:extLst>
                        <a:ext uri="{28A0092B-C50C-407E-A947-70E740481C1C}">
                          <a14:useLocalDpi xmlns:a14="http://schemas.microsoft.com/office/drawing/2010/main" val="0"/>
                        </a:ext>
                      </a:extLst>
                    </a:blip>
                    <a:srcRect t="6935"/>
                    <a:stretch/>
                  </pic:blipFill>
                  <pic:spPr bwMode="auto">
                    <a:xfrm>
                      <a:off x="0" y="0"/>
                      <a:ext cx="5054600" cy="2872091"/>
                    </a:xfrm>
                    <a:prstGeom prst="rect">
                      <a:avLst/>
                    </a:prstGeom>
                    <a:ln>
                      <a:noFill/>
                    </a:ln>
                    <a:extLst>
                      <a:ext uri="{53640926-AAD7-44D8-BBD7-CCE9431645EC}">
                        <a14:shadowObscured xmlns:a14="http://schemas.microsoft.com/office/drawing/2010/main"/>
                      </a:ext>
                    </a:extLst>
                  </pic:spPr>
                </pic:pic>
              </a:graphicData>
            </a:graphic>
          </wp:inline>
        </w:drawing>
      </w:r>
    </w:p>
    <w:p w14:paraId="7BA2B8E9" w14:textId="68B1F76D" w:rsidR="00AD2CE1" w:rsidRDefault="00AD2CE1" w:rsidP="00AD2CE1">
      <w:pPr>
        <w:pStyle w:val="FiguresandTablesTOC"/>
        <w:outlineLvl w:val="2"/>
        <w:rPr>
          <w:b w:val="0"/>
          <w:bCs w:val="0"/>
        </w:rPr>
      </w:pPr>
      <w:bookmarkStart w:id="48" w:name="_Toc200722107"/>
      <w:r>
        <w:t xml:space="preserve">Figure </w:t>
      </w:r>
      <w:r w:rsidR="00A2647F">
        <w:t>S9</w:t>
      </w:r>
      <w:r>
        <w:t xml:space="preserve">. </w:t>
      </w:r>
      <w:r>
        <w:rPr>
          <w:b w:val="0"/>
          <w:bCs w:val="0"/>
        </w:rPr>
        <w:t>Proportion of Paranoia Severity by Trauma Exposure.</w:t>
      </w:r>
      <w:bookmarkEnd w:id="48"/>
    </w:p>
    <w:p w14:paraId="581E7C29" w14:textId="53B6BB6B" w:rsidR="00AD2CE1" w:rsidRPr="00AD2CE1" w:rsidRDefault="00AD2CE1" w:rsidP="00AD2CE1">
      <w:pPr>
        <w:pStyle w:val="FiguresandTablesTOC"/>
        <w:rPr>
          <w:b w:val="0"/>
          <w:bCs w:val="0"/>
          <w:i w:val="0"/>
          <w:iCs w:val="0"/>
        </w:rPr>
      </w:pPr>
      <w:r w:rsidRPr="00286A8D">
        <w:rPr>
          <w:b w:val="0"/>
          <w:bCs w:val="0"/>
          <w:i w:val="0"/>
          <w:iCs w:val="0"/>
        </w:rPr>
        <w:t xml:space="preserve">This figure </w:t>
      </w:r>
      <w:r w:rsidR="00D86832">
        <w:rPr>
          <w:b w:val="0"/>
          <w:bCs w:val="0"/>
          <w:i w:val="0"/>
          <w:iCs w:val="0"/>
        </w:rPr>
        <w:t>illustrates</w:t>
      </w:r>
      <w:r w:rsidRPr="00286A8D">
        <w:rPr>
          <w:b w:val="0"/>
          <w:bCs w:val="0"/>
          <w:i w:val="0"/>
          <w:iCs w:val="0"/>
        </w:rPr>
        <w:t xml:space="preserve"> the distribution of paranoia severity (GPTS) among individuals with and without childhood trauma</w:t>
      </w:r>
      <w:r w:rsidR="00D86832">
        <w:rPr>
          <w:b w:val="0"/>
          <w:bCs w:val="0"/>
          <w:i w:val="0"/>
          <w:iCs w:val="0"/>
        </w:rPr>
        <w:t xml:space="preserve"> exposure</w:t>
      </w:r>
      <w:r w:rsidRPr="00286A8D">
        <w:rPr>
          <w:b w:val="0"/>
          <w:bCs w:val="0"/>
          <w:i w:val="0"/>
          <w:iCs w:val="0"/>
        </w:rPr>
        <w:t xml:space="preserve">. Paranoia </w:t>
      </w:r>
      <w:r w:rsidR="00D86832">
        <w:rPr>
          <w:b w:val="0"/>
          <w:bCs w:val="0"/>
          <w:i w:val="0"/>
          <w:iCs w:val="0"/>
        </w:rPr>
        <w:t>severity is</w:t>
      </w:r>
      <w:r w:rsidRPr="00286A8D">
        <w:rPr>
          <w:b w:val="0"/>
          <w:bCs w:val="0"/>
          <w:i w:val="0"/>
          <w:iCs w:val="0"/>
        </w:rPr>
        <w:t xml:space="preserve"> categori</w:t>
      </w:r>
      <w:r w:rsidR="00D86832">
        <w:rPr>
          <w:b w:val="0"/>
          <w:bCs w:val="0"/>
          <w:i w:val="0"/>
          <w:iCs w:val="0"/>
        </w:rPr>
        <w:t>s</w:t>
      </w:r>
      <w:r w:rsidRPr="00286A8D">
        <w:rPr>
          <w:b w:val="0"/>
          <w:bCs w:val="0"/>
          <w:i w:val="0"/>
          <w:iCs w:val="0"/>
        </w:rPr>
        <w:t>ed as </w:t>
      </w:r>
      <w:r w:rsidR="00D86832">
        <w:rPr>
          <w:b w:val="0"/>
          <w:bCs w:val="0"/>
          <w:i w:val="0"/>
          <w:iCs w:val="0"/>
        </w:rPr>
        <w:t xml:space="preserve">follows: </w:t>
      </w:r>
      <w:r w:rsidRPr="00286A8D">
        <w:rPr>
          <w:b w:val="0"/>
          <w:bCs w:val="0"/>
          <w:i w:val="0"/>
          <w:iCs w:val="0"/>
        </w:rPr>
        <w:t>low (GPTS</w:t>
      </w:r>
      <w:r w:rsidR="009A6D2F">
        <w:rPr>
          <w:b w:val="0"/>
          <w:bCs w:val="0"/>
          <w:i w:val="0"/>
          <w:iCs w:val="0"/>
        </w:rPr>
        <w:t xml:space="preserve"> </w:t>
      </w:r>
      <w:r w:rsidRPr="00286A8D">
        <w:rPr>
          <w:b w:val="0"/>
          <w:bCs w:val="0"/>
          <w:i w:val="0"/>
          <w:iCs w:val="0"/>
        </w:rPr>
        <w:t>&lt; 33), moderate (GPTS</w:t>
      </w:r>
      <w:r w:rsidR="009A6D2F">
        <w:rPr>
          <w:b w:val="0"/>
          <w:bCs w:val="0"/>
          <w:i w:val="0"/>
          <w:iCs w:val="0"/>
        </w:rPr>
        <w:t xml:space="preserve"> </w:t>
      </w:r>
      <w:r w:rsidRPr="00286A8D">
        <w:rPr>
          <w:b w:val="0"/>
          <w:bCs w:val="0"/>
          <w:i w:val="0"/>
          <w:iCs w:val="0"/>
        </w:rPr>
        <w:t>33–71), and high (GPTS</w:t>
      </w:r>
      <w:r w:rsidR="009A6D2F">
        <w:rPr>
          <w:b w:val="0"/>
          <w:bCs w:val="0"/>
          <w:i w:val="0"/>
          <w:iCs w:val="0"/>
        </w:rPr>
        <w:t xml:space="preserve"> </w:t>
      </w:r>
      <w:r w:rsidRPr="00286A8D">
        <w:rPr>
          <w:b w:val="0"/>
          <w:bCs w:val="0"/>
          <w:i w:val="0"/>
          <w:iCs w:val="0"/>
        </w:rPr>
        <w:t xml:space="preserve">&gt; 71). </w:t>
      </w:r>
    </w:p>
    <w:p w14:paraId="6A634603" w14:textId="77777777" w:rsidR="00AD2CE1" w:rsidRDefault="00AD2CE1" w:rsidP="00AD2CE1">
      <w:pPr>
        <w:pStyle w:val="FiguresandTablesTOC"/>
        <w:jc w:val="both"/>
        <w:rPr>
          <w:b w:val="0"/>
          <w:bCs w:val="0"/>
          <w:i w:val="0"/>
          <w:iCs w:val="0"/>
          <w:sz w:val="22"/>
          <w:szCs w:val="22"/>
        </w:rPr>
      </w:pPr>
    </w:p>
    <w:p w14:paraId="1CA47C02" w14:textId="072C3E02" w:rsidR="002E628E" w:rsidRDefault="002E628E">
      <w:pPr>
        <w:rPr>
          <w:rFonts w:ascii="Calibri" w:hAnsi="Calibri" w:cs="Calibri"/>
          <w:i/>
          <w:iCs/>
          <w:sz w:val="22"/>
          <w:szCs w:val="22"/>
        </w:rPr>
      </w:pPr>
      <w:r>
        <w:br w:type="page"/>
      </w:r>
    </w:p>
    <w:p w14:paraId="47537C03" w14:textId="4F4CC55E" w:rsidR="00513A67" w:rsidRDefault="00861E60" w:rsidP="00513A67">
      <w:pPr>
        <w:pStyle w:val="SubheadingTOC"/>
        <w:spacing w:line="480" w:lineRule="auto"/>
        <w:outlineLvl w:val="1"/>
      </w:pPr>
      <w:bookmarkStart w:id="49" w:name="_Toc200722108"/>
      <w:r>
        <w:lastRenderedPageBreak/>
        <w:t>7</w:t>
      </w:r>
      <w:r w:rsidR="002E628E">
        <w:t>.3. THC Unit Distribution by Paranoia Category</w:t>
      </w:r>
      <w:bookmarkEnd w:id="49"/>
    </w:p>
    <w:p w14:paraId="180467B1" w14:textId="222BA869" w:rsidR="00635FBB" w:rsidRPr="00635FBB" w:rsidRDefault="00635FBB" w:rsidP="0050325D">
      <w:pPr>
        <w:pStyle w:val="SubheadingTOC"/>
        <w:spacing w:line="480" w:lineRule="auto"/>
        <w:rPr>
          <w:i w:val="0"/>
          <w:iCs w:val="0"/>
        </w:rPr>
      </w:pPr>
      <w:bookmarkStart w:id="50" w:name="_Toc190955600"/>
      <w:r w:rsidRPr="00635FBB">
        <w:rPr>
          <w:b/>
          <w:bCs/>
          <w:i w:val="0"/>
          <w:iCs w:val="0"/>
        </w:rPr>
        <w:t xml:space="preserve">Figure </w:t>
      </w:r>
      <w:r w:rsidR="00A2647F" w:rsidRPr="00635FBB">
        <w:rPr>
          <w:b/>
          <w:bCs/>
          <w:i w:val="0"/>
          <w:iCs w:val="0"/>
        </w:rPr>
        <w:t>S</w:t>
      </w:r>
      <w:r w:rsidR="00A2647F">
        <w:rPr>
          <w:b/>
          <w:bCs/>
          <w:i w:val="0"/>
          <w:iCs w:val="0"/>
        </w:rPr>
        <w:t xml:space="preserve">10 </w:t>
      </w:r>
      <w:r>
        <w:rPr>
          <w:i w:val="0"/>
          <w:iCs w:val="0"/>
        </w:rPr>
        <w:t xml:space="preserve">displays the distribution of THC unit consumption across the three paranoia categories (i.e., low, moderate, and high paranoia). Descriptive statistics indicate that individuals in the high paranoia group had the highest mean THC unit consumption (M = </w:t>
      </w:r>
      <w:r w:rsidR="003925FD">
        <w:rPr>
          <w:i w:val="0"/>
          <w:iCs w:val="0"/>
        </w:rPr>
        <w:t>183</w:t>
      </w:r>
      <w:r>
        <w:rPr>
          <w:i w:val="0"/>
          <w:iCs w:val="0"/>
        </w:rPr>
        <w:t xml:space="preserve">, SD = </w:t>
      </w:r>
      <w:r w:rsidR="003925FD">
        <w:rPr>
          <w:i w:val="0"/>
          <w:iCs w:val="0"/>
        </w:rPr>
        <w:t>267</w:t>
      </w:r>
      <w:r>
        <w:rPr>
          <w:i w:val="0"/>
          <w:iCs w:val="0"/>
        </w:rPr>
        <w:t xml:space="preserve">) compared to the moderate (M = </w:t>
      </w:r>
      <w:r w:rsidR="003925FD">
        <w:rPr>
          <w:i w:val="0"/>
          <w:iCs w:val="0"/>
        </w:rPr>
        <w:t>114</w:t>
      </w:r>
      <w:r>
        <w:rPr>
          <w:i w:val="0"/>
          <w:iCs w:val="0"/>
        </w:rPr>
        <w:t xml:space="preserve">, SD = </w:t>
      </w:r>
      <w:r w:rsidR="003925FD">
        <w:rPr>
          <w:i w:val="0"/>
          <w:iCs w:val="0"/>
        </w:rPr>
        <w:t>207</w:t>
      </w:r>
      <w:r>
        <w:rPr>
          <w:i w:val="0"/>
          <w:iCs w:val="0"/>
        </w:rPr>
        <w:t xml:space="preserve">) and low paranoia groups (M = </w:t>
      </w:r>
      <w:r w:rsidR="003925FD">
        <w:rPr>
          <w:i w:val="0"/>
          <w:iCs w:val="0"/>
        </w:rPr>
        <w:t>105</w:t>
      </w:r>
      <w:r>
        <w:rPr>
          <w:i w:val="0"/>
          <w:iCs w:val="0"/>
        </w:rPr>
        <w:t xml:space="preserve">, SD = </w:t>
      </w:r>
      <w:r w:rsidR="003925FD">
        <w:rPr>
          <w:i w:val="0"/>
          <w:iCs w:val="0"/>
        </w:rPr>
        <w:t>227</w:t>
      </w:r>
      <w:r>
        <w:rPr>
          <w:i w:val="0"/>
          <w:iCs w:val="0"/>
        </w:rPr>
        <w:t>). A Kruskal-</w:t>
      </w:r>
      <w:proofErr w:type="gramStart"/>
      <w:r>
        <w:rPr>
          <w:i w:val="0"/>
          <w:iCs w:val="0"/>
        </w:rPr>
        <w:t>Wallis</w:t>
      </w:r>
      <w:proofErr w:type="gramEnd"/>
      <w:r>
        <w:rPr>
          <w:i w:val="0"/>
          <w:iCs w:val="0"/>
        </w:rPr>
        <w:t xml:space="preserve"> test revealed a significant difference in THC unit consumption between paranoia groups (</w:t>
      </w:r>
      <w:r w:rsidRPr="00635FBB">
        <w:rPr>
          <w:i w:val="0"/>
          <w:iCs w:val="0"/>
        </w:rPr>
        <w:t>χ²</w:t>
      </w:r>
      <w:r>
        <w:rPr>
          <w:i w:val="0"/>
          <w:iCs w:val="0"/>
        </w:rPr>
        <w:t xml:space="preserve"> = 19, p &lt; 0.0001), suggesting a non-normally distributed relationship. Post-hoc Dunn’s pairwise comparisons with multiple testing correction confirmed that individuals with high paranoia reported significantly greater THC consumption than those with moderate paranoia (p &lt; 0.0001) and those with low paranoia (p = 0.003). However, no significant difference was observed between the low and moderate paranoia groups. These findings suggest that individuals with high paranoia tend to consume more THC overall and may represent a distinct subgroup in terms of cannabis use patterns.</w:t>
      </w:r>
      <w:bookmarkEnd w:id="50"/>
    </w:p>
    <w:p w14:paraId="7DB099C4" w14:textId="77777777" w:rsidR="008F5C2D" w:rsidRDefault="002E628E" w:rsidP="008F5C2D">
      <w:pPr>
        <w:pStyle w:val="FiguresandTablesTOC"/>
      </w:pPr>
      <w:bookmarkStart w:id="51" w:name="_Toc190955601"/>
      <w:bookmarkStart w:id="52" w:name="_Toc190955793"/>
      <w:bookmarkStart w:id="53" w:name="_Toc190965972"/>
      <w:bookmarkStart w:id="54" w:name="_Toc190966101"/>
      <w:r>
        <w:drawing>
          <wp:inline distT="0" distB="0" distL="0" distR="0" wp14:anchorId="2742C17A" wp14:editId="75B02C7E">
            <wp:extent cx="5731510" cy="3156793"/>
            <wp:effectExtent l="0" t="0" r="0" b="5715"/>
            <wp:docPr id="209388338" name="Picture 4" descr="A graph showing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8338" name="Picture 4" descr="A graph showing different colored squares&#10;&#10;Description automatically generated"/>
                    <pic:cNvPicPr/>
                  </pic:nvPicPr>
                  <pic:blipFill rotWithShape="1">
                    <a:blip r:embed="rId20">
                      <a:extLst>
                        <a:ext uri="{28A0092B-C50C-407E-A947-70E740481C1C}">
                          <a14:useLocalDpi xmlns:a14="http://schemas.microsoft.com/office/drawing/2010/main" val="0"/>
                        </a:ext>
                      </a:extLst>
                    </a:blip>
                    <a:srcRect t="4964"/>
                    <a:stretch/>
                  </pic:blipFill>
                  <pic:spPr bwMode="auto">
                    <a:xfrm>
                      <a:off x="0" y="0"/>
                      <a:ext cx="5731510" cy="3156793"/>
                    </a:xfrm>
                    <a:prstGeom prst="rect">
                      <a:avLst/>
                    </a:prstGeom>
                    <a:ln>
                      <a:noFill/>
                    </a:ln>
                    <a:extLst>
                      <a:ext uri="{53640926-AAD7-44D8-BBD7-CCE9431645EC}">
                        <a14:shadowObscured xmlns:a14="http://schemas.microsoft.com/office/drawing/2010/main"/>
                      </a:ext>
                    </a:extLst>
                  </pic:spPr>
                </pic:pic>
              </a:graphicData>
            </a:graphic>
          </wp:inline>
        </w:drawing>
      </w:r>
      <w:r w:rsidR="00DD6EFD" w:rsidRPr="00DD6EFD">
        <w:t xml:space="preserve"> </w:t>
      </w:r>
    </w:p>
    <w:p w14:paraId="7835AE2F" w14:textId="77777777" w:rsidR="008F5C2D" w:rsidRDefault="008F5C2D" w:rsidP="0050325D">
      <w:pPr>
        <w:pStyle w:val="FiguresandTablesTOC"/>
        <w:outlineLvl w:val="2"/>
      </w:pPr>
    </w:p>
    <w:p w14:paraId="44A11AFE" w14:textId="52667804" w:rsidR="0050325D" w:rsidRDefault="00DD6EFD" w:rsidP="0050325D">
      <w:pPr>
        <w:pStyle w:val="FiguresandTablesTOC"/>
        <w:outlineLvl w:val="2"/>
        <w:rPr>
          <w:b w:val="0"/>
          <w:bCs w:val="0"/>
        </w:rPr>
      </w:pPr>
      <w:bookmarkStart w:id="55" w:name="_Toc200722109"/>
      <w:r>
        <w:t xml:space="preserve">Figure </w:t>
      </w:r>
      <w:r w:rsidR="00A2647F">
        <w:t>S10</w:t>
      </w:r>
      <w:r>
        <w:t xml:space="preserve">. </w:t>
      </w:r>
      <w:r>
        <w:rPr>
          <w:b w:val="0"/>
          <w:bCs w:val="0"/>
        </w:rPr>
        <w:t>THC Un</w:t>
      </w:r>
      <w:r w:rsidR="008F5C2D">
        <w:rPr>
          <w:b w:val="0"/>
          <w:bCs w:val="0"/>
        </w:rPr>
        <w:t>i</w:t>
      </w:r>
      <w:r>
        <w:rPr>
          <w:b w:val="0"/>
          <w:bCs w:val="0"/>
        </w:rPr>
        <w:t>t D</w:t>
      </w:r>
      <w:r w:rsidR="000063B6">
        <w:rPr>
          <w:b w:val="0"/>
          <w:bCs w:val="0"/>
        </w:rPr>
        <w:t>i</w:t>
      </w:r>
      <w:r>
        <w:rPr>
          <w:b w:val="0"/>
          <w:bCs w:val="0"/>
        </w:rPr>
        <w:t>stribution Across Paranoia Categories.</w:t>
      </w:r>
      <w:bookmarkEnd w:id="51"/>
      <w:bookmarkEnd w:id="52"/>
      <w:bookmarkEnd w:id="53"/>
      <w:bookmarkEnd w:id="54"/>
      <w:bookmarkEnd w:id="55"/>
    </w:p>
    <w:p w14:paraId="0822C830" w14:textId="11C16DE1" w:rsidR="00DD6EFD" w:rsidRPr="0050325D" w:rsidRDefault="00DD6EFD" w:rsidP="0050325D">
      <w:pPr>
        <w:pStyle w:val="FiguresandTablesTOC"/>
        <w:rPr>
          <w:b w:val="0"/>
          <w:bCs w:val="0"/>
        </w:rPr>
      </w:pPr>
      <w:r w:rsidRPr="00286A8D">
        <w:rPr>
          <w:b w:val="0"/>
          <w:bCs w:val="0"/>
          <w:i w:val="0"/>
          <w:iCs w:val="0"/>
        </w:rPr>
        <w:t xml:space="preserve">This figure </w:t>
      </w:r>
      <w:r>
        <w:rPr>
          <w:b w:val="0"/>
          <w:bCs w:val="0"/>
          <w:i w:val="0"/>
          <w:iCs w:val="0"/>
        </w:rPr>
        <w:t>illustrates</w:t>
      </w:r>
      <w:r w:rsidRPr="00286A8D">
        <w:rPr>
          <w:b w:val="0"/>
          <w:bCs w:val="0"/>
          <w:i w:val="0"/>
          <w:iCs w:val="0"/>
        </w:rPr>
        <w:t xml:space="preserve"> the distribution of </w:t>
      </w:r>
      <w:r>
        <w:rPr>
          <w:b w:val="0"/>
          <w:bCs w:val="0"/>
          <w:i w:val="0"/>
          <w:iCs w:val="0"/>
        </w:rPr>
        <w:t xml:space="preserve">THC unit consumption across the three paranoia categories. </w:t>
      </w:r>
      <w:r w:rsidRPr="00286A8D">
        <w:rPr>
          <w:b w:val="0"/>
          <w:bCs w:val="0"/>
          <w:i w:val="0"/>
          <w:iCs w:val="0"/>
        </w:rPr>
        <w:t xml:space="preserve">Paranoia </w:t>
      </w:r>
      <w:r>
        <w:rPr>
          <w:b w:val="0"/>
          <w:bCs w:val="0"/>
          <w:i w:val="0"/>
          <w:iCs w:val="0"/>
        </w:rPr>
        <w:t>severity is</w:t>
      </w:r>
      <w:r w:rsidRPr="00286A8D">
        <w:rPr>
          <w:b w:val="0"/>
          <w:bCs w:val="0"/>
          <w:i w:val="0"/>
          <w:iCs w:val="0"/>
        </w:rPr>
        <w:t xml:space="preserve"> categori</w:t>
      </w:r>
      <w:r>
        <w:rPr>
          <w:b w:val="0"/>
          <w:bCs w:val="0"/>
          <w:i w:val="0"/>
          <w:iCs w:val="0"/>
        </w:rPr>
        <w:t>s</w:t>
      </w:r>
      <w:r w:rsidRPr="00286A8D">
        <w:rPr>
          <w:b w:val="0"/>
          <w:bCs w:val="0"/>
          <w:i w:val="0"/>
          <w:iCs w:val="0"/>
        </w:rPr>
        <w:t>ed as </w:t>
      </w:r>
      <w:r>
        <w:rPr>
          <w:b w:val="0"/>
          <w:bCs w:val="0"/>
          <w:i w:val="0"/>
          <w:iCs w:val="0"/>
        </w:rPr>
        <w:t xml:space="preserve">follows: </w:t>
      </w:r>
      <w:r w:rsidRPr="00286A8D">
        <w:rPr>
          <w:b w:val="0"/>
          <w:bCs w:val="0"/>
          <w:i w:val="0"/>
          <w:iCs w:val="0"/>
        </w:rPr>
        <w:t>low (GPTS</w:t>
      </w:r>
      <w:r>
        <w:rPr>
          <w:b w:val="0"/>
          <w:bCs w:val="0"/>
          <w:i w:val="0"/>
          <w:iCs w:val="0"/>
        </w:rPr>
        <w:t xml:space="preserve"> </w:t>
      </w:r>
      <w:r w:rsidRPr="00286A8D">
        <w:rPr>
          <w:b w:val="0"/>
          <w:bCs w:val="0"/>
          <w:i w:val="0"/>
          <w:iCs w:val="0"/>
        </w:rPr>
        <w:t>&lt; 33), moderate (GPTS</w:t>
      </w:r>
      <w:r>
        <w:rPr>
          <w:b w:val="0"/>
          <w:bCs w:val="0"/>
          <w:i w:val="0"/>
          <w:iCs w:val="0"/>
        </w:rPr>
        <w:t xml:space="preserve"> </w:t>
      </w:r>
      <w:r w:rsidRPr="00286A8D">
        <w:rPr>
          <w:b w:val="0"/>
          <w:bCs w:val="0"/>
          <w:i w:val="0"/>
          <w:iCs w:val="0"/>
        </w:rPr>
        <w:t>33–71), and high (GPTS</w:t>
      </w:r>
      <w:r>
        <w:rPr>
          <w:b w:val="0"/>
          <w:bCs w:val="0"/>
          <w:i w:val="0"/>
          <w:iCs w:val="0"/>
        </w:rPr>
        <w:t xml:space="preserve"> </w:t>
      </w:r>
      <w:r w:rsidRPr="00286A8D">
        <w:rPr>
          <w:b w:val="0"/>
          <w:bCs w:val="0"/>
          <w:i w:val="0"/>
          <w:iCs w:val="0"/>
        </w:rPr>
        <w:t xml:space="preserve">&gt; 71). </w:t>
      </w:r>
      <w:r>
        <w:rPr>
          <w:b w:val="0"/>
          <w:bCs w:val="0"/>
          <w:i w:val="0"/>
          <w:iCs w:val="0"/>
        </w:rPr>
        <w:t>Each box represents the interquantile range (IQR), with the horizontal line inside the box indicating the median THC unit consumption. Indvidual data points represent participant-level THC unit values.</w:t>
      </w:r>
    </w:p>
    <w:p w14:paraId="4F5C2318" w14:textId="39668319" w:rsidR="00513A67" w:rsidRDefault="00513A67" w:rsidP="00513A67">
      <w:pPr>
        <w:pStyle w:val="SubheadingTOC"/>
        <w:spacing w:line="480" w:lineRule="auto"/>
        <w:outlineLvl w:val="1"/>
      </w:pPr>
    </w:p>
    <w:p w14:paraId="2F9B7A20" w14:textId="2F4D15E3" w:rsidR="002E628E" w:rsidRDefault="00861E60" w:rsidP="00513A67">
      <w:pPr>
        <w:pStyle w:val="SubheadingTOC"/>
        <w:spacing w:line="480" w:lineRule="auto"/>
        <w:outlineLvl w:val="1"/>
      </w:pPr>
      <w:bookmarkStart w:id="56" w:name="_Toc200722110"/>
      <w:r>
        <w:lastRenderedPageBreak/>
        <w:t>7</w:t>
      </w:r>
      <w:r w:rsidR="002E628E">
        <w:t>.4. THC by Paranoia and Trauma Exposure</w:t>
      </w:r>
      <w:bookmarkEnd w:id="56"/>
    </w:p>
    <w:p w14:paraId="5E624A02" w14:textId="52324D32" w:rsidR="00BD772F" w:rsidRPr="0069798D" w:rsidRDefault="00BD772F" w:rsidP="0050325D">
      <w:pPr>
        <w:pStyle w:val="SubheadingTOC"/>
        <w:spacing w:line="480" w:lineRule="auto"/>
        <w:rPr>
          <w:i w:val="0"/>
          <w:iCs w:val="0"/>
        </w:rPr>
      </w:pPr>
      <w:bookmarkStart w:id="57" w:name="_Toc190955603"/>
      <w:r>
        <w:rPr>
          <w:b/>
          <w:bCs/>
          <w:i w:val="0"/>
          <w:iCs w:val="0"/>
        </w:rPr>
        <w:t xml:space="preserve">Figure </w:t>
      </w:r>
      <w:r w:rsidR="00A2647F">
        <w:rPr>
          <w:b/>
          <w:bCs/>
          <w:i w:val="0"/>
          <w:iCs w:val="0"/>
        </w:rPr>
        <w:t>S11</w:t>
      </w:r>
      <w:r w:rsidR="00A2647F">
        <w:rPr>
          <w:i w:val="0"/>
          <w:iCs w:val="0"/>
        </w:rPr>
        <w:t xml:space="preserve"> </w:t>
      </w:r>
      <w:r>
        <w:rPr>
          <w:i w:val="0"/>
          <w:iCs w:val="0"/>
        </w:rPr>
        <w:t xml:space="preserve">presents the distribution of THC unit consumption across paranoia groups further stratified by trauma exposure (trauma vs. non-trauma). Descriptive statistics indicate that within each paranoia category, individuals who reported trauma exposure generally showed higher mean THC unit consumption compared to those without trauma. </w:t>
      </w:r>
      <w:r w:rsidR="0069798D">
        <w:rPr>
          <w:i w:val="0"/>
          <w:iCs w:val="0"/>
        </w:rPr>
        <w:t xml:space="preserve">Specifically, among individuals with low paranoia, those with trauma exposure consumed significantly more THC (M = </w:t>
      </w:r>
      <w:r w:rsidR="00F31D6D">
        <w:rPr>
          <w:i w:val="0"/>
          <w:iCs w:val="0"/>
        </w:rPr>
        <w:t>136</w:t>
      </w:r>
      <w:r w:rsidR="0069798D">
        <w:rPr>
          <w:i w:val="0"/>
          <w:iCs w:val="0"/>
        </w:rPr>
        <w:t xml:space="preserve">, SD = </w:t>
      </w:r>
      <w:r w:rsidR="00F31D6D">
        <w:rPr>
          <w:i w:val="0"/>
          <w:iCs w:val="0"/>
        </w:rPr>
        <w:t>282</w:t>
      </w:r>
      <w:r w:rsidR="0069798D">
        <w:rPr>
          <w:i w:val="0"/>
          <w:iCs w:val="0"/>
        </w:rPr>
        <w:t xml:space="preserve">) than those without trauma (M = </w:t>
      </w:r>
      <w:r w:rsidR="004F49C9">
        <w:rPr>
          <w:i w:val="0"/>
          <w:iCs w:val="0"/>
        </w:rPr>
        <w:t>85</w:t>
      </w:r>
      <w:r w:rsidR="0069798D">
        <w:rPr>
          <w:i w:val="0"/>
          <w:iCs w:val="0"/>
        </w:rPr>
        <w:t xml:space="preserve">, SD = </w:t>
      </w:r>
      <w:r w:rsidR="004F49C9">
        <w:rPr>
          <w:i w:val="0"/>
          <w:iCs w:val="0"/>
        </w:rPr>
        <w:t>181</w:t>
      </w:r>
      <w:r w:rsidR="0069798D">
        <w:rPr>
          <w:i w:val="0"/>
          <w:iCs w:val="0"/>
        </w:rPr>
        <w:t xml:space="preserve">). Similarly, within the moderate paranoia group, individuals with trauma exposure exhibited a higher THC consumption (M = </w:t>
      </w:r>
      <w:r w:rsidR="004F49C9">
        <w:rPr>
          <w:i w:val="0"/>
          <w:iCs w:val="0"/>
        </w:rPr>
        <w:t>130</w:t>
      </w:r>
      <w:r w:rsidR="0069798D">
        <w:rPr>
          <w:i w:val="0"/>
          <w:iCs w:val="0"/>
        </w:rPr>
        <w:t xml:space="preserve">, SD = </w:t>
      </w:r>
      <w:r w:rsidR="004F49C9">
        <w:rPr>
          <w:i w:val="0"/>
          <w:iCs w:val="0"/>
        </w:rPr>
        <w:t>220</w:t>
      </w:r>
      <w:r w:rsidR="0069798D">
        <w:rPr>
          <w:i w:val="0"/>
          <w:iCs w:val="0"/>
        </w:rPr>
        <w:t xml:space="preserve">) than non-trauma individuals (M = </w:t>
      </w:r>
      <w:r w:rsidR="004F49C9">
        <w:rPr>
          <w:i w:val="0"/>
          <w:iCs w:val="0"/>
        </w:rPr>
        <w:t>98</w:t>
      </w:r>
      <w:r w:rsidR="0069798D">
        <w:rPr>
          <w:i w:val="0"/>
          <w:iCs w:val="0"/>
        </w:rPr>
        <w:t xml:space="preserve">, SD = </w:t>
      </w:r>
      <w:r w:rsidR="004F49C9">
        <w:rPr>
          <w:i w:val="0"/>
          <w:iCs w:val="0"/>
        </w:rPr>
        <w:t>192</w:t>
      </w:r>
      <w:r w:rsidR="0069798D">
        <w:rPr>
          <w:i w:val="0"/>
          <w:iCs w:val="0"/>
        </w:rPr>
        <w:t xml:space="preserve">). In the high paranoia group, THC consumption remained elevated in both trauma (M = </w:t>
      </w:r>
      <w:r w:rsidR="004F49C9">
        <w:rPr>
          <w:i w:val="0"/>
          <w:iCs w:val="0"/>
        </w:rPr>
        <w:t>194</w:t>
      </w:r>
      <w:r w:rsidR="0069798D">
        <w:rPr>
          <w:i w:val="0"/>
          <w:iCs w:val="0"/>
        </w:rPr>
        <w:t xml:space="preserve">, SD = </w:t>
      </w:r>
      <w:r w:rsidR="004F49C9">
        <w:rPr>
          <w:i w:val="0"/>
          <w:iCs w:val="0"/>
        </w:rPr>
        <w:t>273</w:t>
      </w:r>
      <w:r w:rsidR="0069798D">
        <w:rPr>
          <w:i w:val="0"/>
          <w:iCs w:val="0"/>
        </w:rPr>
        <w:t xml:space="preserve">) and non-trauma (M = </w:t>
      </w:r>
      <w:r w:rsidR="004F49C9">
        <w:rPr>
          <w:i w:val="0"/>
          <w:iCs w:val="0"/>
        </w:rPr>
        <w:t>146</w:t>
      </w:r>
      <w:r w:rsidR="0069798D">
        <w:rPr>
          <w:i w:val="0"/>
          <w:iCs w:val="0"/>
        </w:rPr>
        <w:t xml:space="preserve">, SD = </w:t>
      </w:r>
      <w:r w:rsidR="004F49C9">
        <w:rPr>
          <w:i w:val="0"/>
          <w:iCs w:val="0"/>
        </w:rPr>
        <w:t>241</w:t>
      </w:r>
      <w:r w:rsidR="0069798D">
        <w:rPr>
          <w:i w:val="0"/>
          <w:iCs w:val="0"/>
        </w:rPr>
        <w:t>) subgroups, with no notable difference. A Kruskal-</w:t>
      </w:r>
      <w:proofErr w:type="gramStart"/>
      <w:r w:rsidR="0069798D">
        <w:rPr>
          <w:i w:val="0"/>
          <w:iCs w:val="0"/>
        </w:rPr>
        <w:t>Wallis</w:t>
      </w:r>
      <w:proofErr w:type="gramEnd"/>
      <w:r w:rsidR="0069798D">
        <w:rPr>
          <w:i w:val="0"/>
          <w:iCs w:val="0"/>
        </w:rPr>
        <w:t xml:space="preserve"> test was performed separately for trauma-exposed and non-trauma groups. Findings suggested that within the trauma-exposed group, THC unit consumption differed significantly across paranoia levels, with post-hoc Dunn’s pairwise tests indicating significantly higher THC use in high paranoia compared to moderate paranoia (p &lt; 0.0001) and low paranoia (p = 0.003). No </w:t>
      </w:r>
      <w:r w:rsidR="00E03C39">
        <w:rPr>
          <w:i w:val="0"/>
          <w:iCs w:val="0"/>
        </w:rPr>
        <w:t>significant</w:t>
      </w:r>
      <w:r w:rsidR="0069798D">
        <w:rPr>
          <w:i w:val="0"/>
          <w:iCs w:val="0"/>
        </w:rPr>
        <w:t xml:space="preserve"> differences were found in the non-trauma group. As shown in </w:t>
      </w:r>
      <w:r w:rsidR="0069798D">
        <w:rPr>
          <w:b/>
          <w:bCs/>
          <w:i w:val="0"/>
          <w:iCs w:val="0"/>
        </w:rPr>
        <w:t xml:space="preserve">Figure </w:t>
      </w:r>
      <w:r w:rsidR="00A2647F">
        <w:rPr>
          <w:b/>
          <w:bCs/>
          <w:i w:val="0"/>
          <w:iCs w:val="0"/>
        </w:rPr>
        <w:t>S11</w:t>
      </w:r>
      <w:r w:rsidR="0069798D">
        <w:rPr>
          <w:i w:val="0"/>
          <w:iCs w:val="0"/>
        </w:rPr>
        <w:t>, individuals with both high paranoia and trauma exposure tend to consume more THC, supporting the hypothesis that early-life adversity may influence patterns of cannabis use among individuals experiencing paranoia.</w:t>
      </w:r>
      <w:bookmarkEnd w:id="57"/>
    </w:p>
    <w:p w14:paraId="1F99308D" w14:textId="77777777" w:rsidR="008F5C2D" w:rsidRDefault="002E628E" w:rsidP="008F5C2D">
      <w:pPr>
        <w:pStyle w:val="FiguresandTablesTOC"/>
      </w:pPr>
      <w:bookmarkStart w:id="58" w:name="_Toc190955604"/>
      <w:bookmarkStart w:id="59" w:name="_Toc190955795"/>
      <w:bookmarkStart w:id="60" w:name="_Toc190965974"/>
      <w:bookmarkStart w:id="61" w:name="_Toc190966103"/>
      <w:r>
        <w:lastRenderedPageBreak/>
        <w:drawing>
          <wp:inline distT="0" distB="0" distL="0" distR="0" wp14:anchorId="07878F48" wp14:editId="1F33DB4E">
            <wp:extent cx="5731510" cy="3149298"/>
            <wp:effectExtent l="0" t="0" r="0" b="635"/>
            <wp:docPr id="1499790635" name="Picture 3" descr="A graph showing a variety of colored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90635" name="Picture 3" descr="A graph showing a variety of colored boxes&#10;&#10;Description automatically generated with medium confidence"/>
                    <pic:cNvPicPr/>
                  </pic:nvPicPr>
                  <pic:blipFill rotWithShape="1">
                    <a:blip r:embed="rId21">
                      <a:extLst>
                        <a:ext uri="{28A0092B-C50C-407E-A947-70E740481C1C}">
                          <a14:useLocalDpi xmlns:a14="http://schemas.microsoft.com/office/drawing/2010/main" val="0"/>
                        </a:ext>
                      </a:extLst>
                    </a:blip>
                    <a:srcRect t="5190"/>
                    <a:stretch/>
                  </pic:blipFill>
                  <pic:spPr bwMode="auto">
                    <a:xfrm>
                      <a:off x="0" y="0"/>
                      <a:ext cx="5731510" cy="3149298"/>
                    </a:xfrm>
                    <a:prstGeom prst="rect">
                      <a:avLst/>
                    </a:prstGeom>
                    <a:ln>
                      <a:noFill/>
                    </a:ln>
                    <a:extLst>
                      <a:ext uri="{53640926-AAD7-44D8-BBD7-CCE9431645EC}">
                        <a14:shadowObscured xmlns:a14="http://schemas.microsoft.com/office/drawing/2010/main"/>
                      </a:ext>
                    </a:extLst>
                  </pic:spPr>
                </pic:pic>
              </a:graphicData>
            </a:graphic>
          </wp:inline>
        </w:drawing>
      </w:r>
      <w:r w:rsidR="00DD6EFD" w:rsidRPr="00DD6EFD">
        <w:t xml:space="preserve"> </w:t>
      </w:r>
    </w:p>
    <w:p w14:paraId="362CDB58" w14:textId="77777777" w:rsidR="008F5C2D" w:rsidRDefault="008F5C2D" w:rsidP="0050325D">
      <w:pPr>
        <w:pStyle w:val="FiguresandTablesTOC"/>
        <w:outlineLvl w:val="2"/>
      </w:pPr>
    </w:p>
    <w:p w14:paraId="5DD2456C" w14:textId="4FADA4F9" w:rsidR="0050325D" w:rsidRDefault="00DD6EFD" w:rsidP="0050325D">
      <w:pPr>
        <w:pStyle w:val="FiguresandTablesTOC"/>
        <w:outlineLvl w:val="2"/>
        <w:rPr>
          <w:b w:val="0"/>
          <w:bCs w:val="0"/>
        </w:rPr>
      </w:pPr>
      <w:bookmarkStart w:id="62" w:name="_Toc200722111"/>
      <w:r>
        <w:t xml:space="preserve">Figure </w:t>
      </w:r>
      <w:r w:rsidR="00A2647F">
        <w:t>S11</w:t>
      </w:r>
      <w:r>
        <w:t xml:space="preserve">. </w:t>
      </w:r>
      <w:r>
        <w:rPr>
          <w:b w:val="0"/>
          <w:bCs w:val="0"/>
        </w:rPr>
        <w:t>THC Unit Consumption by Paranoia Levels and Trauma Exposure.</w:t>
      </w:r>
      <w:bookmarkEnd w:id="58"/>
      <w:bookmarkEnd w:id="59"/>
      <w:bookmarkEnd w:id="60"/>
      <w:bookmarkEnd w:id="61"/>
      <w:bookmarkEnd w:id="62"/>
    </w:p>
    <w:p w14:paraId="758004E4" w14:textId="1F3C0D2D" w:rsidR="00DD6EFD" w:rsidRPr="0050325D" w:rsidRDefault="00DD6EFD" w:rsidP="0050325D">
      <w:pPr>
        <w:pStyle w:val="FiguresandTablesTOC"/>
        <w:rPr>
          <w:b w:val="0"/>
          <w:bCs w:val="0"/>
        </w:rPr>
      </w:pPr>
      <w:r w:rsidRPr="00286A8D">
        <w:rPr>
          <w:b w:val="0"/>
          <w:bCs w:val="0"/>
          <w:i w:val="0"/>
          <w:iCs w:val="0"/>
        </w:rPr>
        <w:t xml:space="preserve">This figure </w:t>
      </w:r>
      <w:r>
        <w:rPr>
          <w:b w:val="0"/>
          <w:bCs w:val="0"/>
          <w:i w:val="0"/>
          <w:iCs w:val="0"/>
        </w:rPr>
        <w:t xml:space="preserve">displays THC unit consumption stratified by both paranoia category and trauma exposure. </w:t>
      </w:r>
      <w:r w:rsidRPr="00286A8D">
        <w:rPr>
          <w:b w:val="0"/>
          <w:bCs w:val="0"/>
          <w:i w:val="0"/>
          <w:iCs w:val="0"/>
        </w:rPr>
        <w:t xml:space="preserve">Paranoia </w:t>
      </w:r>
      <w:r>
        <w:rPr>
          <w:b w:val="0"/>
          <w:bCs w:val="0"/>
          <w:i w:val="0"/>
          <w:iCs w:val="0"/>
        </w:rPr>
        <w:t>severity is</w:t>
      </w:r>
      <w:r w:rsidRPr="00286A8D">
        <w:rPr>
          <w:b w:val="0"/>
          <w:bCs w:val="0"/>
          <w:i w:val="0"/>
          <w:iCs w:val="0"/>
        </w:rPr>
        <w:t xml:space="preserve"> categori</w:t>
      </w:r>
      <w:r>
        <w:rPr>
          <w:b w:val="0"/>
          <w:bCs w:val="0"/>
          <w:i w:val="0"/>
          <w:iCs w:val="0"/>
        </w:rPr>
        <w:t>s</w:t>
      </w:r>
      <w:r w:rsidRPr="00286A8D">
        <w:rPr>
          <w:b w:val="0"/>
          <w:bCs w:val="0"/>
          <w:i w:val="0"/>
          <w:iCs w:val="0"/>
        </w:rPr>
        <w:t>ed as </w:t>
      </w:r>
      <w:r>
        <w:rPr>
          <w:b w:val="0"/>
          <w:bCs w:val="0"/>
          <w:i w:val="0"/>
          <w:iCs w:val="0"/>
        </w:rPr>
        <w:t xml:space="preserve">follows: </w:t>
      </w:r>
      <w:r w:rsidRPr="00286A8D">
        <w:rPr>
          <w:b w:val="0"/>
          <w:bCs w:val="0"/>
          <w:i w:val="0"/>
          <w:iCs w:val="0"/>
        </w:rPr>
        <w:t>low (GPTS</w:t>
      </w:r>
      <w:r>
        <w:rPr>
          <w:b w:val="0"/>
          <w:bCs w:val="0"/>
          <w:i w:val="0"/>
          <w:iCs w:val="0"/>
        </w:rPr>
        <w:t xml:space="preserve"> </w:t>
      </w:r>
      <w:r w:rsidRPr="00286A8D">
        <w:rPr>
          <w:b w:val="0"/>
          <w:bCs w:val="0"/>
          <w:i w:val="0"/>
          <w:iCs w:val="0"/>
        </w:rPr>
        <w:t>&lt; 33), moderate (GPTS</w:t>
      </w:r>
      <w:r>
        <w:rPr>
          <w:b w:val="0"/>
          <w:bCs w:val="0"/>
          <w:i w:val="0"/>
          <w:iCs w:val="0"/>
        </w:rPr>
        <w:t xml:space="preserve"> </w:t>
      </w:r>
      <w:r w:rsidRPr="00286A8D">
        <w:rPr>
          <w:b w:val="0"/>
          <w:bCs w:val="0"/>
          <w:i w:val="0"/>
          <w:iCs w:val="0"/>
        </w:rPr>
        <w:t>33–71), and high (GPTS</w:t>
      </w:r>
      <w:r>
        <w:rPr>
          <w:b w:val="0"/>
          <w:bCs w:val="0"/>
          <w:i w:val="0"/>
          <w:iCs w:val="0"/>
        </w:rPr>
        <w:t xml:space="preserve"> </w:t>
      </w:r>
      <w:r w:rsidRPr="00286A8D">
        <w:rPr>
          <w:b w:val="0"/>
          <w:bCs w:val="0"/>
          <w:i w:val="0"/>
          <w:iCs w:val="0"/>
        </w:rPr>
        <w:t xml:space="preserve">&gt; 71). </w:t>
      </w:r>
      <w:r>
        <w:rPr>
          <w:b w:val="0"/>
          <w:bCs w:val="0"/>
          <w:i w:val="0"/>
          <w:iCs w:val="0"/>
        </w:rPr>
        <w:t>Red boxes represent individuals without reported trauma exposure, blue boxes represent individuals with reported trauma exposure.</w:t>
      </w:r>
    </w:p>
    <w:p w14:paraId="75E9A403" w14:textId="4B48A480" w:rsidR="002E628E" w:rsidRDefault="002E628E" w:rsidP="00513A67">
      <w:pPr>
        <w:pStyle w:val="SubheadingTOC"/>
        <w:spacing w:line="480" w:lineRule="auto"/>
        <w:outlineLvl w:val="1"/>
      </w:pPr>
    </w:p>
    <w:p w14:paraId="7D81BF45" w14:textId="78D73BFC" w:rsidR="00AD2CE1" w:rsidRPr="00774E3D" w:rsidRDefault="00861E60" w:rsidP="00513A67">
      <w:pPr>
        <w:pStyle w:val="SubheadingTOC"/>
        <w:spacing w:line="480" w:lineRule="auto"/>
        <w:outlineLvl w:val="1"/>
      </w:pPr>
      <w:bookmarkStart w:id="63" w:name="_Toc200722112"/>
      <w:r>
        <w:t>7</w:t>
      </w:r>
      <w:r w:rsidR="00073383">
        <w:t>.</w:t>
      </w:r>
      <w:r w:rsidR="002E628E">
        <w:t>5</w:t>
      </w:r>
      <w:r w:rsidR="00073383">
        <w:t xml:space="preserve">. </w:t>
      </w:r>
      <w:r w:rsidR="00AD2CE1" w:rsidRPr="00774E3D">
        <w:t>Bridging General Population Findings to Clinical Relevance</w:t>
      </w:r>
      <w:bookmarkEnd w:id="63"/>
    </w:p>
    <w:p w14:paraId="5E4F0DFC" w14:textId="0B95B106" w:rsidR="00B45391" w:rsidRPr="00971C01" w:rsidRDefault="00EA30EB" w:rsidP="00F15161">
      <w:pPr>
        <w:pStyle w:val="FiguresandTablesTOC"/>
        <w:spacing w:line="480" w:lineRule="auto"/>
        <w:jc w:val="both"/>
        <w:rPr>
          <w:b w:val="0"/>
          <w:bCs w:val="0"/>
          <w:i w:val="0"/>
          <w:iCs w:val="0"/>
        </w:rPr>
      </w:pPr>
      <w:r w:rsidRPr="00EA30EB">
        <w:rPr>
          <w:b w:val="0"/>
          <w:bCs w:val="0"/>
          <w:i w:val="0"/>
          <w:iCs w:val="0"/>
          <w:sz w:val="22"/>
          <w:szCs w:val="22"/>
        </w:rPr>
        <w:t>While the CAMe sample is drawn from the general population, the findings of this study have important clinical implications for early detection and intervention in individuals at higher risk of developing paranoia. Even at subclinical levels, paranoia is associated with distress, social withdrawal, and functional impairment. Certain subgroups within the general population, particularly those exposed to childhood trauma and cannabis, may benefit from targeted public health strategies.</w:t>
      </w:r>
      <w:r>
        <w:rPr>
          <w:b w:val="0"/>
          <w:bCs w:val="0"/>
          <w:i w:val="0"/>
          <w:iCs w:val="0"/>
          <w:sz w:val="22"/>
          <w:szCs w:val="22"/>
        </w:rPr>
        <w:t xml:space="preserve"> </w:t>
      </w:r>
      <w:r w:rsidRPr="00EA30EB">
        <w:rPr>
          <w:b w:val="0"/>
          <w:bCs w:val="0"/>
          <w:i w:val="0"/>
          <w:iCs w:val="0"/>
          <w:sz w:val="22"/>
          <w:szCs w:val="22"/>
        </w:rPr>
        <w:t>Screening for trauma exposure and paranoia in non-clinical settings, such as community mental health initiatives or digital mental health platforms, could facilitate early risk identification. Additionally, public health campaigns should address the potential impact of harmful cannabis use patterns on paranoia, particularly among individuals with a history of childhood trauma. Educating the public about the risks associated with high-potency cannabis may help reduce paranoia-related distress and lower the likelihood of progression to more severe psychopathology.</w:t>
      </w:r>
    </w:p>
    <w:sectPr w:rsidR="00B45391" w:rsidRPr="00971C01" w:rsidSect="006C18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9ECD1" w14:textId="77777777" w:rsidR="00605922" w:rsidRDefault="00605922" w:rsidP="007A5A93">
      <w:r>
        <w:separator/>
      </w:r>
    </w:p>
  </w:endnote>
  <w:endnote w:type="continuationSeparator" w:id="0">
    <w:p w14:paraId="49F4BF92" w14:textId="77777777" w:rsidR="00605922" w:rsidRDefault="00605922" w:rsidP="007A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64082126"/>
      <w:docPartObj>
        <w:docPartGallery w:val="Page Numbers (Bottom of Page)"/>
        <w:docPartUnique/>
      </w:docPartObj>
    </w:sdtPr>
    <w:sdtContent>
      <w:p w14:paraId="58021341" w14:textId="156E9C38" w:rsidR="00A35E74" w:rsidRDefault="00A35E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FC3DD00" w14:textId="77777777" w:rsidR="00A35E74" w:rsidRDefault="00A35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24673732"/>
      <w:docPartObj>
        <w:docPartGallery w:val="Page Numbers (Bottom of Page)"/>
        <w:docPartUnique/>
      </w:docPartObj>
    </w:sdtPr>
    <w:sdtContent>
      <w:p w14:paraId="48D59F6F" w14:textId="3254EF30" w:rsidR="00A35E74" w:rsidRDefault="00A35E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01CAFF" w14:textId="77777777" w:rsidR="00A35E74" w:rsidRDefault="00A35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62927" w14:textId="77777777" w:rsidR="00605922" w:rsidRDefault="00605922" w:rsidP="007A5A93">
      <w:r>
        <w:separator/>
      </w:r>
    </w:p>
  </w:footnote>
  <w:footnote w:type="continuationSeparator" w:id="0">
    <w:p w14:paraId="68251A8F" w14:textId="77777777" w:rsidR="00605922" w:rsidRDefault="00605922" w:rsidP="007A5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22A50"/>
    <w:multiLevelType w:val="hybridMultilevel"/>
    <w:tmpl w:val="FC4CAC4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4BCD4F8D"/>
    <w:multiLevelType w:val="hybridMultilevel"/>
    <w:tmpl w:val="7C0C6F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620F154B"/>
    <w:multiLevelType w:val="hybridMultilevel"/>
    <w:tmpl w:val="77E0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CD67AC"/>
    <w:multiLevelType w:val="hybridMultilevel"/>
    <w:tmpl w:val="819A6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3579497">
    <w:abstractNumId w:val="1"/>
  </w:num>
  <w:num w:numId="2" w16cid:durableId="1404716639">
    <w:abstractNumId w:val="0"/>
  </w:num>
  <w:num w:numId="3" w16cid:durableId="1899511845">
    <w:abstractNumId w:val="2"/>
  </w:num>
  <w:num w:numId="4" w16cid:durableId="1566915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1E"/>
    <w:rsid w:val="00002799"/>
    <w:rsid w:val="000063B6"/>
    <w:rsid w:val="00030454"/>
    <w:rsid w:val="00044379"/>
    <w:rsid w:val="00045F57"/>
    <w:rsid w:val="00054748"/>
    <w:rsid w:val="00055DC7"/>
    <w:rsid w:val="000612F9"/>
    <w:rsid w:val="00064362"/>
    <w:rsid w:val="00073383"/>
    <w:rsid w:val="0007473C"/>
    <w:rsid w:val="00074DAC"/>
    <w:rsid w:val="00083A15"/>
    <w:rsid w:val="000B3D2B"/>
    <w:rsid w:val="000B4926"/>
    <w:rsid w:val="000B7924"/>
    <w:rsid w:val="000C7889"/>
    <w:rsid w:val="000C7980"/>
    <w:rsid w:val="0011065D"/>
    <w:rsid w:val="00110E8A"/>
    <w:rsid w:val="00112754"/>
    <w:rsid w:val="00117076"/>
    <w:rsid w:val="0012356D"/>
    <w:rsid w:val="00124B18"/>
    <w:rsid w:val="001315F3"/>
    <w:rsid w:val="001357D2"/>
    <w:rsid w:val="00144DB0"/>
    <w:rsid w:val="0015085B"/>
    <w:rsid w:val="00152A1C"/>
    <w:rsid w:val="001573FA"/>
    <w:rsid w:val="00160E5A"/>
    <w:rsid w:val="001646E6"/>
    <w:rsid w:val="001A4022"/>
    <w:rsid w:val="001A56C2"/>
    <w:rsid w:val="001A73CE"/>
    <w:rsid w:val="001C0024"/>
    <w:rsid w:val="001C12BE"/>
    <w:rsid w:val="001C26BC"/>
    <w:rsid w:val="001C6588"/>
    <w:rsid w:val="001C701A"/>
    <w:rsid w:val="001D29D5"/>
    <w:rsid w:val="001F2198"/>
    <w:rsid w:val="001F43E3"/>
    <w:rsid w:val="0020485E"/>
    <w:rsid w:val="00205C00"/>
    <w:rsid w:val="00212E68"/>
    <w:rsid w:val="00213C29"/>
    <w:rsid w:val="002233C7"/>
    <w:rsid w:val="002257E8"/>
    <w:rsid w:val="00231B1E"/>
    <w:rsid w:val="0024537F"/>
    <w:rsid w:val="002461CC"/>
    <w:rsid w:val="002544DB"/>
    <w:rsid w:val="002607B4"/>
    <w:rsid w:val="00264653"/>
    <w:rsid w:val="0026549B"/>
    <w:rsid w:val="002659CC"/>
    <w:rsid w:val="002865C5"/>
    <w:rsid w:val="00286A8D"/>
    <w:rsid w:val="00292317"/>
    <w:rsid w:val="002A1266"/>
    <w:rsid w:val="002A1D94"/>
    <w:rsid w:val="002B4A3B"/>
    <w:rsid w:val="002B4DD3"/>
    <w:rsid w:val="002E35CC"/>
    <w:rsid w:val="002E4EEE"/>
    <w:rsid w:val="002E628E"/>
    <w:rsid w:val="002F1C11"/>
    <w:rsid w:val="002F4F35"/>
    <w:rsid w:val="00300608"/>
    <w:rsid w:val="0030210F"/>
    <w:rsid w:val="00305AA3"/>
    <w:rsid w:val="00313BB3"/>
    <w:rsid w:val="003204C6"/>
    <w:rsid w:val="00335AC1"/>
    <w:rsid w:val="00343711"/>
    <w:rsid w:val="00345858"/>
    <w:rsid w:val="00356763"/>
    <w:rsid w:val="0035689F"/>
    <w:rsid w:val="00361689"/>
    <w:rsid w:val="00373ABA"/>
    <w:rsid w:val="00373C04"/>
    <w:rsid w:val="00390208"/>
    <w:rsid w:val="003925FD"/>
    <w:rsid w:val="003954BF"/>
    <w:rsid w:val="003A14AC"/>
    <w:rsid w:val="003A1C66"/>
    <w:rsid w:val="003A4052"/>
    <w:rsid w:val="003A7B31"/>
    <w:rsid w:val="003B6835"/>
    <w:rsid w:val="003D0412"/>
    <w:rsid w:val="003D1417"/>
    <w:rsid w:val="003E0E4E"/>
    <w:rsid w:val="003F0E13"/>
    <w:rsid w:val="003F6A10"/>
    <w:rsid w:val="003F71BC"/>
    <w:rsid w:val="0040591C"/>
    <w:rsid w:val="00431E98"/>
    <w:rsid w:val="00444B3D"/>
    <w:rsid w:val="00462578"/>
    <w:rsid w:val="00472329"/>
    <w:rsid w:val="00480AD0"/>
    <w:rsid w:val="004817D2"/>
    <w:rsid w:val="004848E9"/>
    <w:rsid w:val="004911FD"/>
    <w:rsid w:val="00497B2D"/>
    <w:rsid w:val="004B56E2"/>
    <w:rsid w:val="004D53D9"/>
    <w:rsid w:val="004D5B88"/>
    <w:rsid w:val="004E39D4"/>
    <w:rsid w:val="004E554E"/>
    <w:rsid w:val="004F49C9"/>
    <w:rsid w:val="0050325D"/>
    <w:rsid w:val="00503D18"/>
    <w:rsid w:val="0050592F"/>
    <w:rsid w:val="005071BC"/>
    <w:rsid w:val="00507FCE"/>
    <w:rsid w:val="00513A67"/>
    <w:rsid w:val="005436D7"/>
    <w:rsid w:val="00551A02"/>
    <w:rsid w:val="0055581A"/>
    <w:rsid w:val="005710CE"/>
    <w:rsid w:val="00575E50"/>
    <w:rsid w:val="005808D0"/>
    <w:rsid w:val="005A1049"/>
    <w:rsid w:val="005C4D57"/>
    <w:rsid w:val="005D2EDE"/>
    <w:rsid w:val="005D32E5"/>
    <w:rsid w:val="005D3D80"/>
    <w:rsid w:val="005E54BF"/>
    <w:rsid w:val="005E5669"/>
    <w:rsid w:val="005F7E93"/>
    <w:rsid w:val="00605252"/>
    <w:rsid w:val="00605922"/>
    <w:rsid w:val="006154D4"/>
    <w:rsid w:val="00624442"/>
    <w:rsid w:val="00630663"/>
    <w:rsid w:val="00632CE0"/>
    <w:rsid w:val="00633747"/>
    <w:rsid w:val="00635FBB"/>
    <w:rsid w:val="0064128B"/>
    <w:rsid w:val="00642089"/>
    <w:rsid w:val="00644640"/>
    <w:rsid w:val="00652705"/>
    <w:rsid w:val="00654025"/>
    <w:rsid w:val="00657966"/>
    <w:rsid w:val="00660666"/>
    <w:rsid w:val="00676094"/>
    <w:rsid w:val="006848D8"/>
    <w:rsid w:val="0069449F"/>
    <w:rsid w:val="00696944"/>
    <w:rsid w:val="00696DA2"/>
    <w:rsid w:val="006971B8"/>
    <w:rsid w:val="0069798D"/>
    <w:rsid w:val="006B6BB0"/>
    <w:rsid w:val="006C18E7"/>
    <w:rsid w:val="006E05CE"/>
    <w:rsid w:val="006E6D2D"/>
    <w:rsid w:val="006F47EE"/>
    <w:rsid w:val="00715C3B"/>
    <w:rsid w:val="007203E6"/>
    <w:rsid w:val="00724D27"/>
    <w:rsid w:val="007279F5"/>
    <w:rsid w:val="007312E2"/>
    <w:rsid w:val="007314FA"/>
    <w:rsid w:val="00740F4E"/>
    <w:rsid w:val="007442A2"/>
    <w:rsid w:val="007567A7"/>
    <w:rsid w:val="00757551"/>
    <w:rsid w:val="007637E4"/>
    <w:rsid w:val="00774E3D"/>
    <w:rsid w:val="00776A9D"/>
    <w:rsid w:val="007919D2"/>
    <w:rsid w:val="00795F2F"/>
    <w:rsid w:val="007A35C4"/>
    <w:rsid w:val="007A5A93"/>
    <w:rsid w:val="007C0A43"/>
    <w:rsid w:val="007D6814"/>
    <w:rsid w:val="007E52F6"/>
    <w:rsid w:val="007E7BF6"/>
    <w:rsid w:val="007F0E22"/>
    <w:rsid w:val="007F15D3"/>
    <w:rsid w:val="007F1D3F"/>
    <w:rsid w:val="007F2ED8"/>
    <w:rsid w:val="00823533"/>
    <w:rsid w:val="00826F0F"/>
    <w:rsid w:val="00852D8B"/>
    <w:rsid w:val="00855820"/>
    <w:rsid w:val="00861E60"/>
    <w:rsid w:val="00864501"/>
    <w:rsid w:val="00867650"/>
    <w:rsid w:val="00883E8C"/>
    <w:rsid w:val="00884C81"/>
    <w:rsid w:val="0088576C"/>
    <w:rsid w:val="00891AC0"/>
    <w:rsid w:val="008934E0"/>
    <w:rsid w:val="008A235F"/>
    <w:rsid w:val="008A34D7"/>
    <w:rsid w:val="008A7493"/>
    <w:rsid w:val="008C5A44"/>
    <w:rsid w:val="008D077A"/>
    <w:rsid w:val="008D1FCE"/>
    <w:rsid w:val="008F5C2D"/>
    <w:rsid w:val="00913AEF"/>
    <w:rsid w:val="00920875"/>
    <w:rsid w:val="009319B4"/>
    <w:rsid w:val="00946B6E"/>
    <w:rsid w:val="009620F7"/>
    <w:rsid w:val="00963336"/>
    <w:rsid w:val="0097087A"/>
    <w:rsid w:val="00971C01"/>
    <w:rsid w:val="00980D1E"/>
    <w:rsid w:val="00981813"/>
    <w:rsid w:val="009858BB"/>
    <w:rsid w:val="009876A3"/>
    <w:rsid w:val="0099375D"/>
    <w:rsid w:val="009952F1"/>
    <w:rsid w:val="00996B20"/>
    <w:rsid w:val="009A20A8"/>
    <w:rsid w:val="009A2A3E"/>
    <w:rsid w:val="009A368C"/>
    <w:rsid w:val="009A6D2F"/>
    <w:rsid w:val="009B045A"/>
    <w:rsid w:val="009B47FB"/>
    <w:rsid w:val="009D13FA"/>
    <w:rsid w:val="009E1E00"/>
    <w:rsid w:val="009E34F4"/>
    <w:rsid w:val="009E67DA"/>
    <w:rsid w:val="009F4C4F"/>
    <w:rsid w:val="009F7DD8"/>
    <w:rsid w:val="00A1432D"/>
    <w:rsid w:val="00A161BE"/>
    <w:rsid w:val="00A2647F"/>
    <w:rsid w:val="00A32DF0"/>
    <w:rsid w:val="00A35E74"/>
    <w:rsid w:val="00A40C11"/>
    <w:rsid w:val="00A44CF4"/>
    <w:rsid w:val="00A46E03"/>
    <w:rsid w:val="00A52FE4"/>
    <w:rsid w:val="00A54789"/>
    <w:rsid w:val="00A74025"/>
    <w:rsid w:val="00A83FF6"/>
    <w:rsid w:val="00A91E81"/>
    <w:rsid w:val="00A92DBF"/>
    <w:rsid w:val="00AA5404"/>
    <w:rsid w:val="00AA62C6"/>
    <w:rsid w:val="00AA7390"/>
    <w:rsid w:val="00AB257A"/>
    <w:rsid w:val="00AB4988"/>
    <w:rsid w:val="00AC4570"/>
    <w:rsid w:val="00AC71A4"/>
    <w:rsid w:val="00AC7632"/>
    <w:rsid w:val="00AD14D1"/>
    <w:rsid w:val="00AD2CE1"/>
    <w:rsid w:val="00AD554F"/>
    <w:rsid w:val="00AE2BED"/>
    <w:rsid w:val="00AE6C6B"/>
    <w:rsid w:val="00AF087B"/>
    <w:rsid w:val="00AF59CC"/>
    <w:rsid w:val="00B2209A"/>
    <w:rsid w:val="00B23A8A"/>
    <w:rsid w:val="00B269C6"/>
    <w:rsid w:val="00B37B8C"/>
    <w:rsid w:val="00B416AF"/>
    <w:rsid w:val="00B45391"/>
    <w:rsid w:val="00B505E3"/>
    <w:rsid w:val="00B61E65"/>
    <w:rsid w:val="00B64EC8"/>
    <w:rsid w:val="00B67064"/>
    <w:rsid w:val="00B71389"/>
    <w:rsid w:val="00B72378"/>
    <w:rsid w:val="00B74460"/>
    <w:rsid w:val="00B753DC"/>
    <w:rsid w:val="00B90482"/>
    <w:rsid w:val="00B92B90"/>
    <w:rsid w:val="00B92EA1"/>
    <w:rsid w:val="00B97F61"/>
    <w:rsid w:val="00BA376C"/>
    <w:rsid w:val="00BA4CEF"/>
    <w:rsid w:val="00BD5D39"/>
    <w:rsid w:val="00BD772F"/>
    <w:rsid w:val="00BE20F5"/>
    <w:rsid w:val="00BE24F9"/>
    <w:rsid w:val="00BF3C3E"/>
    <w:rsid w:val="00BF512D"/>
    <w:rsid w:val="00C070B5"/>
    <w:rsid w:val="00C1076F"/>
    <w:rsid w:val="00C216BE"/>
    <w:rsid w:val="00C22244"/>
    <w:rsid w:val="00C27736"/>
    <w:rsid w:val="00C32BCA"/>
    <w:rsid w:val="00C358A6"/>
    <w:rsid w:val="00C41EEC"/>
    <w:rsid w:val="00C42DD5"/>
    <w:rsid w:val="00C53656"/>
    <w:rsid w:val="00C62D87"/>
    <w:rsid w:val="00C6454B"/>
    <w:rsid w:val="00C6530B"/>
    <w:rsid w:val="00C90551"/>
    <w:rsid w:val="00C93323"/>
    <w:rsid w:val="00C938EA"/>
    <w:rsid w:val="00C962EA"/>
    <w:rsid w:val="00CA7FB9"/>
    <w:rsid w:val="00CB39EC"/>
    <w:rsid w:val="00CB75E7"/>
    <w:rsid w:val="00CC4036"/>
    <w:rsid w:val="00CD0365"/>
    <w:rsid w:val="00CD0F05"/>
    <w:rsid w:val="00CE2C31"/>
    <w:rsid w:val="00CE401B"/>
    <w:rsid w:val="00CF0228"/>
    <w:rsid w:val="00CF523F"/>
    <w:rsid w:val="00D01455"/>
    <w:rsid w:val="00D12CC5"/>
    <w:rsid w:val="00D32AA9"/>
    <w:rsid w:val="00D3366A"/>
    <w:rsid w:val="00D42F05"/>
    <w:rsid w:val="00D452BC"/>
    <w:rsid w:val="00D52846"/>
    <w:rsid w:val="00D64020"/>
    <w:rsid w:val="00D7085E"/>
    <w:rsid w:val="00D71102"/>
    <w:rsid w:val="00D73E07"/>
    <w:rsid w:val="00D85719"/>
    <w:rsid w:val="00D86832"/>
    <w:rsid w:val="00D87F8E"/>
    <w:rsid w:val="00D93952"/>
    <w:rsid w:val="00DB12D5"/>
    <w:rsid w:val="00DB3E79"/>
    <w:rsid w:val="00DB428F"/>
    <w:rsid w:val="00DB5ED6"/>
    <w:rsid w:val="00DC12A5"/>
    <w:rsid w:val="00DD6EFD"/>
    <w:rsid w:val="00DE2B2A"/>
    <w:rsid w:val="00DE3CF0"/>
    <w:rsid w:val="00DF2A90"/>
    <w:rsid w:val="00E0028C"/>
    <w:rsid w:val="00E02E05"/>
    <w:rsid w:val="00E03C39"/>
    <w:rsid w:val="00E10D4F"/>
    <w:rsid w:val="00E42506"/>
    <w:rsid w:val="00E4321D"/>
    <w:rsid w:val="00E4417B"/>
    <w:rsid w:val="00E578E5"/>
    <w:rsid w:val="00E63159"/>
    <w:rsid w:val="00E7789F"/>
    <w:rsid w:val="00EA30EB"/>
    <w:rsid w:val="00EB50F1"/>
    <w:rsid w:val="00EC5E50"/>
    <w:rsid w:val="00ED1074"/>
    <w:rsid w:val="00EE6EFB"/>
    <w:rsid w:val="00EF0DD0"/>
    <w:rsid w:val="00EF49C5"/>
    <w:rsid w:val="00EF6AF3"/>
    <w:rsid w:val="00F1338B"/>
    <w:rsid w:val="00F15161"/>
    <w:rsid w:val="00F17B49"/>
    <w:rsid w:val="00F25679"/>
    <w:rsid w:val="00F25F61"/>
    <w:rsid w:val="00F31D6D"/>
    <w:rsid w:val="00F365EA"/>
    <w:rsid w:val="00F44608"/>
    <w:rsid w:val="00F44E2B"/>
    <w:rsid w:val="00F6427E"/>
    <w:rsid w:val="00F730E0"/>
    <w:rsid w:val="00F83528"/>
    <w:rsid w:val="00F83887"/>
    <w:rsid w:val="00F95385"/>
    <w:rsid w:val="00F96BA7"/>
    <w:rsid w:val="00FA71F4"/>
    <w:rsid w:val="00FB64D6"/>
    <w:rsid w:val="00FB7918"/>
    <w:rsid w:val="00FC2EE1"/>
    <w:rsid w:val="00FC4ECA"/>
    <w:rsid w:val="00FD5631"/>
    <w:rsid w:val="00FE5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C965"/>
  <w15:chartTrackingRefBased/>
  <w15:docId w15:val="{1F49F1CC-28E8-D74C-A4D6-9C29F0B4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AEF"/>
  </w:style>
  <w:style w:type="paragraph" w:styleId="Heading1">
    <w:name w:val="heading 1"/>
    <w:basedOn w:val="Normal"/>
    <w:next w:val="Normal"/>
    <w:link w:val="Heading1Char"/>
    <w:uiPriority w:val="9"/>
    <w:qFormat/>
    <w:rsid w:val="00231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1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1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B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B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B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B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1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1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B1E"/>
    <w:rPr>
      <w:rFonts w:eastAsiaTheme="majorEastAsia" w:cstheme="majorBidi"/>
      <w:color w:val="272727" w:themeColor="text1" w:themeTint="D8"/>
    </w:rPr>
  </w:style>
  <w:style w:type="paragraph" w:styleId="Title">
    <w:name w:val="Title"/>
    <w:basedOn w:val="Normal"/>
    <w:next w:val="Normal"/>
    <w:link w:val="TitleChar"/>
    <w:uiPriority w:val="10"/>
    <w:qFormat/>
    <w:rsid w:val="00231B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B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B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1B1E"/>
    <w:rPr>
      <w:i/>
      <w:iCs/>
      <w:color w:val="404040" w:themeColor="text1" w:themeTint="BF"/>
    </w:rPr>
  </w:style>
  <w:style w:type="paragraph" w:styleId="ListParagraph">
    <w:name w:val="List Paragraph"/>
    <w:basedOn w:val="Normal"/>
    <w:uiPriority w:val="34"/>
    <w:qFormat/>
    <w:rsid w:val="00231B1E"/>
    <w:pPr>
      <w:ind w:left="720"/>
      <w:contextualSpacing/>
    </w:pPr>
  </w:style>
  <w:style w:type="character" w:styleId="IntenseEmphasis">
    <w:name w:val="Intense Emphasis"/>
    <w:basedOn w:val="DefaultParagraphFont"/>
    <w:uiPriority w:val="21"/>
    <w:qFormat/>
    <w:rsid w:val="00231B1E"/>
    <w:rPr>
      <w:i/>
      <w:iCs/>
      <w:color w:val="0F4761" w:themeColor="accent1" w:themeShade="BF"/>
    </w:rPr>
  </w:style>
  <w:style w:type="paragraph" w:styleId="IntenseQuote">
    <w:name w:val="Intense Quote"/>
    <w:basedOn w:val="Normal"/>
    <w:next w:val="Normal"/>
    <w:link w:val="IntenseQuoteChar"/>
    <w:uiPriority w:val="30"/>
    <w:qFormat/>
    <w:rsid w:val="00231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B1E"/>
    <w:rPr>
      <w:i/>
      <w:iCs/>
      <w:color w:val="0F4761" w:themeColor="accent1" w:themeShade="BF"/>
    </w:rPr>
  </w:style>
  <w:style w:type="character" w:styleId="IntenseReference">
    <w:name w:val="Intense Reference"/>
    <w:basedOn w:val="DefaultParagraphFont"/>
    <w:uiPriority w:val="32"/>
    <w:qFormat/>
    <w:rsid w:val="00231B1E"/>
    <w:rPr>
      <w:b/>
      <w:bCs/>
      <w:smallCaps/>
      <w:color w:val="0F4761" w:themeColor="accent1" w:themeShade="BF"/>
      <w:spacing w:val="5"/>
    </w:rPr>
  </w:style>
  <w:style w:type="character" w:styleId="CommentReference">
    <w:name w:val="annotation reference"/>
    <w:basedOn w:val="DefaultParagraphFont"/>
    <w:uiPriority w:val="99"/>
    <w:semiHidden/>
    <w:unhideWhenUsed/>
    <w:rsid w:val="00776A9D"/>
    <w:rPr>
      <w:sz w:val="16"/>
      <w:szCs w:val="16"/>
    </w:rPr>
  </w:style>
  <w:style w:type="paragraph" w:styleId="CommentText">
    <w:name w:val="annotation text"/>
    <w:basedOn w:val="Normal"/>
    <w:link w:val="CommentTextChar"/>
    <w:uiPriority w:val="99"/>
    <w:semiHidden/>
    <w:unhideWhenUsed/>
    <w:rsid w:val="00776A9D"/>
    <w:rPr>
      <w:sz w:val="20"/>
      <w:szCs w:val="20"/>
    </w:rPr>
  </w:style>
  <w:style w:type="character" w:customStyle="1" w:styleId="CommentTextChar">
    <w:name w:val="Comment Text Char"/>
    <w:basedOn w:val="DefaultParagraphFont"/>
    <w:link w:val="CommentText"/>
    <w:uiPriority w:val="99"/>
    <w:semiHidden/>
    <w:rsid w:val="00776A9D"/>
    <w:rPr>
      <w:sz w:val="20"/>
      <w:szCs w:val="20"/>
    </w:rPr>
  </w:style>
  <w:style w:type="paragraph" w:styleId="CommentSubject">
    <w:name w:val="annotation subject"/>
    <w:basedOn w:val="CommentText"/>
    <w:next w:val="CommentText"/>
    <w:link w:val="CommentSubjectChar"/>
    <w:uiPriority w:val="99"/>
    <w:semiHidden/>
    <w:unhideWhenUsed/>
    <w:rsid w:val="00776A9D"/>
    <w:rPr>
      <w:b/>
      <w:bCs/>
    </w:rPr>
  </w:style>
  <w:style w:type="character" w:customStyle="1" w:styleId="CommentSubjectChar">
    <w:name w:val="Comment Subject Char"/>
    <w:basedOn w:val="CommentTextChar"/>
    <w:link w:val="CommentSubject"/>
    <w:uiPriority w:val="99"/>
    <w:semiHidden/>
    <w:rsid w:val="00776A9D"/>
    <w:rPr>
      <w:b/>
      <w:bCs/>
      <w:sz w:val="20"/>
      <w:szCs w:val="20"/>
    </w:rPr>
  </w:style>
  <w:style w:type="paragraph" w:styleId="NormalWeb">
    <w:name w:val="Normal (Web)"/>
    <w:basedOn w:val="Normal"/>
    <w:uiPriority w:val="99"/>
    <w:semiHidden/>
    <w:unhideWhenUsed/>
    <w:rsid w:val="005F7E93"/>
    <w:rPr>
      <w:rFonts w:ascii="Times New Roman" w:hAnsi="Times New Roman" w:cs="Times New Roman"/>
    </w:rPr>
  </w:style>
  <w:style w:type="paragraph" w:styleId="Footer">
    <w:name w:val="footer"/>
    <w:basedOn w:val="Normal"/>
    <w:link w:val="FooterChar"/>
    <w:uiPriority w:val="99"/>
    <w:unhideWhenUsed/>
    <w:rsid w:val="007A5A93"/>
    <w:pPr>
      <w:tabs>
        <w:tab w:val="center" w:pos="4513"/>
        <w:tab w:val="right" w:pos="9026"/>
      </w:tabs>
    </w:pPr>
  </w:style>
  <w:style w:type="character" w:customStyle="1" w:styleId="FooterChar">
    <w:name w:val="Footer Char"/>
    <w:basedOn w:val="DefaultParagraphFont"/>
    <w:link w:val="Footer"/>
    <w:uiPriority w:val="99"/>
    <w:rsid w:val="007A5A93"/>
  </w:style>
  <w:style w:type="character" w:styleId="PageNumber">
    <w:name w:val="page number"/>
    <w:basedOn w:val="DefaultParagraphFont"/>
    <w:uiPriority w:val="99"/>
    <w:semiHidden/>
    <w:unhideWhenUsed/>
    <w:rsid w:val="007A5A93"/>
  </w:style>
  <w:style w:type="paragraph" w:customStyle="1" w:styleId="HeadingTOC">
    <w:name w:val="Heading TOC"/>
    <w:basedOn w:val="Normal"/>
    <w:qFormat/>
    <w:rsid w:val="002E35CC"/>
    <w:pPr>
      <w:jc w:val="both"/>
    </w:pPr>
    <w:rPr>
      <w:rFonts w:ascii="Calibri" w:hAnsi="Calibri" w:cs="Calibri"/>
      <w:b/>
      <w:bCs/>
      <w:i/>
      <w:iCs/>
      <w:noProof/>
    </w:rPr>
  </w:style>
  <w:style w:type="paragraph" w:customStyle="1" w:styleId="SubheadingTOC">
    <w:name w:val="Subheading TOC"/>
    <w:basedOn w:val="Normal"/>
    <w:qFormat/>
    <w:rsid w:val="002E35CC"/>
    <w:pPr>
      <w:spacing w:after="240"/>
      <w:jc w:val="both"/>
    </w:pPr>
    <w:rPr>
      <w:rFonts w:ascii="Calibri" w:hAnsi="Calibri" w:cs="Calibri"/>
      <w:i/>
      <w:iCs/>
      <w:sz w:val="22"/>
      <w:szCs w:val="22"/>
    </w:rPr>
  </w:style>
  <w:style w:type="paragraph" w:customStyle="1" w:styleId="FiguresandTablesTOC">
    <w:name w:val="Figures and Tables TOC"/>
    <w:basedOn w:val="Normal"/>
    <w:qFormat/>
    <w:rsid w:val="002E35CC"/>
    <w:pPr>
      <w:jc w:val="center"/>
    </w:pPr>
    <w:rPr>
      <w:rFonts w:ascii="Calibri" w:hAnsi="Calibri" w:cs="Calibri"/>
      <w:b/>
      <w:bCs/>
      <w:i/>
      <w:iCs/>
      <w:noProof/>
      <w:sz w:val="20"/>
      <w:szCs w:val="20"/>
    </w:rPr>
  </w:style>
  <w:style w:type="paragraph" w:styleId="TOCHeading">
    <w:name w:val="TOC Heading"/>
    <w:basedOn w:val="Heading1"/>
    <w:next w:val="Normal"/>
    <w:uiPriority w:val="39"/>
    <w:unhideWhenUsed/>
    <w:qFormat/>
    <w:rsid w:val="006F47EE"/>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5D32E5"/>
    <w:pPr>
      <w:tabs>
        <w:tab w:val="right" w:pos="9016"/>
      </w:tabs>
      <w:spacing w:before="360"/>
    </w:pPr>
    <w:rPr>
      <w:rFonts w:ascii="Calibri Light" w:hAnsi="Calibri Light" w:cs="Calibri Light"/>
      <w:b/>
      <w:bCs/>
      <w:caps/>
      <w:noProof/>
    </w:rPr>
  </w:style>
  <w:style w:type="paragraph" w:styleId="TOC2">
    <w:name w:val="toc 2"/>
    <w:basedOn w:val="Normal"/>
    <w:next w:val="Normal"/>
    <w:autoRedefine/>
    <w:uiPriority w:val="39"/>
    <w:unhideWhenUsed/>
    <w:rsid w:val="001C6588"/>
    <w:pPr>
      <w:tabs>
        <w:tab w:val="right" w:pos="9016"/>
      </w:tabs>
      <w:spacing w:before="240"/>
    </w:pPr>
    <w:rPr>
      <w:rFonts w:ascii="Calibri Light" w:hAnsi="Calibri Light" w:cs="Calibri Light"/>
      <w:i/>
      <w:iCs/>
      <w:noProof/>
      <w:sz w:val="21"/>
      <w:szCs w:val="21"/>
    </w:rPr>
  </w:style>
  <w:style w:type="paragraph" w:styleId="TOC3">
    <w:name w:val="toc 3"/>
    <w:basedOn w:val="Normal"/>
    <w:next w:val="Normal"/>
    <w:autoRedefine/>
    <w:uiPriority w:val="39"/>
    <w:unhideWhenUsed/>
    <w:rsid w:val="0064128B"/>
    <w:pPr>
      <w:tabs>
        <w:tab w:val="right" w:pos="9016"/>
      </w:tabs>
      <w:ind w:left="240"/>
    </w:pPr>
    <w:rPr>
      <w:rFonts w:ascii="Calibri" w:hAnsi="Calibri" w:cs="Calibri"/>
      <w:noProof/>
      <w:sz w:val="20"/>
      <w:szCs w:val="20"/>
    </w:rPr>
  </w:style>
  <w:style w:type="paragraph" w:styleId="TOC4">
    <w:name w:val="toc 4"/>
    <w:basedOn w:val="Normal"/>
    <w:next w:val="Normal"/>
    <w:autoRedefine/>
    <w:uiPriority w:val="39"/>
    <w:unhideWhenUsed/>
    <w:rsid w:val="006F47EE"/>
    <w:pPr>
      <w:ind w:left="480"/>
    </w:pPr>
    <w:rPr>
      <w:sz w:val="20"/>
      <w:szCs w:val="20"/>
    </w:rPr>
  </w:style>
  <w:style w:type="paragraph" w:styleId="TOC5">
    <w:name w:val="toc 5"/>
    <w:basedOn w:val="Normal"/>
    <w:next w:val="Normal"/>
    <w:autoRedefine/>
    <w:uiPriority w:val="39"/>
    <w:unhideWhenUsed/>
    <w:rsid w:val="006F47EE"/>
    <w:pPr>
      <w:ind w:left="720"/>
    </w:pPr>
    <w:rPr>
      <w:sz w:val="20"/>
      <w:szCs w:val="20"/>
    </w:rPr>
  </w:style>
  <w:style w:type="paragraph" w:styleId="TOC6">
    <w:name w:val="toc 6"/>
    <w:basedOn w:val="Normal"/>
    <w:next w:val="Normal"/>
    <w:autoRedefine/>
    <w:uiPriority w:val="39"/>
    <w:unhideWhenUsed/>
    <w:rsid w:val="006F47EE"/>
    <w:pPr>
      <w:ind w:left="960"/>
    </w:pPr>
    <w:rPr>
      <w:sz w:val="20"/>
      <w:szCs w:val="20"/>
    </w:rPr>
  </w:style>
  <w:style w:type="paragraph" w:styleId="TOC7">
    <w:name w:val="toc 7"/>
    <w:basedOn w:val="Normal"/>
    <w:next w:val="Normal"/>
    <w:autoRedefine/>
    <w:uiPriority w:val="39"/>
    <w:unhideWhenUsed/>
    <w:rsid w:val="006F47EE"/>
    <w:pPr>
      <w:ind w:left="1200"/>
    </w:pPr>
    <w:rPr>
      <w:sz w:val="20"/>
      <w:szCs w:val="20"/>
    </w:rPr>
  </w:style>
  <w:style w:type="paragraph" w:styleId="TOC8">
    <w:name w:val="toc 8"/>
    <w:basedOn w:val="Normal"/>
    <w:next w:val="Normal"/>
    <w:autoRedefine/>
    <w:uiPriority w:val="39"/>
    <w:unhideWhenUsed/>
    <w:rsid w:val="006F47EE"/>
    <w:pPr>
      <w:ind w:left="1440"/>
    </w:pPr>
    <w:rPr>
      <w:sz w:val="20"/>
      <w:szCs w:val="20"/>
    </w:rPr>
  </w:style>
  <w:style w:type="paragraph" w:styleId="TOC9">
    <w:name w:val="toc 9"/>
    <w:basedOn w:val="Normal"/>
    <w:next w:val="Normal"/>
    <w:autoRedefine/>
    <w:uiPriority w:val="39"/>
    <w:unhideWhenUsed/>
    <w:rsid w:val="006F47EE"/>
    <w:pPr>
      <w:ind w:left="1680"/>
    </w:pPr>
    <w:rPr>
      <w:sz w:val="20"/>
      <w:szCs w:val="20"/>
    </w:rPr>
  </w:style>
  <w:style w:type="character" w:styleId="Hyperlink">
    <w:name w:val="Hyperlink"/>
    <w:basedOn w:val="DefaultParagraphFont"/>
    <w:uiPriority w:val="99"/>
    <w:unhideWhenUsed/>
    <w:rsid w:val="006F47EE"/>
    <w:rPr>
      <w:color w:val="467886" w:themeColor="hyperlink"/>
      <w:u w:val="single"/>
    </w:rPr>
  </w:style>
  <w:style w:type="table" w:styleId="GridTable1Light">
    <w:name w:val="Grid Table 1 Light"/>
    <w:basedOn w:val="TableNormal"/>
    <w:uiPriority w:val="46"/>
    <w:rsid w:val="002F4F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E7BF6"/>
    <w:pPr>
      <w:tabs>
        <w:tab w:val="center" w:pos="4513"/>
        <w:tab w:val="right" w:pos="9026"/>
      </w:tabs>
    </w:pPr>
  </w:style>
  <w:style w:type="character" w:customStyle="1" w:styleId="HeaderChar">
    <w:name w:val="Header Char"/>
    <w:basedOn w:val="DefaultParagraphFont"/>
    <w:link w:val="Header"/>
    <w:uiPriority w:val="99"/>
    <w:rsid w:val="007E7BF6"/>
  </w:style>
  <w:style w:type="paragraph" w:styleId="BalloonText">
    <w:name w:val="Balloon Text"/>
    <w:basedOn w:val="Normal"/>
    <w:link w:val="BalloonTextChar"/>
    <w:uiPriority w:val="99"/>
    <w:semiHidden/>
    <w:unhideWhenUsed/>
    <w:rsid w:val="006337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3747"/>
    <w:rPr>
      <w:rFonts w:ascii="Times New Roman" w:hAnsi="Times New Roman" w:cs="Times New Roman"/>
      <w:sz w:val="18"/>
      <w:szCs w:val="18"/>
    </w:rPr>
  </w:style>
  <w:style w:type="paragraph" w:styleId="Revision">
    <w:name w:val="Revision"/>
    <w:hidden/>
    <w:uiPriority w:val="99"/>
    <w:semiHidden/>
    <w:rsid w:val="00CD0F05"/>
  </w:style>
  <w:style w:type="table" w:styleId="TableGrid">
    <w:name w:val="Table Grid"/>
    <w:basedOn w:val="TableNormal"/>
    <w:uiPriority w:val="39"/>
    <w:rsid w:val="00B92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5487">
      <w:bodyDiv w:val="1"/>
      <w:marLeft w:val="0"/>
      <w:marRight w:val="0"/>
      <w:marTop w:val="0"/>
      <w:marBottom w:val="0"/>
      <w:divBdr>
        <w:top w:val="none" w:sz="0" w:space="0" w:color="auto"/>
        <w:left w:val="none" w:sz="0" w:space="0" w:color="auto"/>
        <w:bottom w:val="none" w:sz="0" w:space="0" w:color="auto"/>
        <w:right w:val="none" w:sz="0" w:space="0" w:color="auto"/>
      </w:divBdr>
    </w:div>
    <w:div w:id="51581952">
      <w:bodyDiv w:val="1"/>
      <w:marLeft w:val="0"/>
      <w:marRight w:val="0"/>
      <w:marTop w:val="0"/>
      <w:marBottom w:val="0"/>
      <w:divBdr>
        <w:top w:val="none" w:sz="0" w:space="0" w:color="auto"/>
        <w:left w:val="none" w:sz="0" w:space="0" w:color="auto"/>
        <w:bottom w:val="none" w:sz="0" w:space="0" w:color="auto"/>
        <w:right w:val="none" w:sz="0" w:space="0" w:color="auto"/>
      </w:divBdr>
    </w:div>
    <w:div w:id="76831724">
      <w:bodyDiv w:val="1"/>
      <w:marLeft w:val="0"/>
      <w:marRight w:val="0"/>
      <w:marTop w:val="0"/>
      <w:marBottom w:val="0"/>
      <w:divBdr>
        <w:top w:val="none" w:sz="0" w:space="0" w:color="auto"/>
        <w:left w:val="none" w:sz="0" w:space="0" w:color="auto"/>
        <w:bottom w:val="none" w:sz="0" w:space="0" w:color="auto"/>
        <w:right w:val="none" w:sz="0" w:space="0" w:color="auto"/>
      </w:divBdr>
    </w:div>
    <w:div w:id="102384762">
      <w:bodyDiv w:val="1"/>
      <w:marLeft w:val="0"/>
      <w:marRight w:val="0"/>
      <w:marTop w:val="0"/>
      <w:marBottom w:val="0"/>
      <w:divBdr>
        <w:top w:val="none" w:sz="0" w:space="0" w:color="auto"/>
        <w:left w:val="none" w:sz="0" w:space="0" w:color="auto"/>
        <w:bottom w:val="none" w:sz="0" w:space="0" w:color="auto"/>
        <w:right w:val="none" w:sz="0" w:space="0" w:color="auto"/>
      </w:divBdr>
    </w:div>
    <w:div w:id="167260094">
      <w:bodyDiv w:val="1"/>
      <w:marLeft w:val="0"/>
      <w:marRight w:val="0"/>
      <w:marTop w:val="0"/>
      <w:marBottom w:val="0"/>
      <w:divBdr>
        <w:top w:val="none" w:sz="0" w:space="0" w:color="auto"/>
        <w:left w:val="none" w:sz="0" w:space="0" w:color="auto"/>
        <w:bottom w:val="none" w:sz="0" w:space="0" w:color="auto"/>
        <w:right w:val="none" w:sz="0" w:space="0" w:color="auto"/>
      </w:divBdr>
    </w:div>
    <w:div w:id="222058070">
      <w:bodyDiv w:val="1"/>
      <w:marLeft w:val="0"/>
      <w:marRight w:val="0"/>
      <w:marTop w:val="0"/>
      <w:marBottom w:val="0"/>
      <w:divBdr>
        <w:top w:val="none" w:sz="0" w:space="0" w:color="auto"/>
        <w:left w:val="none" w:sz="0" w:space="0" w:color="auto"/>
        <w:bottom w:val="none" w:sz="0" w:space="0" w:color="auto"/>
        <w:right w:val="none" w:sz="0" w:space="0" w:color="auto"/>
      </w:divBdr>
    </w:div>
    <w:div w:id="224726927">
      <w:bodyDiv w:val="1"/>
      <w:marLeft w:val="0"/>
      <w:marRight w:val="0"/>
      <w:marTop w:val="0"/>
      <w:marBottom w:val="0"/>
      <w:divBdr>
        <w:top w:val="none" w:sz="0" w:space="0" w:color="auto"/>
        <w:left w:val="none" w:sz="0" w:space="0" w:color="auto"/>
        <w:bottom w:val="none" w:sz="0" w:space="0" w:color="auto"/>
        <w:right w:val="none" w:sz="0" w:space="0" w:color="auto"/>
      </w:divBdr>
    </w:div>
    <w:div w:id="442458342">
      <w:bodyDiv w:val="1"/>
      <w:marLeft w:val="0"/>
      <w:marRight w:val="0"/>
      <w:marTop w:val="0"/>
      <w:marBottom w:val="0"/>
      <w:divBdr>
        <w:top w:val="none" w:sz="0" w:space="0" w:color="auto"/>
        <w:left w:val="none" w:sz="0" w:space="0" w:color="auto"/>
        <w:bottom w:val="none" w:sz="0" w:space="0" w:color="auto"/>
        <w:right w:val="none" w:sz="0" w:space="0" w:color="auto"/>
      </w:divBdr>
      <w:divsChild>
        <w:div w:id="240993265">
          <w:marLeft w:val="0"/>
          <w:marRight w:val="0"/>
          <w:marTop w:val="0"/>
          <w:marBottom w:val="0"/>
          <w:divBdr>
            <w:top w:val="none" w:sz="0" w:space="0" w:color="auto"/>
            <w:left w:val="none" w:sz="0" w:space="0" w:color="auto"/>
            <w:bottom w:val="none" w:sz="0" w:space="0" w:color="auto"/>
            <w:right w:val="none" w:sz="0" w:space="0" w:color="auto"/>
          </w:divBdr>
          <w:divsChild>
            <w:div w:id="1265721645">
              <w:marLeft w:val="0"/>
              <w:marRight w:val="0"/>
              <w:marTop w:val="0"/>
              <w:marBottom w:val="0"/>
              <w:divBdr>
                <w:top w:val="none" w:sz="0" w:space="0" w:color="auto"/>
                <w:left w:val="none" w:sz="0" w:space="0" w:color="auto"/>
                <w:bottom w:val="none" w:sz="0" w:space="0" w:color="auto"/>
                <w:right w:val="none" w:sz="0" w:space="0" w:color="auto"/>
              </w:divBdr>
              <w:divsChild>
                <w:div w:id="338774390">
                  <w:marLeft w:val="0"/>
                  <w:marRight w:val="0"/>
                  <w:marTop w:val="0"/>
                  <w:marBottom w:val="0"/>
                  <w:divBdr>
                    <w:top w:val="none" w:sz="0" w:space="0" w:color="auto"/>
                    <w:left w:val="none" w:sz="0" w:space="0" w:color="auto"/>
                    <w:bottom w:val="none" w:sz="0" w:space="0" w:color="auto"/>
                    <w:right w:val="none" w:sz="0" w:space="0" w:color="auto"/>
                  </w:divBdr>
                  <w:divsChild>
                    <w:div w:id="1473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441611">
      <w:bodyDiv w:val="1"/>
      <w:marLeft w:val="0"/>
      <w:marRight w:val="0"/>
      <w:marTop w:val="0"/>
      <w:marBottom w:val="0"/>
      <w:divBdr>
        <w:top w:val="none" w:sz="0" w:space="0" w:color="auto"/>
        <w:left w:val="none" w:sz="0" w:space="0" w:color="auto"/>
        <w:bottom w:val="none" w:sz="0" w:space="0" w:color="auto"/>
        <w:right w:val="none" w:sz="0" w:space="0" w:color="auto"/>
      </w:divBdr>
    </w:div>
    <w:div w:id="488403327">
      <w:bodyDiv w:val="1"/>
      <w:marLeft w:val="0"/>
      <w:marRight w:val="0"/>
      <w:marTop w:val="0"/>
      <w:marBottom w:val="0"/>
      <w:divBdr>
        <w:top w:val="none" w:sz="0" w:space="0" w:color="auto"/>
        <w:left w:val="none" w:sz="0" w:space="0" w:color="auto"/>
        <w:bottom w:val="none" w:sz="0" w:space="0" w:color="auto"/>
        <w:right w:val="none" w:sz="0" w:space="0" w:color="auto"/>
      </w:divBdr>
    </w:div>
    <w:div w:id="520511779">
      <w:bodyDiv w:val="1"/>
      <w:marLeft w:val="0"/>
      <w:marRight w:val="0"/>
      <w:marTop w:val="0"/>
      <w:marBottom w:val="0"/>
      <w:divBdr>
        <w:top w:val="none" w:sz="0" w:space="0" w:color="auto"/>
        <w:left w:val="none" w:sz="0" w:space="0" w:color="auto"/>
        <w:bottom w:val="none" w:sz="0" w:space="0" w:color="auto"/>
        <w:right w:val="none" w:sz="0" w:space="0" w:color="auto"/>
      </w:divBdr>
      <w:divsChild>
        <w:div w:id="2026202603">
          <w:marLeft w:val="0"/>
          <w:marRight w:val="0"/>
          <w:marTop w:val="0"/>
          <w:marBottom w:val="0"/>
          <w:divBdr>
            <w:top w:val="none" w:sz="0" w:space="0" w:color="auto"/>
            <w:left w:val="none" w:sz="0" w:space="0" w:color="auto"/>
            <w:bottom w:val="none" w:sz="0" w:space="0" w:color="auto"/>
            <w:right w:val="none" w:sz="0" w:space="0" w:color="auto"/>
          </w:divBdr>
          <w:divsChild>
            <w:div w:id="259262257">
              <w:marLeft w:val="0"/>
              <w:marRight w:val="0"/>
              <w:marTop w:val="0"/>
              <w:marBottom w:val="0"/>
              <w:divBdr>
                <w:top w:val="none" w:sz="0" w:space="0" w:color="auto"/>
                <w:left w:val="none" w:sz="0" w:space="0" w:color="auto"/>
                <w:bottom w:val="none" w:sz="0" w:space="0" w:color="auto"/>
                <w:right w:val="none" w:sz="0" w:space="0" w:color="auto"/>
              </w:divBdr>
              <w:divsChild>
                <w:div w:id="342172938">
                  <w:marLeft w:val="0"/>
                  <w:marRight w:val="0"/>
                  <w:marTop w:val="0"/>
                  <w:marBottom w:val="0"/>
                  <w:divBdr>
                    <w:top w:val="none" w:sz="0" w:space="0" w:color="auto"/>
                    <w:left w:val="none" w:sz="0" w:space="0" w:color="auto"/>
                    <w:bottom w:val="none" w:sz="0" w:space="0" w:color="auto"/>
                    <w:right w:val="none" w:sz="0" w:space="0" w:color="auto"/>
                  </w:divBdr>
                  <w:divsChild>
                    <w:div w:id="15045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75327">
      <w:bodyDiv w:val="1"/>
      <w:marLeft w:val="0"/>
      <w:marRight w:val="0"/>
      <w:marTop w:val="0"/>
      <w:marBottom w:val="0"/>
      <w:divBdr>
        <w:top w:val="none" w:sz="0" w:space="0" w:color="auto"/>
        <w:left w:val="none" w:sz="0" w:space="0" w:color="auto"/>
        <w:bottom w:val="none" w:sz="0" w:space="0" w:color="auto"/>
        <w:right w:val="none" w:sz="0" w:space="0" w:color="auto"/>
      </w:divBdr>
    </w:div>
    <w:div w:id="588807350">
      <w:bodyDiv w:val="1"/>
      <w:marLeft w:val="0"/>
      <w:marRight w:val="0"/>
      <w:marTop w:val="0"/>
      <w:marBottom w:val="0"/>
      <w:divBdr>
        <w:top w:val="none" w:sz="0" w:space="0" w:color="auto"/>
        <w:left w:val="none" w:sz="0" w:space="0" w:color="auto"/>
        <w:bottom w:val="none" w:sz="0" w:space="0" w:color="auto"/>
        <w:right w:val="none" w:sz="0" w:space="0" w:color="auto"/>
      </w:divBdr>
    </w:div>
    <w:div w:id="618607059">
      <w:bodyDiv w:val="1"/>
      <w:marLeft w:val="0"/>
      <w:marRight w:val="0"/>
      <w:marTop w:val="0"/>
      <w:marBottom w:val="0"/>
      <w:divBdr>
        <w:top w:val="none" w:sz="0" w:space="0" w:color="auto"/>
        <w:left w:val="none" w:sz="0" w:space="0" w:color="auto"/>
        <w:bottom w:val="none" w:sz="0" w:space="0" w:color="auto"/>
        <w:right w:val="none" w:sz="0" w:space="0" w:color="auto"/>
      </w:divBdr>
    </w:div>
    <w:div w:id="640354444">
      <w:bodyDiv w:val="1"/>
      <w:marLeft w:val="0"/>
      <w:marRight w:val="0"/>
      <w:marTop w:val="0"/>
      <w:marBottom w:val="0"/>
      <w:divBdr>
        <w:top w:val="none" w:sz="0" w:space="0" w:color="auto"/>
        <w:left w:val="none" w:sz="0" w:space="0" w:color="auto"/>
        <w:bottom w:val="none" w:sz="0" w:space="0" w:color="auto"/>
        <w:right w:val="none" w:sz="0" w:space="0" w:color="auto"/>
      </w:divBdr>
    </w:div>
    <w:div w:id="668559235">
      <w:bodyDiv w:val="1"/>
      <w:marLeft w:val="0"/>
      <w:marRight w:val="0"/>
      <w:marTop w:val="0"/>
      <w:marBottom w:val="0"/>
      <w:divBdr>
        <w:top w:val="none" w:sz="0" w:space="0" w:color="auto"/>
        <w:left w:val="none" w:sz="0" w:space="0" w:color="auto"/>
        <w:bottom w:val="none" w:sz="0" w:space="0" w:color="auto"/>
        <w:right w:val="none" w:sz="0" w:space="0" w:color="auto"/>
      </w:divBdr>
    </w:div>
    <w:div w:id="673655427">
      <w:bodyDiv w:val="1"/>
      <w:marLeft w:val="0"/>
      <w:marRight w:val="0"/>
      <w:marTop w:val="0"/>
      <w:marBottom w:val="0"/>
      <w:divBdr>
        <w:top w:val="none" w:sz="0" w:space="0" w:color="auto"/>
        <w:left w:val="none" w:sz="0" w:space="0" w:color="auto"/>
        <w:bottom w:val="none" w:sz="0" w:space="0" w:color="auto"/>
        <w:right w:val="none" w:sz="0" w:space="0" w:color="auto"/>
      </w:divBdr>
    </w:div>
    <w:div w:id="764691173">
      <w:bodyDiv w:val="1"/>
      <w:marLeft w:val="0"/>
      <w:marRight w:val="0"/>
      <w:marTop w:val="0"/>
      <w:marBottom w:val="0"/>
      <w:divBdr>
        <w:top w:val="none" w:sz="0" w:space="0" w:color="auto"/>
        <w:left w:val="none" w:sz="0" w:space="0" w:color="auto"/>
        <w:bottom w:val="none" w:sz="0" w:space="0" w:color="auto"/>
        <w:right w:val="none" w:sz="0" w:space="0" w:color="auto"/>
      </w:divBdr>
    </w:div>
    <w:div w:id="783696292">
      <w:bodyDiv w:val="1"/>
      <w:marLeft w:val="0"/>
      <w:marRight w:val="0"/>
      <w:marTop w:val="0"/>
      <w:marBottom w:val="0"/>
      <w:divBdr>
        <w:top w:val="none" w:sz="0" w:space="0" w:color="auto"/>
        <w:left w:val="none" w:sz="0" w:space="0" w:color="auto"/>
        <w:bottom w:val="none" w:sz="0" w:space="0" w:color="auto"/>
        <w:right w:val="none" w:sz="0" w:space="0" w:color="auto"/>
      </w:divBdr>
    </w:div>
    <w:div w:id="900284502">
      <w:bodyDiv w:val="1"/>
      <w:marLeft w:val="0"/>
      <w:marRight w:val="0"/>
      <w:marTop w:val="0"/>
      <w:marBottom w:val="0"/>
      <w:divBdr>
        <w:top w:val="none" w:sz="0" w:space="0" w:color="auto"/>
        <w:left w:val="none" w:sz="0" w:space="0" w:color="auto"/>
        <w:bottom w:val="none" w:sz="0" w:space="0" w:color="auto"/>
        <w:right w:val="none" w:sz="0" w:space="0" w:color="auto"/>
      </w:divBdr>
    </w:div>
    <w:div w:id="1002514897">
      <w:bodyDiv w:val="1"/>
      <w:marLeft w:val="0"/>
      <w:marRight w:val="0"/>
      <w:marTop w:val="0"/>
      <w:marBottom w:val="0"/>
      <w:divBdr>
        <w:top w:val="none" w:sz="0" w:space="0" w:color="auto"/>
        <w:left w:val="none" w:sz="0" w:space="0" w:color="auto"/>
        <w:bottom w:val="none" w:sz="0" w:space="0" w:color="auto"/>
        <w:right w:val="none" w:sz="0" w:space="0" w:color="auto"/>
      </w:divBdr>
    </w:div>
    <w:div w:id="1033270214">
      <w:bodyDiv w:val="1"/>
      <w:marLeft w:val="0"/>
      <w:marRight w:val="0"/>
      <w:marTop w:val="0"/>
      <w:marBottom w:val="0"/>
      <w:divBdr>
        <w:top w:val="none" w:sz="0" w:space="0" w:color="auto"/>
        <w:left w:val="none" w:sz="0" w:space="0" w:color="auto"/>
        <w:bottom w:val="none" w:sz="0" w:space="0" w:color="auto"/>
        <w:right w:val="none" w:sz="0" w:space="0" w:color="auto"/>
      </w:divBdr>
    </w:div>
    <w:div w:id="1059281934">
      <w:bodyDiv w:val="1"/>
      <w:marLeft w:val="0"/>
      <w:marRight w:val="0"/>
      <w:marTop w:val="0"/>
      <w:marBottom w:val="0"/>
      <w:divBdr>
        <w:top w:val="none" w:sz="0" w:space="0" w:color="auto"/>
        <w:left w:val="none" w:sz="0" w:space="0" w:color="auto"/>
        <w:bottom w:val="none" w:sz="0" w:space="0" w:color="auto"/>
        <w:right w:val="none" w:sz="0" w:space="0" w:color="auto"/>
      </w:divBdr>
    </w:div>
    <w:div w:id="1059943569">
      <w:bodyDiv w:val="1"/>
      <w:marLeft w:val="0"/>
      <w:marRight w:val="0"/>
      <w:marTop w:val="0"/>
      <w:marBottom w:val="0"/>
      <w:divBdr>
        <w:top w:val="none" w:sz="0" w:space="0" w:color="auto"/>
        <w:left w:val="none" w:sz="0" w:space="0" w:color="auto"/>
        <w:bottom w:val="none" w:sz="0" w:space="0" w:color="auto"/>
        <w:right w:val="none" w:sz="0" w:space="0" w:color="auto"/>
      </w:divBdr>
    </w:div>
    <w:div w:id="1077824175">
      <w:bodyDiv w:val="1"/>
      <w:marLeft w:val="0"/>
      <w:marRight w:val="0"/>
      <w:marTop w:val="0"/>
      <w:marBottom w:val="0"/>
      <w:divBdr>
        <w:top w:val="none" w:sz="0" w:space="0" w:color="auto"/>
        <w:left w:val="none" w:sz="0" w:space="0" w:color="auto"/>
        <w:bottom w:val="none" w:sz="0" w:space="0" w:color="auto"/>
        <w:right w:val="none" w:sz="0" w:space="0" w:color="auto"/>
      </w:divBdr>
    </w:div>
    <w:div w:id="1127700206">
      <w:bodyDiv w:val="1"/>
      <w:marLeft w:val="0"/>
      <w:marRight w:val="0"/>
      <w:marTop w:val="0"/>
      <w:marBottom w:val="0"/>
      <w:divBdr>
        <w:top w:val="none" w:sz="0" w:space="0" w:color="auto"/>
        <w:left w:val="none" w:sz="0" w:space="0" w:color="auto"/>
        <w:bottom w:val="none" w:sz="0" w:space="0" w:color="auto"/>
        <w:right w:val="none" w:sz="0" w:space="0" w:color="auto"/>
      </w:divBdr>
    </w:div>
    <w:div w:id="1185362312">
      <w:bodyDiv w:val="1"/>
      <w:marLeft w:val="0"/>
      <w:marRight w:val="0"/>
      <w:marTop w:val="0"/>
      <w:marBottom w:val="0"/>
      <w:divBdr>
        <w:top w:val="none" w:sz="0" w:space="0" w:color="auto"/>
        <w:left w:val="none" w:sz="0" w:space="0" w:color="auto"/>
        <w:bottom w:val="none" w:sz="0" w:space="0" w:color="auto"/>
        <w:right w:val="none" w:sz="0" w:space="0" w:color="auto"/>
      </w:divBdr>
    </w:div>
    <w:div w:id="1185556708">
      <w:bodyDiv w:val="1"/>
      <w:marLeft w:val="0"/>
      <w:marRight w:val="0"/>
      <w:marTop w:val="0"/>
      <w:marBottom w:val="0"/>
      <w:divBdr>
        <w:top w:val="none" w:sz="0" w:space="0" w:color="auto"/>
        <w:left w:val="none" w:sz="0" w:space="0" w:color="auto"/>
        <w:bottom w:val="none" w:sz="0" w:space="0" w:color="auto"/>
        <w:right w:val="none" w:sz="0" w:space="0" w:color="auto"/>
      </w:divBdr>
    </w:div>
    <w:div w:id="1248004859">
      <w:bodyDiv w:val="1"/>
      <w:marLeft w:val="0"/>
      <w:marRight w:val="0"/>
      <w:marTop w:val="0"/>
      <w:marBottom w:val="0"/>
      <w:divBdr>
        <w:top w:val="none" w:sz="0" w:space="0" w:color="auto"/>
        <w:left w:val="none" w:sz="0" w:space="0" w:color="auto"/>
        <w:bottom w:val="none" w:sz="0" w:space="0" w:color="auto"/>
        <w:right w:val="none" w:sz="0" w:space="0" w:color="auto"/>
      </w:divBdr>
    </w:div>
    <w:div w:id="1350838007">
      <w:bodyDiv w:val="1"/>
      <w:marLeft w:val="0"/>
      <w:marRight w:val="0"/>
      <w:marTop w:val="0"/>
      <w:marBottom w:val="0"/>
      <w:divBdr>
        <w:top w:val="none" w:sz="0" w:space="0" w:color="auto"/>
        <w:left w:val="none" w:sz="0" w:space="0" w:color="auto"/>
        <w:bottom w:val="none" w:sz="0" w:space="0" w:color="auto"/>
        <w:right w:val="none" w:sz="0" w:space="0" w:color="auto"/>
      </w:divBdr>
    </w:div>
    <w:div w:id="1427270351">
      <w:bodyDiv w:val="1"/>
      <w:marLeft w:val="0"/>
      <w:marRight w:val="0"/>
      <w:marTop w:val="0"/>
      <w:marBottom w:val="0"/>
      <w:divBdr>
        <w:top w:val="none" w:sz="0" w:space="0" w:color="auto"/>
        <w:left w:val="none" w:sz="0" w:space="0" w:color="auto"/>
        <w:bottom w:val="none" w:sz="0" w:space="0" w:color="auto"/>
        <w:right w:val="none" w:sz="0" w:space="0" w:color="auto"/>
      </w:divBdr>
    </w:div>
    <w:div w:id="1430856324">
      <w:bodyDiv w:val="1"/>
      <w:marLeft w:val="0"/>
      <w:marRight w:val="0"/>
      <w:marTop w:val="0"/>
      <w:marBottom w:val="0"/>
      <w:divBdr>
        <w:top w:val="none" w:sz="0" w:space="0" w:color="auto"/>
        <w:left w:val="none" w:sz="0" w:space="0" w:color="auto"/>
        <w:bottom w:val="none" w:sz="0" w:space="0" w:color="auto"/>
        <w:right w:val="none" w:sz="0" w:space="0" w:color="auto"/>
      </w:divBdr>
    </w:div>
    <w:div w:id="1451438588">
      <w:bodyDiv w:val="1"/>
      <w:marLeft w:val="0"/>
      <w:marRight w:val="0"/>
      <w:marTop w:val="0"/>
      <w:marBottom w:val="0"/>
      <w:divBdr>
        <w:top w:val="none" w:sz="0" w:space="0" w:color="auto"/>
        <w:left w:val="none" w:sz="0" w:space="0" w:color="auto"/>
        <w:bottom w:val="none" w:sz="0" w:space="0" w:color="auto"/>
        <w:right w:val="none" w:sz="0" w:space="0" w:color="auto"/>
      </w:divBdr>
    </w:div>
    <w:div w:id="1499810236">
      <w:bodyDiv w:val="1"/>
      <w:marLeft w:val="0"/>
      <w:marRight w:val="0"/>
      <w:marTop w:val="0"/>
      <w:marBottom w:val="0"/>
      <w:divBdr>
        <w:top w:val="none" w:sz="0" w:space="0" w:color="auto"/>
        <w:left w:val="none" w:sz="0" w:space="0" w:color="auto"/>
        <w:bottom w:val="none" w:sz="0" w:space="0" w:color="auto"/>
        <w:right w:val="none" w:sz="0" w:space="0" w:color="auto"/>
      </w:divBdr>
    </w:div>
    <w:div w:id="1558785184">
      <w:bodyDiv w:val="1"/>
      <w:marLeft w:val="0"/>
      <w:marRight w:val="0"/>
      <w:marTop w:val="0"/>
      <w:marBottom w:val="0"/>
      <w:divBdr>
        <w:top w:val="none" w:sz="0" w:space="0" w:color="auto"/>
        <w:left w:val="none" w:sz="0" w:space="0" w:color="auto"/>
        <w:bottom w:val="none" w:sz="0" w:space="0" w:color="auto"/>
        <w:right w:val="none" w:sz="0" w:space="0" w:color="auto"/>
      </w:divBdr>
    </w:div>
    <w:div w:id="1559247275">
      <w:bodyDiv w:val="1"/>
      <w:marLeft w:val="0"/>
      <w:marRight w:val="0"/>
      <w:marTop w:val="0"/>
      <w:marBottom w:val="0"/>
      <w:divBdr>
        <w:top w:val="none" w:sz="0" w:space="0" w:color="auto"/>
        <w:left w:val="none" w:sz="0" w:space="0" w:color="auto"/>
        <w:bottom w:val="none" w:sz="0" w:space="0" w:color="auto"/>
        <w:right w:val="none" w:sz="0" w:space="0" w:color="auto"/>
      </w:divBdr>
    </w:div>
    <w:div w:id="1576358753">
      <w:bodyDiv w:val="1"/>
      <w:marLeft w:val="0"/>
      <w:marRight w:val="0"/>
      <w:marTop w:val="0"/>
      <w:marBottom w:val="0"/>
      <w:divBdr>
        <w:top w:val="none" w:sz="0" w:space="0" w:color="auto"/>
        <w:left w:val="none" w:sz="0" w:space="0" w:color="auto"/>
        <w:bottom w:val="none" w:sz="0" w:space="0" w:color="auto"/>
        <w:right w:val="none" w:sz="0" w:space="0" w:color="auto"/>
      </w:divBdr>
    </w:div>
    <w:div w:id="1581334814">
      <w:bodyDiv w:val="1"/>
      <w:marLeft w:val="0"/>
      <w:marRight w:val="0"/>
      <w:marTop w:val="0"/>
      <w:marBottom w:val="0"/>
      <w:divBdr>
        <w:top w:val="none" w:sz="0" w:space="0" w:color="auto"/>
        <w:left w:val="none" w:sz="0" w:space="0" w:color="auto"/>
        <w:bottom w:val="none" w:sz="0" w:space="0" w:color="auto"/>
        <w:right w:val="none" w:sz="0" w:space="0" w:color="auto"/>
      </w:divBdr>
    </w:div>
    <w:div w:id="1618486595">
      <w:bodyDiv w:val="1"/>
      <w:marLeft w:val="0"/>
      <w:marRight w:val="0"/>
      <w:marTop w:val="0"/>
      <w:marBottom w:val="0"/>
      <w:divBdr>
        <w:top w:val="none" w:sz="0" w:space="0" w:color="auto"/>
        <w:left w:val="none" w:sz="0" w:space="0" w:color="auto"/>
        <w:bottom w:val="none" w:sz="0" w:space="0" w:color="auto"/>
        <w:right w:val="none" w:sz="0" w:space="0" w:color="auto"/>
      </w:divBdr>
    </w:div>
    <w:div w:id="1640189995">
      <w:bodyDiv w:val="1"/>
      <w:marLeft w:val="0"/>
      <w:marRight w:val="0"/>
      <w:marTop w:val="0"/>
      <w:marBottom w:val="0"/>
      <w:divBdr>
        <w:top w:val="none" w:sz="0" w:space="0" w:color="auto"/>
        <w:left w:val="none" w:sz="0" w:space="0" w:color="auto"/>
        <w:bottom w:val="none" w:sz="0" w:space="0" w:color="auto"/>
        <w:right w:val="none" w:sz="0" w:space="0" w:color="auto"/>
      </w:divBdr>
    </w:div>
    <w:div w:id="1642727962">
      <w:bodyDiv w:val="1"/>
      <w:marLeft w:val="0"/>
      <w:marRight w:val="0"/>
      <w:marTop w:val="0"/>
      <w:marBottom w:val="0"/>
      <w:divBdr>
        <w:top w:val="none" w:sz="0" w:space="0" w:color="auto"/>
        <w:left w:val="none" w:sz="0" w:space="0" w:color="auto"/>
        <w:bottom w:val="none" w:sz="0" w:space="0" w:color="auto"/>
        <w:right w:val="none" w:sz="0" w:space="0" w:color="auto"/>
      </w:divBdr>
    </w:div>
    <w:div w:id="1673988316">
      <w:bodyDiv w:val="1"/>
      <w:marLeft w:val="0"/>
      <w:marRight w:val="0"/>
      <w:marTop w:val="0"/>
      <w:marBottom w:val="0"/>
      <w:divBdr>
        <w:top w:val="none" w:sz="0" w:space="0" w:color="auto"/>
        <w:left w:val="none" w:sz="0" w:space="0" w:color="auto"/>
        <w:bottom w:val="none" w:sz="0" w:space="0" w:color="auto"/>
        <w:right w:val="none" w:sz="0" w:space="0" w:color="auto"/>
      </w:divBdr>
    </w:div>
    <w:div w:id="1692992571">
      <w:bodyDiv w:val="1"/>
      <w:marLeft w:val="0"/>
      <w:marRight w:val="0"/>
      <w:marTop w:val="0"/>
      <w:marBottom w:val="0"/>
      <w:divBdr>
        <w:top w:val="none" w:sz="0" w:space="0" w:color="auto"/>
        <w:left w:val="none" w:sz="0" w:space="0" w:color="auto"/>
        <w:bottom w:val="none" w:sz="0" w:space="0" w:color="auto"/>
        <w:right w:val="none" w:sz="0" w:space="0" w:color="auto"/>
      </w:divBdr>
    </w:div>
    <w:div w:id="1766656502">
      <w:bodyDiv w:val="1"/>
      <w:marLeft w:val="0"/>
      <w:marRight w:val="0"/>
      <w:marTop w:val="0"/>
      <w:marBottom w:val="0"/>
      <w:divBdr>
        <w:top w:val="none" w:sz="0" w:space="0" w:color="auto"/>
        <w:left w:val="none" w:sz="0" w:space="0" w:color="auto"/>
        <w:bottom w:val="none" w:sz="0" w:space="0" w:color="auto"/>
        <w:right w:val="none" w:sz="0" w:space="0" w:color="auto"/>
      </w:divBdr>
    </w:div>
    <w:div w:id="1802381605">
      <w:bodyDiv w:val="1"/>
      <w:marLeft w:val="0"/>
      <w:marRight w:val="0"/>
      <w:marTop w:val="0"/>
      <w:marBottom w:val="0"/>
      <w:divBdr>
        <w:top w:val="none" w:sz="0" w:space="0" w:color="auto"/>
        <w:left w:val="none" w:sz="0" w:space="0" w:color="auto"/>
        <w:bottom w:val="none" w:sz="0" w:space="0" w:color="auto"/>
        <w:right w:val="none" w:sz="0" w:space="0" w:color="auto"/>
      </w:divBdr>
    </w:div>
    <w:div w:id="1838423197">
      <w:bodyDiv w:val="1"/>
      <w:marLeft w:val="0"/>
      <w:marRight w:val="0"/>
      <w:marTop w:val="0"/>
      <w:marBottom w:val="0"/>
      <w:divBdr>
        <w:top w:val="none" w:sz="0" w:space="0" w:color="auto"/>
        <w:left w:val="none" w:sz="0" w:space="0" w:color="auto"/>
        <w:bottom w:val="none" w:sz="0" w:space="0" w:color="auto"/>
        <w:right w:val="none" w:sz="0" w:space="0" w:color="auto"/>
      </w:divBdr>
    </w:div>
    <w:div w:id="1849056103">
      <w:bodyDiv w:val="1"/>
      <w:marLeft w:val="0"/>
      <w:marRight w:val="0"/>
      <w:marTop w:val="0"/>
      <w:marBottom w:val="0"/>
      <w:divBdr>
        <w:top w:val="none" w:sz="0" w:space="0" w:color="auto"/>
        <w:left w:val="none" w:sz="0" w:space="0" w:color="auto"/>
        <w:bottom w:val="none" w:sz="0" w:space="0" w:color="auto"/>
        <w:right w:val="none" w:sz="0" w:space="0" w:color="auto"/>
      </w:divBdr>
    </w:div>
    <w:div w:id="1915775968">
      <w:bodyDiv w:val="1"/>
      <w:marLeft w:val="0"/>
      <w:marRight w:val="0"/>
      <w:marTop w:val="0"/>
      <w:marBottom w:val="0"/>
      <w:divBdr>
        <w:top w:val="none" w:sz="0" w:space="0" w:color="auto"/>
        <w:left w:val="none" w:sz="0" w:space="0" w:color="auto"/>
        <w:bottom w:val="none" w:sz="0" w:space="0" w:color="auto"/>
        <w:right w:val="none" w:sz="0" w:space="0" w:color="auto"/>
      </w:divBdr>
    </w:div>
    <w:div w:id="1917013723">
      <w:bodyDiv w:val="1"/>
      <w:marLeft w:val="0"/>
      <w:marRight w:val="0"/>
      <w:marTop w:val="0"/>
      <w:marBottom w:val="0"/>
      <w:divBdr>
        <w:top w:val="none" w:sz="0" w:space="0" w:color="auto"/>
        <w:left w:val="none" w:sz="0" w:space="0" w:color="auto"/>
        <w:bottom w:val="none" w:sz="0" w:space="0" w:color="auto"/>
        <w:right w:val="none" w:sz="0" w:space="0" w:color="auto"/>
      </w:divBdr>
    </w:div>
    <w:div w:id="1929074759">
      <w:bodyDiv w:val="1"/>
      <w:marLeft w:val="0"/>
      <w:marRight w:val="0"/>
      <w:marTop w:val="0"/>
      <w:marBottom w:val="0"/>
      <w:divBdr>
        <w:top w:val="none" w:sz="0" w:space="0" w:color="auto"/>
        <w:left w:val="none" w:sz="0" w:space="0" w:color="auto"/>
        <w:bottom w:val="none" w:sz="0" w:space="0" w:color="auto"/>
        <w:right w:val="none" w:sz="0" w:space="0" w:color="auto"/>
      </w:divBdr>
    </w:div>
    <w:div w:id="2050759106">
      <w:bodyDiv w:val="1"/>
      <w:marLeft w:val="0"/>
      <w:marRight w:val="0"/>
      <w:marTop w:val="0"/>
      <w:marBottom w:val="0"/>
      <w:divBdr>
        <w:top w:val="none" w:sz="0" w:space="0" w:color="auto"/>
        <w:left w:val="none" w:sz="0" w:space="0" w:color="auto"/>
        <w:bottom w:val="none" w:sz="0" w:space="0" w:color="auto"/>
        <w:right w:val="none" w:sz="0" w:space="0" w:color="auto"/>
      </w:divBdr>
    </w:div>
    <w:div w:id="2053454753">
      <w:bodyDiv w:val="1"/>
      <w:marLeft w:val="0"/>
      <w:marRight w:val="0"/>
      <w:marTop w:val="0"/>
      <w:marBottom w:val="0"/>
      <w:divBdr>
        <w:top w:val="none" w:sz="0" w:space="0" w:color="auto"/>
        <w:left w:val="none" w:sz="0" w:space="0" w:color="auto"/>
        <w:bottom w:val="none" w:sz="0" w:space="0" w:color="auto"/>
        <w:right w:val="none" w:sz="0" w:space="0" w:color="auto"/>
      </w:divBdr>
    </w:div>
    <w:div w:id="2096244620">
      <w:bodyDiv w:val="1"/>
      <w:marLeft w:val="0"/>
      <w:marRight w:val="0"/>
      <w:marTop w:val="0"/>
      <w:marBottom w:val="0"/>
      <w:divBdr>
        <w:top w:val="none" w:sz="0" w:space="0" w:color="auto"/>
        <w:left w:val="none" w:sz="0" w:space="0" w:color="auto"/>
        <w:bottom w:val="none" w:sz="0" w:space="0" w:color="auto"/>
        <w:right w:val="none" w:sz="0" w:space="0" w:color="auto"/>
      </w:divBdr>
    </w:div>
    <w:div w:id="2128309586">
      <w:bodyDiv w:val="1"/>
      <w:marLeft w:val="0"/>
      <w:marRight w:val="0"/>
      <w:marTop w:val="0"/>
      <w:marBottom w:val="0"/>
      <w:divBdr>
        <w:top w:val="none" w:sz="0" w:space="0" w:color="auto"/>
        <w:left w:val="none" w:sz="0" w:space="0" w:color="auto"/>
        <w:bottom w:val="none" w:sz="0" w:space="0" w:color="auto"/>
        <w:right w:val="none" w:sz="0" w:space="0" w:color="auto"/>
      </w:divBdr>
    </w:div>
    <w:div w:id="212992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59453-7124-B34B-84BA-D408BFC5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5475</Words>
  <Characters>31211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Trotta</dc:creator>
  <cp:keywords/>
  <dc:description/>
  <cp:lastModifiedBy>Giulia Trotta</cp:lastModifiedBy>
  <cp:revision>4</cp:revision>
  <cp:lastPrinted>2025-06-13T13:54:00Z</cp:lastPrinted>
  <dcterms:created xsi:type="dcterms:W3CDTF">2025-06-16T12:46:00Z</dcterms:created>
  <dcterms:modified xsi:type="dcterms:W3CDTF">2025-06-16T13:36:00Z</dcterms:modified>
</cp:coreProperties>
</file>