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49" w:rsidRPr="00F21B49" w:rsidRDefault="00F21B49" w:rsidP="00F21B49">
      <w:pPr>
        <w:spacing w:after="0" w:line="240" w:lineRule="auto"/>
        <w:rPr>
          <w:bCs/>
          <w:sz w:val="24"/>
          <w:szCs w:val="24"/>
        </w:rPr>
      </w:pPr>
      <w:r w:rsidRPr="00F21B49">
        <w:rPr>
          <w:bCs/>
          <w:sz w:val="24"/>
          <w:szCs w:val="24"/>
        </w:rPr>
        <w:t>Supplementary Materials</w:t>
      </w:r>
    </w:p>
    <w:p w:rsidR="00F21B49" w:rsidRPr="00F21B49" w:rsidRDefault="00F21B49" w:rsidP="00F21B49">
      <w:pPr>
        <w:spacing w:after="0" w:line="240" w:lineRule="auto"/>
        <w:rPr>
          <w:bCs/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bCs/>
          <w:sz w:val="24"/>
          <w:szCs w:val="24"/>
        </w:rPr>
      </w:pPr>
      <w:r w:rsidRPr="00F21B49">
        <w:rPr>
          <w:bCs/>
          <w:sz w:val="24"/>
          <w:szCs w:val="24"/>
        </w:rPr>
        <w:t>eTable 1: Sample characteristics within complete case analyses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Y="2521"/>
        <w:tblW w:w="13135" w:type="dxa"/>
        <w:tblLayout w:type="fixed"/>
        <w:tblLook w:val="04A0" w:firstRow="1" w:lastRow="0" w:firstColumn="1" w:lastColumn="0" w:noHBand="0" w:noVBand="1"/>
      </w:tblPr>
      <w:tblGrid>
        <w:gridCol w:w="4135"/>
        <w:gridCol w:w="3425"/>
        <w:gridCol w:w="1260"/>
        <w:gridCol w:w="3055"/>
        <w:gridCol w:w="1260"/>
      </w:tblGrid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Subsample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 xml:space="preserve">suPAR </w:t>
            </w:r>
          </w:p>
        </w:tc>
        <w:tc>
          <w:tcPr>
            <w:tcW w:w="1260" w:type="dxa"/>
            <w:vMerge w:val="restart"/>
          </w:tcPr>
          <w:p w:rsidR="00F21B49" w:rsidRPr="00F21B49" w:rsidRDefault="00F21B49" w:rsidP="00F21B49">
            <w:r w:rsidRPr="00F21B49">
              <w:t>% missing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TNF</w:t>
            </w:r>
            <w:r w:rsidRPr="00F21B49">
              <w:rPr>
                <w:rFonts w:cstheme="minorHAnsi"/>
              </w:rPr>
              <w:t>α</w:t>
            </w:r>
            <w:r w:rsidRPr="00F21B49">
              <w:t>, IL-6, CRP</w:t>
            </w:r>
          </w:p>
        </w:tc>
        <w:tc>
          <w:tcPr>
            <w:tcW w:w="1260" w:type="dxa"/>
            <w:vMerge w:val="restart"/>
          </w:tcPr>
          <w:p w:rsidR="00F21B49" w:rsidRPr="00F21B49" w:rsidRDefault="00F21B49" w:rsidP="00F21B49">
            <w:r w:rsidRPr="00F21B49">
              <w:t>% missing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N of samples passing quality control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913</w:t>
            </w:r>
          </w:p>
        </w:tc>
        <w:tc>
          <w:tcPr>
            <w:tcW w:w="1260" w:type="dxa"/>
            <w:vMerge/>
          </w:tcPr>
          <w:p w:rsidR="00F21B49" w:rsidRPr="00F21B49" w:rsidRDefault="00F21B49" w:rsidP="00F21B49"/>
        </w:tc>
        <w:tc>
          <w:tcPr>
            <w:tcW w:w="3055" w:type="dxa"/>
          </w:tcPr>
          <w:p w:rsidR="00F21B49" w:rsidRPr="00F21B49" w:rsidRDefault="00F21B49" w:rsidP="00F21B49">
            <w:r w:rsidRPr="00F21B49">
              <w:t>767</w:t>
            </w:r>
          </w:p>
        </w:tc>
        <w:tc>
          <w:tcPr>
            <w:tcW w:w="1260" w:type="dxa"/>
            <w:vMerge/>
          </w:tcPr>
          <w:p w:rsidR="00F21B49" w:rsidRPr="00F21B49" w:rsidRDefault="00F21B49" w:rsidP="00F21B49"/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rPr>
                <w:i/>
              </w:rPr>
              <w:t xml:space="preserve">Independent Variables </w:t>
            </w:r>
          </w:p>
        </w:tc>
        <w:tc>
          <w:tcPr>
            <w:tcW w:w="3425" w:type="dxa"/>
          </w:tcPr>
          <w:p w:rsidR="00F21B49" w:rsidRPr="00F21B49" w:rsidRDefault="00F21B49" w:rsidP="00F21B49">
            <w:pPr>
              <w:rPr>
                <w:i/>
              </w:rPr>
            </w:pPr>
          </w:p>
        </w:tc>
        <w:tc>
          <w:tcPr>
            <w:tcW w:w="1260" w:type="dxa"/>
            <w:vMerge/>
          </w:tcPr>
          <w:p w:rsidR="00F21B49" w:rsidRPr="00F21B49" w:rsidRDefault="00F21B49" w:rsidP="00F21B49">
            <w:pPr>
              <w:rPr>
                <w:i/>
              </w:rPr>
            </w:pPr>
          </w:p>
        </w:tc>
        <w:tc>
          <w:tcPr>
            <w:tcW w:w="3055" w:type="dxa"/>
          </w:tcPr>
          <w:p w:rsidR="00F21B49" w:rsidRPr="00F21B49" w:rsidRDefault="00F21B49" w:rsidP="00F21B49">
            <w:pPr>
              <w:rPr>
                <w:i/>
              </w:rPr>
            </w:pPr>
          </w:p>
        </w:tc>
        <w:tc>
          <w:tcPr>
            <w:tcW w:w="1260" w:type="dxa"/>
            <w:vMerge/>
          </w:tcPr>
          <w:p w:rsidR="00F21B49" w:rsidRPr="00F21B49" w:rsidRDefault="00F21B49" w:rsidP="00F21B49">
            <w:pPr>
              <w:rPr>
                <w:i/>
              </w:rPr>
            </w:pP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% Daily cannabis use</w:t>
            </w:r>
          </w:p>
        </w:tc>
        <w:tc>
          <w:tcPr>
            <w:tcW w:w="342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4.71</w:t>
            </w:r>
          </w:p>
        </w:tc>
        <w:tc>
          <w:tcPr>
            <w:tcW w:w="1260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0.33</w:t>
            </w:r>
          </w:p>
        </w:tc>
        <w:tc>
          <w:tcPr>
            <w:tcW w:w="305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4.17%</w:t>
            </w:r>
          </w:p>
        </w:tc>
        <w:tc>
          <w:tcPr>
            <w:tcW w:w="1260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0.39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%  Weekly/ Monthly cannabis use</w:t>
            </w:r>
          </w:p>
        </w:tc>
        <w:tc>
          <w:tcPr>
            <w:tcW w:w="342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6.9</w:t>
            </w:r>
          </w:p>
        </w:tc>
        <w:tc>
          <w:tcPr>
            <w:tcW w:w="1260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0.33</w:t>
            </w:r>
          </w:p>
        </w:tc>
        <w:tc>
          <w:tcPr>
            <w:tcW w:w="305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6.91%</w:t>
            </w:r>
          </w:p>
        </w:tc>
        <w:tc>
          <w:tcPr>
            <w:tcW w:w="1260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0.39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% &lt;Monthly cannabis use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20.99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0.33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20.68%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0.39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rPr>
                <w:i/>
              </w:rPr>
              <w:t>Covariates</w:t>
            </w:r>
          </w:p>
        </w:tc>
        <w:tc>
          <w:tcPr>
            <w:tcW w:w="3425" w:type="dxa"/>
          </w:tcPr>
          <w:p w:rsidR="00F21B49" w:rsidRPr="00F21B49" w:rsidRDefault="00F21B49" w:rsidP="00F21B49"/>
        </w:tc>
        <w:tc>
          <w:tcPr>
            <w:tcW w:w="1260" w:type="dxa"/>
          </w:tcPr>
          <w:p w:rsidR="00F21B49" w:rsidRPr="00F21B49" w:rsidRDefault="00F21B49" w:rsidP="00F21B49"/>
        </w:tc>
        <w:tc>
          <w:tcPr>
            <w:tcW w:w="3055" w:type="dxa"/>
          </w:tcPr>
          <w:p w:rsidR="00F21B49" w:rsidRPr="00F21B49" w:rsidRDefault="00F21B49" w:rsidP="00F21B49"/>
        </w:tc>
        <w:tc>
          <w:tcPr>
            <w:tcW w:w="1260" w:type="dxa"/>
          </w:tcPr>
          <w:p w:rsidR="00F21B49" w:rsidRPr="00F21B49" w:rsidRDefault="00F21B49" w:rsidP="00F21B49"/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Emotional abuse (%)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20.92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12.05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20.73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12.65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Emotional neglect (%)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7.34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15.55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7.3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15.91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Physical abuse (%)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22.78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8.87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22.55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9.39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Childhood sexual abuse (%)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12.59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27.38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12.78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27.77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pPr>
              <w:rPr>
                <w:i/>
              </w:rPr>
            </w:pPr>
            <w:r w:rsidRPr="00F21B49">
              <w:t>Domestic violence (%)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13.88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17.2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13.95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17.08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Mean BMI (SD)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24.82 (5.3)</w:t>
            </w:r>
          </w:p>
        </w:tc>
        <w:tc>
          <w:tcPr>
            <w:tcW w:w="1260" w:type="dxa"/>
          </w:tcPr>
          <w:p w:rsidR="00F21B49" w:rsidRPr="00F21B49" w:rsidRDefault="00F21B49" w:rsidP="00F21B49"/>
        </w:tc>
        <w:tc>
          <w:tcPr>
            <w:tcW w:w="3055" w:type="dxa"/>
          </w:tcPr>
          <w:p w:rsidR="00F21B49" w:rsidRPr="00F21B49" w:rsidRDefault="00F21B49" w:rsidP="00F21B49">
            <w:r w:rsidRPr="00F21B49">
              <w:t>24.89 (5.46)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1.3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% Past-month non-daily smoking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17.52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0.77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17.73%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0.91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% Daily smoking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14.24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0.77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14.08%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0.91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Median AUDIT-C score (IQR)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5 (4-70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1.64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5 (4-7)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1.8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Sex (% female)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62.21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62.45%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Mean Age in months (SD)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294.1 (9.41)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293.71 (9.37)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% Low income household in pregnancy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1.2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24.64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1.17%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24.77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Maternal Education, % degree level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22.56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8.65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22.95%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9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% Moderate/Severe Depression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22.12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0.66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24.25%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0.65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% Generalized Anxiety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29.35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0.44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30.25%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0.52</w:t>
            </w:r>
          </w:p>
        </w:tc>
      </w:tr>
      <w:tr w:rsidR="00F21B49" w:rsidRPr="00F21B49" w:rsidTr="00EA6792">
        <w:tc>
          <w:tcPr>
            <w:tcW w:w="4135" w:type="dxa"/>
          </w:tcPr>
          <w:p w:rsidR="00F21B49" w:rsidRPr="00F21B49" w:rsidRDefault="00F21B49" w:rsidP="00F21B49">
            <w:r w:rsidRPr="00F21B49">
              <w:t>% Psychotic symptoms in last 6 months</w:t>
            </w:r>
          </w:p>
        </w:tc>
        <w:tc>
          <w:tcPr>
            <w:tcW w:w="3425" w:type="dxa"/>
          </w:tcPr>
          <w:p w:rsidR="00F21B49" w:rsidRPr="00F21B49" w:rsidRDefault="00F21B49" w:rsidP="00F21B49">
            <w:r w:rsidRPr="00F21B49">
              <w:t>9.64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0.88</w:t>
            </w:r>
          </w:p>
        </w:tc>
        <w:tc>
          <w:tcPr>
            <w:tcW w:w="3055" w:type="dxa"/>
          </w:tcPr>
          <w:p w:rsidR="00F21B49" w:rsidRPr="00F21B49" w:rsidRDefault="00F21B49" w:rsidP="00F21B49">
            <w:r w:rsidRPr="00F21B49">
              <w:t>9.99</w:t>
            </w:r>
          </w:p>
        </w:tc>
        <w:tc>
          <w:tcPr>
            <w:tcW w:w="1260" w:type="dxa"/>
          </w:tcPr>
          <w:p w:rsidR="00F21B49" w:rsidRPr="00F21B49" w:rsidRDefault="00F21B49" w:rsidP="00F21B49">
            <w:r w:rsidRPr="00F21B49">
              <w:t>0.78</w:t>
            </w:r>
          </w:p>
        </w:tc>
      </w:tr>
    </w:tbl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  <w:sectPr w:rsidR="00F21B49" w:rsidRPr="00F21B49" w:rsidSect="00E278C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  <w:r w:rsidRPr="00F21B49">
        <w:rPr>
          <w:sz w:val="24"/>
          <w:szCs w:val="24"/>
        </w:rPr>
        <w:lastRenderedPageBreak/>
        <w:t xml:space="preserve">eTable 2: 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  <w:r w:rsidRPr="00F21B49">
        <w:rPr>
          <w:sz w:val="24"/>
          <w:szCs w:val="24"/>
        </w:rPr>
        <w:t>Multivariate regression analyses of associations between CRP, IL-6, TNF</w:t>
      </w:r>
      <w:r w:rsidRPr="00F21B49">
        <w:rPr>
          <w:rFonts w:cstheme="minorHAnsi"/>
          <w:sz w:val="24"/>
          <w:szCs w:val="24"/>
        </w:rPr>
        <w:t>α</w:t>
      </w:r>
      <w:r w:rsidRPr="00F21B49">
        <w:rPr>
          <w:sz w:val="24"/>
          <w:szCs w:val="24"/>
        </w:rPr>
        <w:t xml:space="preserve"> &amp; cannabis use frequencies in complete cases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2520"/>
        <w:gridCol w:w="990"/>
        <w:gridCol w:w="2520"/>
        <w:gridCol w:w="1080"/>
      </w:tblGrid>
      <w:tr w:rsidR="00F21B49" w:rsidRPr="00F21B49" w:rsidTr="00EA6792">
        <w:tc>
          <w:tcPr>
            <w:tcW w:w="2515" w:type="dxa"/>
            <w:vMerge w:val="restart"/>
          </w:tcPr>
          <w:p w:rsidR="00F21B49" w:rsidRPr="00F21B49" w:rsidRDefault="00F21B49" w:rsidP="00F21B49">
            <w:r w:rsidRPr="00F21B49">
              <w:t>Frequency of cannabis use</w:t>
            </w:r>
          </w:p>
        </w:tc>
        <w:tc>
          <w:tcPr>
            <w:tcW w:w="10530" w:type="dxa"/>
            <w:gridSpan w:val="6"/>
          </w:tcPr>
          <w:p w:rsidR="00F21B49" w:rsidRPr="00F21B49" w:rsidRDefault="00F21B49" w:rsidP="00F21B49">
            <w:r w:rsidRPr="00F21B49">
              <w:t>Inflammatory Marker</w:t>
            </w:r>
          </w:p>
        </w:tc>
      </w:tr>
      <w:tr w:rsidR="00F21B49" w:rsidRPr="00F21B49" w:rsidTr="00EA6792">
        <w:tc>
          <w:tcPr>
            <w:tcW w:w="2515" w:type="dxa"/>
            <w:vMerge/>
          </w:tcPr>
          <w:p w:rsidR="00F21B49" w:rsidRPr="00F21B49" w:rsidRDefault="00F21B49" w:rsidP="00F21B49"/>
        </w:tc>
        <w:tc>
          <w:tcPr>
            <w:tcW w:w="3420" w:type="dxa"/>
            <w:gridSpan w:val="2"/>
          </w:tcPr>
          <w:p w:rsidR="00F21B49" w:rsidRPr="00F21B49" w:rsidRDefault="00F21B49" w:rsidP="00F21B49">
            <w:r w:rsidRPr="00F21B49">
              <w:t>Log CRP</w:t>
            </w:r>
          </w:p>
        </w:tc>
        <w:tc>
          <w:tcPr>
            <w:tcW w:w="3510" w:type="dxa"/>
            <w:gridSpan w:val="2"/>
          </w:tcPr>
          <w:p w:rsidR="00F21B49" w:rsidRPr="00F21B49" w:rsidRDefault="00F21B49" w:rsidP="00F21B49">
            <w:r w:rsidRPr="00F21B49">
              <w:t>Log IL-6</w:t>
            </w:r>
          </w:p>
        </w:tc>
        <w:tc>
          <w:tcPr>
            <w:tcW w:w="3600" w:type="dxa"/>
            <w:gridSpan w:val="2"/>
          </w:tcPr>
          <w:p w:rsidR="00F21B49" w:rsidRPr="00F21B49" w:rsidRDefault="00F21B49" w:rsidP="00F21B49">
            <w:r w:rsidRPr="00F21B49">
              <w:t>Log TNF</w:t>
            </w:r>
            <w:r w:rsidRPr="00F21B49">
              <w:rPr>
                <w:rFonts w:cstheme="minorHAnsi"/>
              </w:rPr>
              <w:t>α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Model 1</w:t>
            </w:r>
          </w:p>
        </w:tc>
        <w:tc>
          <w:tcPr>
            <w:tcW w:w="243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99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  <w:tc>
          <w:tcPr>
            <w:tcW w:w="252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99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  <w:tc>
          <w:tcPr>
            <w:tcW w:w="252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108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Less than monthly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-0.065 (-0.241, 0.111)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0.469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0.034 (-0.134, 0.202)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0.691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0.025 (-0.152, 0.202)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0.78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Weekly/ Monthly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0.007 (-0.272, 0.285)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0.961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0.271 (0.006, 0.537)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0.045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-0.135 (-0.415, 0.146)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0.346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Daily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-0.174 (-0.526, 0.178)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0.331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0.102 (-0.234, 0.437)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0.552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-0.191 (-0.545, 0.163)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0.29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Model 2</w:t>
            </w:r>
          </w:p>
        </w:tc>
        <w:tc>
          <w:tcPr>
            <w:tcW w:w="243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99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  <w:tc>
          <w:tcPr>
            <w:tcW w:w="252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99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  <w:tc>
          <w:tcPr>
            <w:tcW w:w="252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108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Less than monthly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-0.011 (-0.186, 0.163)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0.900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-0.011 (-0.181, 0.16)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0.903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-0.024 (-0.218, 0.169)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0.805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Weekly/ Monthly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0.106 (-0.164, 0.377)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0.441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0.217 (-0.048, 0.481)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0.108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-0.212 (-0.512, 0.088)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0.166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Daily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-0.142 (-0.495, 0.211)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0.430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-0.119 (-0.464, 0.226)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0.497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-0.362 (-0.753, 0.029)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0.069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Model 3</w:t>
            </w:r>
          </w:p>
        </w:tc>
        <w:tc>
          <w:tcPr>
            <w:tcW w:w="243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99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  <w:tc>
          <w:tcPr>
            <w:tcW w:w="252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99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  <w:tc>
          <w:tcPr>
            <w:tcW w:w="252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108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Less than monthly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0.061 (-0.182, 0.304)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0.623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0.077 (-0.173, 0.326)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0.547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0.108 (-0.158, 0.374)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0.424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Weekly/ Monthly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-0.059 (-0.514, 0.396)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0.799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0.222 (-0.246, 0.689)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0.352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-0.07 (-0.568, 0.427)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0.782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Daily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-0.276 (-0.945, 0.393)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0.418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-0.248 (-0.935, 0.439)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0.478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-0.483 (-1.214, 0.248)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0.194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Model 4</w:t>
            </w:r>
          </w:p>
        </w:tc>
        <w:tc>
          <w:tcPr>
            <w:tcW w:w="243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99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  <w:tc>
          <w:tcPr>
            <w:tcW w:w="252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99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  <w:tc>
          <w:tcPr>
            <w:tcW w:w="252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  <w:r w:rsidRPr="00F21B49">
              <w:rPr>
                <w:b/>
              </w:rPr>
              <w:t>(CI)</w:t>
            </w:r>
          </w:p>
        </w:tc>
        <w:tc>
          <w:tcPr>
            <w:tcW w:w="108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Less than monthly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0.083 (-0.16, 0.327)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0.502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0.081 (-0.17, 0.333)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0.523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0.085 (-0.182, 0.352)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0.532</w:t>
            </w:r>
          </w:p>
        </w:tc>
      </w:tr>
      <w:tr w:rsidR="00F21B49" w:rsidRPr="00F21B49" w:rsidTr="00EA6792">
        <w:trPr>
          <w:trHeight w:val="77"/>
        </w:trPr>
        <w:tc>
          <w:tcPr>
            <w:tcW w:w="2515" w:type="dxa"/>
          </w:tcPr>
          <w:p w:rsidR="00F21B49" w:rsidRPr="00F21B49" w:rsidRDefault="00F21B49" w:rsidP="00F21B49">
            <w:r w:rsidRPr="00F21B49">
              <w:t>Weekly/ Monthly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-0.008 (-0.47, 0.455)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0.973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0.246 (-0.232, 0.724)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0.312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-0.139 (-0.647, 0.368)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0.590</w:t>
            </w:r>
          </w:p>
        </w:tc>
      </w:tr>
      <w:tr w:rsidR="00F21B49" w:rsidRPr="00F21B49" w:rsidTr="00EA6792">
        <w:tc>
          <w:tcPr>
            <w:tcW w:w="2515" w:type="dxa"/>
          </w:tcPr>
          <w:p w:rsidR="00F21B49" w:rsidRPr="00F21B49" w:rsidRDefault="00F21B49" w:rsidP="00F21B49">
            <w:r w:rsidRPr="00F21B49">
              <w:t>Daily use</w:t>
            </w:r>
          </w:p>
        </w:tc>
        <w:tc>
          <w:tcPr>
            <w:tcW w:w="2430" w:type="dxa"/>
          </w:tcPr>
          <w:p w:rsidR="00F21B49" w:rsidRPr="00F21B49" w:rsidRDefault="00F21B49" w:rsidP="00F21B49">
            <w:r w:rsidRPr="00F21B49">
              <w:t>-0.148 (-0.825, 0.529)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0.667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-0.217 (-0.917, 0.482)</w:t>
            </w:r>
          </w:p>
        </w:tc>
        <w:tc>
          <w:tcPr>
            <w:tcW w:w="990" w:type="dxa"/>
          </w:tcPr>
          <w:p w:rsidR="00F21B49" w:rsidRPr="00F21B49" w:rsidRDefault="00F21B49" w:rsidP="00F21B49">
            <w:r w:rsidRPr="00F21B49">
              <w:t>0.542</w:t>
            </w:r>
          </w:p>
        </w:tc>
        <w:tc>
          <w:tcPr>
            <w:tcW w:w="2520" w:type="dxa"/>
          </w:tcPr>
          <w:p w:rsidR="00F21B49" w:rsidRPr="00F21B49" w:rsidRDefault="00F21B49" w:rsidP="00F21B49">
            <w:r w:rsidRPr="00F21B49">
              <w:t>-0.587 (-1.331, 0.156)</w:t>
            </w:r>
          </w:p>
        </w:tc>
        <w:tc>
          <w:tcPr>
            <w:tcW w:w="1080" w:type="dxa"/>
          </w:tcPr>
          <w:p w:rsidR="00F21B49" w:rsidRPr="00F21B49" w:rsidRDefault="00F21B49" w:rsidP="00F21B49">
            <w:r w:rsidRPr="00F21B49">
              <w:t>0.121</w:t>
            </w:r>
          </w:p>
        </w:tc>
      </w:tr>
    </w:tbl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  <w:r w:rsidRPr="00F21B49">
        <w:rPr>
          <w:sz w:val="24"/>
          <w:szCs w:val="24"/>
        </w:rPr>
        <w:t xml:space="preserve">*Each 1-unit increase in the β coefficient is equivalent to a 1 standard deviation increase.  Model 1 is unadjusted and contains N=762 subjects. Model 2 is adjusted for age in month, sex, </w:t>
      </w:r>
      <w:r w:rsidRPr="00F21B49">
        <w:rPr>
          <w:rFonts w:cs="Times New Roman"/>
          <w:sz w:val="24"/>
          <w:szCs w:val="24"/>
        </w:rPr>
        <w:t xml:space="preserve">tobacco use &amp; body mass index; and contains N= 749 observations. Model 3 is additionally adjusted for </w:t>
      </w:r>
      <w:r w:rsidRPr="00F21B49">
        <w:rPr>
          <w:sz w:val="24"/>
          <w:szCs w:val="24"/>
        </w:rPr>
        <w:t xml:space="preserve">maternal education in pregnancy, weekly family income in pregnancy </w:t>
      </w:r>
      <w:r w:rsidRPr="00F21B49">
        <w:rPr>
          <w:rFonts w:cs="Times New Roman"/>
          <w:sz w:val="24"/>
          <w:szCs w:val="24"/>
        </w:rPr>
        <w:t xml:space="preserve">&amp; AUDIT-C score; and contains N= 414 observations. Model 4 is additionally adjusted for </w:t>
      </w:r>
      <w:r w:rsidRPr="00F21B49">
        <w:rPr>
          <w:sz w:val="24"/>
          <w:szCs w:val="24"/>
        </w:rPr>
        <w:t xml:space="preserve">generalized anxiety disorder, moderate to severe depressive disorder, &amp; definite psychotic experiences in the last 6 months; </w:t>
      </w:r>
      <w:r w:rsidRPr="00F21B49">
        <w:rPr>
          <w:rFonts w:cs="Times New Roman"/>
          <w:sz w:val="24"/>
          <w:szCs w:val="24"/>
        </w:rPr>
        <w:t>and contains N= 413 observations.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  <w:sectPr w:rsidR="00F21B49" w:rsidRPr="00F21B49" w:rsidSect="00E278C2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F21B49">
        <w:rPr>
          <w:sz w:val="24"/>
          <w:szCs w:val="24"/>
        </w:rPr>
        <w:t>IL-6: Interleukin-6; TNF-α: tumour necrosis factor alpha; CRP: C-reactive protein.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  <w:r w:rsidRPr="00F21B49">
        <w:rPr>
          <w:sz w:val="24"/>
          <w:szCs w:val="24"/>
        </w:rPr>
        <w:lastRenderedPageBreak/>
        <w:t>eTable 3: Linear regression analyses of associations between suPAR &amp; past year cannabis use frequencies in complete case analysis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5"/>
        <w:gridCol w:w="850"/>
        <w:gridCol w:w="2345"/>
        <w:gridCol w:w="1122"/>
      </w:tblGrid>
      <w:tr w:rsidR="00F21B49" w:rsidRPr="00F21B49" w:rsidTr="00EA6792">
        <w:tc>
          <w:tcPr>
            <w:tcW w:w="3555" w:type="dxa"/>
            <w:vMerge w:val="restart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Frequency of cannabis use</w:t>
            </w:r>
          </w:p>
        </w:tc>
        <w:tc>
          <w:tcPr>
            <w:tcW w:w="4317" w:type="dxa"/>
            <w:gridSpan w:val="3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Inflammatory marker</w:t>
            </w:r>
          </w:p>
        </w:tc>
      </w:tr>
      <w:tr w:rsidR="00F21B49" w:rsidRPr="00F21B49" w:rsidTr="00EA6792">
        <w:tc>
          <w:tcPr>
            <w:tcW w:w="3555" w:type="dxa"/>
            <w:vMerge/>
          </w:tcPr>
          <w:p w:rsidR="00F21B49" w:rsidRPr="00F21B49" w:rsidRDefault="00F21B49" w:rsidP="00F21B49">
            <w:pPr>
              <w:rPr>
                <w:vertAlign w:val="superscript"/>
              </w:rPr>
            </w:pPr>
          </w:p>
        </w:tc>
        <w:tc>
          <w:tcPr>
            <w:tcW w:w="4317" w:type="dxa"/>
            <w:gridSpan w:val="3"/>
          </w:tcPr>
          <w:p w:rsidR="00F21B49" w:rsidRPr="00F21B49" w:rsidRDefault="00F21B49" w:rsidP="00F21B49">
            <w:r w:rsidRPr="00F21B49">
              <w:rPr>
                <w:b/>
              </w:rPr>
              <w:t>Log suPAR</w:t>
            </w:r>
          </w:p>
        </w:tc>
      </w:tr>
      <w:tr w:rsidR="00F21B49" w:rsidRPr="00F21B49" w:rsidTr="00EA6792">
        <w:tc>
          <w:tcPr>
            <w:tcW w:w="3555" w:type="dxa"/>
          </w:tcPr>
          <w:p w:rsidR="00F21B49" w:rsidRPr="00F21B49" w:rsidRDefault="00F21B49" w:rsidP="00F21B49">
            <w:r w:rsidRPr="00F21B49">
              <w:rPr>
                <w:b/>
              </w:rPr>
              <w:t>Model 1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</w:p>
        </w:tc>
        <w:tc>
          <w:tcPr>
            <w:tcW w:w="234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CI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rPr>
                <w:b/>
              </w:rPr>
              <w:t>P-Value</w:t>
            </w:r>
          </w:p>
        </w:tc>
      </w:tr>
      <w:tr w:rsidR="00F21B49" w:rsidRPr="00F21B49" w:rsidTr="00EA6792">
        <w:tc>
          <w:tcPr>
            <w:tcW w:w="3555" w:type="dxa"/>
          </w:tcPr>
          <w:p w:rsidR="00F21B49" w:rsidRPr="00F21B49" w:rsidRDefault="00F21B49" w:rsidP="00F21B49">
            <w:r w:rsidRPr="00F21B49">
              <w:t>Less than monthly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-0.109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-0.252, 0.034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0.135</w:t>
            </w:r>
          </w:p>
        </w:tc>
      </w:tr>
      <w:tr w:rsidR="00F21B49" w:rsidRPr="00F21B49" w:rsidTr="00EA6792">
        <w:tc>
          <w:tcPr>
            <w:tcW w:w="3555" w:type="dxa"/>
          </w:tcPr>
          <w:p w:rsidR="00F21B49" w:rsidRPr="00F21B49" w:rsidRDefault="00F21B49" w:rsidP="00F21B49">
            <w:r w:rsidRPr="00F21B49">
              <w:t>Weekly/ Monthly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0.028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-0.201, 0.256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0.813</w:t>
            </w:r>
          </w:p>
        </w:tc>
      </w:tr>
      <w:tr w:rsidR="00F21B49" w:rsidRPr="00F21B49" w:rsidTr="00EA6792">
        <w:tc>
          <w:tcPr>
            <w:tcW w:w="3555" w:type="dxa"/>
          </w:tcPr>
          <w:p w:rsidR="00F21B49" w:rsidRPr="00F21B49" w:rsidRDefault="00F21B49" w:rsidP="00F21B49">
            <w:r w:rsidRPr="00F21B49">
              <w:t>Daily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0.662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0.389, 0.934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&lt;0.001</w:t>
            </w:r>
          </w:p>
        </w:tc>
      </w:tr>
      <w:tr w:rsidR="00F21B49" w:rsidRPr="00F21B49" w:rsidTr="00EA6792">
        <w:tc>
          <w:tcPr>
            <w:tcW w:w="3555" w:type="dxa"/>
          </w:tcPr>
          <w:p w:rsidR="00F21B49" w:rsidRPr="00F21B49" w:rsidRDefault="00F21B49" w:rsidP="00F21B49">
            <w:r w:rsidRPr="00F21B49">
              <w:rPr>
                <w:b/>
              </w:rPr>
              <w:t>Model 2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</w:p>
        </w:tc>
        <w:tc>
          <w:tcPr>
            <w:tcW w:w="234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CI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rPr>
                <w:b/>
              </w:rPr>
              <w:t>P-Value</w:t>
            </w:r>
          </w:p>
        </w:tc>
      </w:tr>
      <w:tr w:rsidR="00F21B49" w:rsidRPr="00F21B49" w:rsidTr="00EA6792">
        <w:tc>
          <w:tcPr>
            <w:tcW w:w="3555" w:type="dxa"/>
          </w:tcPr>
          <w:p w:rsidR="00F21B49" w:rsidRPr="00F21B49" w:rsidRDefault="00F21B49" w:rsidP="00F21B49">
            <w:r w:rsidRPr="00F21B49">
              <w:t>Less than monthly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-0.069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-0.215, 0.077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0.356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r w:rsidRPr="00F21B49">
              <w:t>Weekly/ Monthly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0.059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-0.171, 0.288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0.616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r w:rsidRPr="00F21B49">
              <w:t>Daily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0.551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0.261, 0.841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&lt;0.001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r w:rsidRPr="00F21B49">
              <w:rPr>
                <w:b/>
              </w:rPr>
              <w:t>Model 3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</w:p>
        </w:tc>
        <w:tc>
          <w:tcPr>
            <w:tcW w:w="234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CI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rPr>
                <w:b/>
              </w:rPr>
              <w:t>P-Value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t>Less than monthly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0.043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-0.143, 0.229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0.649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r w:rsidRPr="00F21B49">
              <w:t>Weekly/ Monthly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0.172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-0.161, 0.506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0.311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r w:rsidRPr="00F21B49">
              <w:t>Daily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0.653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0.179, 1.127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0.007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r w:rsidRPr="00F21B49">
              <w:rPr>
                <w:b/>
              </w:rPr>
              <w:t>Model 4</w:t>
            </w:r>
          </w:p>
        </w:tc>
        <w:tc>
          <w:tcPr>
            <w:tcW w:w="850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β</w:t>
            </w:r>
            <w:r w:rsidRPr="00F21B49" w:rsidDel="00137CE9">
              <w:rPr>
                <w:b/>
              </w:rPr>
              <w:t xml:space="preserve"> </w:t>
            </w:r>
          </w:p>
        </w:tc>
        <w:tc>
          <w:tcPr>
            <w:tcW w:w="234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CI</w:t>
            </w:r>
          </w:p>
        </w:tc>
        <w:tc>
          <w:tcPr>
            <w:tcW w:w="1122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rPr>
                <w:b/>
              </w:rPr>
              <w:t>P-Value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pPr>
              <w:rPr>
                <w:b/>
              </w:rPr>
            </w:pPr>
            <w:r w:rsidRPr="00F21B49">
              <w:t>Less than monthly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0.03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-0.157, 0.218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0.752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r w:rsidRPr="00F21B49">
              <w:t>Weekly/ Monthly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0.126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0.215, 0.467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 xml:space="preserve">0.469  </w:t>
            </w:r>
          </w:p>
        </w:tc>
      </w:tr>
      <w:tr w:rsidR="00F21B49" w:rsidRPr="00F21B49" w:rsidTr="00EA6792">
        <w:trPr>
          <w:trHeight w:val="77"/>
        </w:trPr>
        <w:tc>
          <w:tcPr>
            <w:tcW w:w="3555" w:type="dxa"/>
          </w:tcPr>
          <w:p w:rsidR="00F21B49" w:rsidRPr="00F21B49" w:rsidRDefault="00F21B49" w:rsidP="00F21B49">
            <w:r w:rsidRPr="00F21B49">
              <w:t>Daily use</w:t>
            </w:r>
          </w:p>
        </w:tc>
        <w:tc>
          <w:tcPr>
            <w:tcW w:w="850" w:type="dxa"/>
          </w:tcPr>
          <w:p w:rsidR="00F21B49" w:rsidRPr="00F21B49" w:rsidRDefault="00F21B49" w:rsidP="00F21B49">
            <w:r w:rsidRPr="00F21B49">
              <w:t>0.608</w:t>
            </w:r>
          </w:p>
        </w:tc>
        <w:tc>
          <w:tcPr>
            <w:tcW w:w="2345" w:type="dxa"/>
          </w:tcPr>
          <w:p w:rsidR="00F21B49" w:rsidRPr="00F21B49" w:rsidRDefault="00F21B49" w:rsidP="00F21B49">
            <w:r w:rsidRPr="00F21B49">
              <w:t>0.129, 1.086</w:t>
            </w:r>
          </w:p>
        </w:tc>
        <w:tc>
          <w:tcPr>
            <w:tcW w:w="1122" w:type="dxa"/>
          </w:tcPr>
          <w:p w:rsidR="00F21B49" w:rsidRPr="00F21B49" w:rsidRDefault="00F21B49" w:rsidP="00F21B49">
            <w:r w:rsidRPr="00F21B49">
              <w:t>0.013</w:t>
            </w:r>
          </w:p>
        </w:tc>
      </w:tr>
    </w:tbl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  <w:r w:rsidRPr="00F21B49">
        <w:rPr>
          <w:sz w:val="24"/>
          <w:szCs w:val="24"/>
        </w:rPr>
        <w:t xml:space="preserve">*Each 1-unit increase in the β coefficient is equivalent to a 1 standard deviation increase.  Model 1 is unadjusted and contains N=910 subjects. Model 2 is adjusted for age in month, sex, </w:t>
      </w:r>
      <w:r w:rsidRPr="00F21B49">
        <w:rPr>
          <w:rFonts w:cs="Times New Roman"/>
          <w:sz w:val="24"/>
          <w:szCs w:val="24"/>
        </w:rPr>
        <w:t xml:space="preserve">tobacco use &amp; body mass index; and contains N= 896 observations. Model 3 is additionally adjusted for </w:t>
      </w:r>
      <w:r w:rsidRPr="00F21B49">
        <w:rPr>
          <w:sz w:val="24"/>
          <w:szCs w:val="24"/>
        </w:rPr>
        <w:t xml:space="preserve">maternal education in pregnancy, weekly family income in pregnancy </w:t>
      </w:r>
      <w:r w:rsidRPr="00F21B49">
        <w:rPr>
          <w:rFonts w:cs="Times New Roman"/>
          <w:sz w:val="24"/>
          <w:szCs w:val="24"/>
        </w:rPr>
        <w:t xml:space="preserve">&amp; AUDIT-C score; and contains N= 497 observations. Model 4 is additionally adjusted for </w:t>
      </w:r>
      <w:r w:rsidRPr="00F21B49">
        <w:rPr>
          <w:sz w:val="24"/>
          <w:szCs w:val="24"/>
        </w:rPr>
        <w:t xml:space="preserve">generalized anxiety disorder, moderate to severe depressive disorder, &amp; definite psychotic experiences in the last 6 months; </w:t>
      </w:r>
      <w:r w:rsidRPr="00F21B49">
        <w:rPr>
          <w:rFonts w:cs="Times New Roman"/>
          <w:sz w:val="24"/>
          <w:szCs w:val="24"/>
        </w:rPr>
        <w:t>and contains N= 495 observations.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  <w:r w:rsidRPr="00F21B49">
        <w:rPr>
          <w:sz w:val="24"/>
          <w:szCs w:val="24"/>
        </w:rPr>
        <w:t xml:space="preserve"> 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  <w:r w:rsidRPr="00F21B49">
        <w:rPr>
          <w:sz w:val="24"/>
          <w:szCs w:val="24"/>
        </w:rPr>
        <w:t>sUPAR: soluble urokinase plasminogen activator receptor; FMI:  fraction of missing information; CI: Confidence interval</w:t>
      </w: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F21B49" w:rsidRPr="00F21B49" w:rsidRDefault="00F21B49" w:rsidP="00F21B49">
      <w:pPr>
        <w:spacing w:after="0" w:line="240" w:lineRule="auto"/>
        <w:rPr>
          <w:sz w:val="24"/>
          <w:szCs w:val="24"/>
        </w:rPr>
      </w:pPr>
    </w:p>
    <w:p w:rsidR="00E64346" w:rsidRDefault="00F21B49"/>
    <w:sectPr w:rsidR="00E64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B49" w:rsidRDefault="00F21B49" w:rsidP="00F21B49">
      <w:pPr>
        <w:spacing w:after="0" w:line="240" w:lineRule="auto"/>
      </w:pPr>
      <w:r>
        <w:separator/>
      </w:r>
    </w:p>
  </w:endnote>
  <w:endnote w:type="continuationSeparator" w:id="0">
    <w:p w:rsidR="00F21B49" w:rsidRDefault="00F21B49" w:rsidP="00F2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49" w:rsidRDefault="00F21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49" w:rsidRDefault="00F21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49" w:rsidRDefault="00F21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B49" w:rsidRDefault="00F21B49" w:rsidP="00F21B49">
      <w:pPr>
        <w:spacing w:after="0" w:line="240" w:lineRule="auto"/>
      </w:pPr>
      <w:r>
        <w:separator/>
      </w:r>
    </w:p>
  </w:footnote>
  <w:footnote w:type="continuationSeparator" w:id="0">
    <w:p w:rsidR="00F21B49" w:rsidRDefault="00F21B49" w:rsidP="00F21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49" w:rsidRDefault="00F21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49" w:rsidRDefault="00F21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49" w:rsidRDefault="00F21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49"/>
    <w:rsid w:val="00767449"/>
    <w:rsid w:val="00B11D6D"/>
    <w:rsid w:val="00F2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8E118"/>
  <w15:chartTrackingRefBased/>
  <w15:docId w15:val="{44092DC0-572F-4A4A-A64D-4D219C6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B49"/>
    <w:pPr>
      <w:spacing w:after="0" w:line="240" w:lineRule="auto"/>
    </w:pPr>
    <w:rPr>
      <w:sz w:val="24"/>
      <w:szCs w:val="24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49"/>
  </w:style>
  <w:style w:type="paragraph" w:styleId="Footer">
    <w:name w:val="footer"/>
    <w:basedOn w:val="Normal"/>
    <w:link w:val="FooterChar"/>
    <w:uiPriority w:val="99"/>
    <w:unhideWhenUsed/>
    <w:rsid w:val="00F21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 Power</dc:creator>
  <cp:keywords/>
  <dc:description/>
  <cp:lastModifiedBy>Emmet Power</cp:lastModifiedBy>
  <cp:revision>1</cp:revision>
  <dcterms:created xsi:type="dcterms:W3CDTF">2024-10-15T18:50:00Z</dcterms:created>
  <dcterms:modified xsi:type="dcterms:W3CDTF">2024-10-15T18:51:00Z</dcterms:modified>
</cp:coreProperties>
</file>