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7FEC2" w14:textId="0946D4EE" w:rsidR="00D81701" w:rsidRPr="00F5091F" w:rsidRDefault="00180C4F" w:rsidP="00E15EFC">
      <w:pPr>
        <w:jc w:val="center"/>
        <w:rPr>
          <w:b/>
          <w:bCs w:val="0"/>
        </w:rPr>
      </w:pPr>
      <w:r>
        <w:rPr>
          <w:b/>
          <w:bCs w:val="0"/>
          <w:noProof/>
        </w:rPr>
        <w:drawing>
          <wp:inline distT="0" distB="0" distL="0" distR="0" wp14:anchorId="7D635D70" wp14:editId="1EA3BEC9">
            <wp:extent cx="5943600" cy="2247900"/>
            <wp:effectExtent l="0" t="0" r="0" b="0"/>
            <wp:docPr id="49204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46577" name="Picture 492046577"/>
                    <pic:cNvPicPr/>
                  </pic:nvPicPr>
                  <pic:blipFill rotWithShape="1">
                    <a:blip r:embed="rId4"/>
                    <a:srcRect t="25071" b="24501"/>
                    <a:stretch>
                      <a:fillRect/>
                    </a:stretch>
                  </pic:blipFill>
                  <pic:spPr bwMode="auto">
                    <a:xfrm>
                      <a:off x="0" y="0"/>
                      <a:ext cx="5943600" cy="2247900"/>
                    </a:xfrm>
                    <a:prstGeom prst="rect">
                      <a:avLst/>
                    </a:prstGeom>
                    <a:ln>
                      <a:noFill/>
                    </a:ln>
                    <a:extLst>
                      <a:ext uri="{53640926-AAD7-44D8-BBD7-CCE9431645EC}">
                        <a14:shadowObscured xmlns:a14="http://schemas.microsoft.com/office/drawing/2010/main"/>
                      </a:ext>
                    </a:extLst>
                  </pic:spPr>
                </pic:pic>
              </a:graphicData>
            </a:graphic>
          </wp:inline>
        </w:drawing>
      </w:r>
    </w:p>
    <w:p w14:paraId="018C2D19" w14:textId="77777777" w:rsidR="00D81701" w:rsidRDefault="00D81701"/>
    <w:p w14:paraId="004E82C9" w14:textId="474875C2" w:rsidR="00D81701" w:rsidRDefault="00D81701">
      <w:r w:rsidRPr="00AA3EB6">
        <w:rPr>
          <w:b/>
          <w:bCs w:val="0"/>
        </w:rPr>
        <w:t>Supplementary Figure 1: Differences in chow intake following cannabinoid receptor agonist</w:t>
      </w:r>
      <w:r w:rsidRPr="006B2DE7">
        <w:rPr>
          <w:b/>
          <w:bCs w:val="0"/>
        </w:rPr>
        <w:t xml:space="preserve"> CP55940</w:t>
      </w:r>
      <w:r w:rsidRPr="00AA3EB6">
        <w:rPr>
          <w:b/>
          <w:bCs w:val="0"/>
        </w:rPr>
        <w:t xml:space="preserve"> and </w:t>
      </w:r>
      <w:r w:rsidRPr="006B2DE7">
        <w:rPr>
          <w:b/>
          <w:bCs w:val="0"/>
        </w:rPr>
        <w:t>OX1 receptor antagonist SB334867</w:t>
      </w:r>
      <w:r>
        <w:rPr>
          <w:b/>
          <w:bCs w:val="0"/>
        </w:rPr>
        <w:t xml:space="preserve">. </w:t>
      </w:r>
      <w:r>
        <w:t xml:space="preserve">Two-way ANOVA </w:t>
      </w:r>
      <w:r w:rsidR="00B97D6A">
        <w:t>and post-hoc analys</w:t>
      </w:r>
      <w:r w:rsidR="00AE0E7A">
        <w:t>e</w:t>
      </w:r>
      <w:r w:rsidR="00B97D6A">
        <w:t xml:space="preserve">s </w:t>
      </w:r>
      <w:r>
        <w:t xml:space="preserve">of food intake revealed that chow intake </w:t>
      </w:r>
      <w:r w:rsidR="009B045F">
        <w:t>was</w:t>
      </w:r>
      <w:r>
        <w:t xml:space="preserve"> </w:t>
      </w:r>
      <w:r w:rsidR="009B045F">
        <w:t>increased</w:t>
      </w:r>
      <w:r>
        <w:t xml:space="preserve"> following CP55940</w:t>
      </w:r>
      <w:r w:rsidR="008D5AC0">
        <w:t xml:space="preserve"> alone</w:t>
      </w:r>
      <w:r>
        <w:t xml:space="preserve"> and </w:t>
      </w:r>
      <w:r w:rsidR="009B7462">
        <w:t xml:space="preserve">CP55940-induced hyperphagia </w:t>
      </w:r>
      <w:r>
        <w:t xml:space="preserve">was blocked by SB334867 up to four hours after food access was returned (A). </w:t>
      </w:r>
      <w:r w:rsidR="000A52E8">
        <w:t xml:space="preserve">Cannabinoid-induced hyperphagia was diminished by </w:t>
      </w:r>
      <w:r w:rsidR="00995F9A">
        <w:t>six hours after food access was returned</w:t>
      </w:r>
      <w:r w:rsidR="00820078">
        <w:t>, but food intake in the SB</w:t>
      </w:r>
      <w:r w:rsidR="005D1198">
        <w:t>334867</w:t>
      </w:r>
      <w:r w:rsidR="00820078">
        <w:t>—CP</w:t>
      </w:r>
      <w:r w:rsidR="005D1198">
        <w:t>55940</w:t>
      </w:r>
      <w:r w:rsidR="00820078">
        <w:t xml:space="preserve"> group was </w:t>
      </w:r>
      <w:r w:rsidR="005D1198">
        <w:t xml:space="preserve">still below that of CP55940 alone (B). </w:t>
      </w:r>
      <w:r w:rsidR="003F3636">
        <w:t xml:space="preserve">These changes were transient, as there were no differences in cumulative food intake over the twenty-three-hour </w:t>
      </w:r>
      <w:r w:rsidR="00F5091F">
        <w:t xml:space="preserve">period. </w:t>
      </w:r>
    </w:p>
    <w:p w14:paraId="71C0C1A4" w14:textId="77777777" w:rsidR="00043AF6" w:rsidRDefault="00043AF6"/>
    <w:p w14:paraId="4524E022" w14:textId="77777777" w:rsidR="000565D4" w:rsidRDefault="000565D4"/>
    <w:p w14:paraId="3C72DFCC" w14:textId="77777777" w:rsidR="004C4567" w:rsidRDefault="004C4567"/>
    <w:p w14:paraId="7E244A7E" w14:textId="77777777" w:rsidR="004C4567" w:rsidRDefault="004C4567"/>
    <w:tbl>
      <w:tblPr>
        <w:tblStyle w:val="TableGrid"/>
        <w:tblW w:w="9985" w:type="dxa"/>
        <w:jc w:val="center"/>
        <w:tblLayout w:type="fixed"/>
        <w:tblLook w:val="04A0" w:firstRow="1" w:lastRow="0" w:firstColumn="1" w:lastColumn="0" w:noHBand="0" w:noVBand="1"/>
      </w:tblPr>
      <w:tblGrid>
        <w:gridCol w:w="1165"/>
        <w:gridCol w:w="1260"/>
        <w:gridCol w:w="1260"/>
        <w:gridCol w:w="1260"/>
        <w:gridCol w:w="1260"/>
        <w:gridCol w:w="1260"/>
        <w:gridCol w:w="1260"/>
        <w:gridCol w:w="1260"/>
      </w:tblGrid>
      <w:tr w:rsidR="008B7E6F" w:rsidRPr="008B7E6F" w14:paraId="0E34F40C" w14:textId="77777777" w:rsidTr="008B7E6F">
        <w:trPr>
          <w:jc w:val="center"/>
        </w:trPr>
        <w:tc>
          <w:tcPr>
            <w:tcW w:w="1165" w:type="dxa"/>
          </w:tcPr>
          <w:p w14:paraId="509CC539" w14:textId="77777777" w:rsidR="002D1EAE" w:rsidRPr="008B7E6F" w:rsidRDefault="002D1EAE" w:rsidP="00A54404">
            <w:pPr>
              <w:rPr>
                <w:rFonts w:ascii="Arial Narrow" w:hAnsi="Arial Narrow"/>
                <w:b/>
              </w:rPr>
            </w:pPr>
            <w:r w:rsidRPr="008B7E6F">
              <w:rPr>
                <w:rFonts w:ascii="Arial Narrow" w:hAnsi="Arial Narrow"/>
                <w:b/>
              </w:rPr>
              <w:t>Treatment</w:t>
            </w:r>
          </w:p>
        </w:tc>
        <w:tc>
          <w:tcPr>
            <w:tcW w:w="1260" w:type="dxa"/>
          </w:tcPr>
          <w:p w14:paraId="2946F65F" w14:textId="77777777" w:rsidR="002D1EAE" w:rsidRPr="008B7E6F" w:rsidRDefault="002D1EAE" w:rsidP="00A54404">
            <w:pPr>
              <w:rPr>
                <w:rFonts w:ascii="Arial Narrow" w:hAnsi="Arial Narrow"/>
                <w:b/>
              </w:rPr>
            </w:pPr>
            <w:r w:rsidRPr="008B7E6F">
              <w:rPr>
                <w:rFonts w:ascii="Arial Narrow" w:hAnsi="Arial Narrow"/>
                <w:b/>
              </w:rPr>
              <w:t>0-1 hour</w:t>
            </w:r>
          </w:p>
        </w:tc>
        <w:tc>
          <w:tcPr>
            <w:tcW w:w="1260" w:type="dxa"/>
          </w:tcPr>
          <w:p w14:paraId="22666C1C" w14:textId="77777777" w:rsidR="002D1EAE" w:rsidRPr="008B7E6F" w:rsidRDefault="002D1EAE" w:rsidP="00A54404">
            <w:pPr>
              <w:rPr>
                <w:rFonts w:ascii="Arial Narrow" w:hAnsi="Arial Narrow"/>
                <w:b/>
              </w:rPr>
            </w:pPr>
            <w:r w:rsidRPr="008B7E6F">
              <w:rPr>
                <w:rFonts w:ascii="Arial Narrow" w:hAnsi="Arial Narrow"/>
                <w:b/>
              </w:rPr>
              <w:t>1-2 hour</w:t>
            </w:r>
          </w:p>
        </w:tc>
        <w:tc>
          <w:tcPr>
            <w:tcW w:w="1260" w:type="dxa"/>
          </w:tcPr>
          <w:p w14:paraId="4E4E4098" w14:textId="77777777" w:rsidR="002D1EAE" w:rsidRPr="008B7E6F" w:rsidRDefault="002D1EAE" w:rsidP="00A54404">
            <w:pPr>
              <w:rPr>
                <w:rFonts w:ascii="Arial Narrow" w:hAnsi="Arial Narrow"/>
                <w:b/>
              </w:rPr>
            </w:pPr>
            <w:r w:rsidRPr="008B7E6F">
              <w:rPr>
                <w:rFonts w:ascii="Arial Narrow" w:hAnsi="Arial Narrow"/>
                <w:b/>
              </w:rPr>
              <w:t>2-3 hour</w:t>
            </w:r>
          </w:p>
        </w:tc>
        <w:tc>
          <w:tcPr>
            <w:tcW w:w="1260" w:type="dxa"/>
          </w:tcPr>
          <w:p w14:paraId="2B10D991" w14:textId="77777777" w:rsidR="002D1EAE" w:rsidRPr="008B7E6F" w:rsidRDefault="002D1EAE" w:rsidP="00A54404">
            <w:pPr>
              <w:rPr>
                <w:rFonts w:ascii="Arial Narrow" w:hAnsi="Arial Narrow"/>
                <w:b/>
              </w:rPr>
            </w:pPr>
            <w:r w:rsidRPr="008B7E6F">
              <w:rPr>
                <w:rFonts w:ascii="Arial Narrow" w:hAnsi="Arial Narrow"/>
                <w:b/>
              </w:rPr>
              <w:t>3-4 hour</w:t>
            </w:r>
          </w:p>
        </w:tc>
        <w:tc>
          <w:tcPr>
            <w:tcW w:w="1260" w:type="dxa"/>
          </w:tcPr>
          <w:p w14:paraId="40775B0E" w14:textId="77777777" w:rsidR="002D1EAE" w:rsidRPr="008B7E6F" w:rsidRDefault="002D1EAE" w:rsidP="00A54404">
            <w:pPr>
              <w:rPr>
                <w:rFonts w:ascii="Arial Narrow" w:hAnsi="Arial Narrow"/>
                <w:b/>
              </w:rPr>
            </w:pPr>
            <w:r w:rsidRPr="008B7E6F">
              <w:rPr>
                <w:rFonts w:ascii="Arial Narrow" w:hAnsi="Arial Narrow"/>
                <w:b/>
              </w:rPr>
              <w:t>4-6 hour</w:t>
            </w:r>
          </w:p>
        </w:tc>
        <w:tc>
          <w:tcPr>
            <w:tcW w:w="1260" w:type="dxa"/>
          </w:tcPr>
          <w:p w14:paraId="3DECF796" w14:textId="77777777" w:rsidR="002D1EAE" w:rsidRPr="008B7E6F" w:rsidRDefault="002D1EAE" w:rsidP="00A54404">
            <w:pPr>
              <w:rPr>
                <w:rFonts w:ascii="Arial Narrow" w:hAnsi="Arial Narrow"/>
                <w:b/>
              </w:rPr>
            </w:pPr>
            <w:r w:rsidRPr="008B7E6F">
              <w:rPr>
                <w:rFonts w:ascii="Arial Narrow" w:hAnsi="Arial Narrow"/>
                <w:b/>
              </w:rPr>
              <w:t>6-12 hour</w:t>
            </w:r>
          </w:p>
        </w:tc>
        <w:tc>
          <w:tcPr>
            <w:tcW w:w="1260" w:type="dxa"/>
          </w:tcPr>
          <w:p w14:paraId="46E3049E" w14:textId="77777777" w:rsidR="002D1EAE" w:rsidRPr="008B7E6F" w:rsidRDefault="002D1EAE" w:rsidP="00A54404">
            <w:pPr>
              <w:rPr>
                <w:rFonts w:ascii="Arial Narrow" w:hAnsi="Arial Narrow"/>
                <w:b/>
              </w:rPr>
            </w:pPr>
            <w:r w:rsidRPr="008B7E6F">
              <w:rPr>
                <w:rFonts w:ascii="Arial Narrow" w:hAnsi="Arial Narrow"/>
                <w:b/>
              </w:rPr>
              <w:t>12-23 hour (light cycle)</w:t>
            </w:r>
          </w:p>
        </w:tc>
      </w:tr>
      <w:tr w:rsidR="008B7E6F" w:rsidRPr="00387456" w14:paraId="0ECFDD45" w14:textId="77777777" w:rsidTr="008B7E6F">
        <w:trPr>
          <w:jc w:val="center"/>
        </w:trPr>
        <w:tc>
          <w:tcPr>
            <w:tcW w:w="1165" w:type="dxa"/>
          </w:tcPr>
          <w:p w14:paraId="20833140" w14:textId="77777777" w:rsidR="002D1EAE" w:rsidRPr="008B7E6F" w:rsidRDefault="002D1EAE" w:rsidP="00A54404">
            <w:pPr>
              <w:rPr>
                <w:rFonts w:ascii="Arial Narrow" w:hAnsi="Arial Narrow"/>
                <w:b/>
              </w:rPr>
            </w:pPr>
            <w:proofErr w:type="spellStart"/>
            <w:r w:rsidRPr="008B7E6F">
              <w:rPr>
                <w:rFonts w:ascii="Arial Narrow" w:hAnsi="Arial Narrow"/>
                <w:b/>
              </w:rPr>
              <w:t>i.p.</w:t>
            </w:r>
            <w:proofErr w:type="spellEnd"/>
            <w:r w:rsidRPr="008B7E6F">
              <w:rPr>
                <w:rFonts w:ascii="Arial Narrow" w:hAnsi="Arial Narrow"/>
                <w:b/>
              </w:rPr>
              <w:t xml:space="preserve"> </w:t>
            </w:r>
            <w:proofErr w:type="spellStart"/>
            <w:r w:rsidRPr="008B7E6F">
              <w:rPr>
                <w:rFonts w:ascii="Arial Narrow" w:hAnsi="Arial Narrow"/>
                <w:b/>
              </w:rPr>
              <w:t>veh</w:t>
            </w:r>
            <w:proofErr w:type="spellEnd"/>
            <w:r w:rsidRPr="008B7E6F">
              <w:rPr>
                <w:rFonts w:ascii="Arial Narrow" w:hAnsi="Arial Narrow"/>
                <w:b/>
              </w:rPr>
              <w:t>/</w:t>
            </w:r>
          </w:p>
          <w:p w14:paraId="64052343" w14:textId="77777777" w:rsidR="002D1EAE" w:rsidRPr="008B7E6F" w:rsidRDefault="002D1EAE" w:rsidP="00A54404">
            <w:pPr>
              <w:rPr>
                <w:rFonts w:ascii="Arial Narrow" w:hAnsi="Arial Narrow"/>
                <w:b/>
              </w:rPr>
            </w:pPr>
            <w:r w:rsidRPr="008B7E6F">
              <w:rPr>
                <w:rFonts w:ascii="Arial Narrow" w:hAnsi="Arial Narrow"/>
                <w:b/>
              </w:rPr>
              <w:t xml:space="preserve">oral </w:t>
            </w:r>
            <w:proofErr w:type="spellStart"/>
            <w:r w:rsidRPr="008B7E6F">
              <w:rPr>
                <w:rFonts w:ascii="Arial Narrow" w:hAnsi="Arial Narrow"/>
                <w:b/>
              </w:rPr>
              <w:t>veh</w:t>
            </w:r>
            <w:proofErr w:type="spellEnd"/>
          </w:p>
        </w:tc>
        <w:tc>
          <w:tcPr>
            <w:tcW w:w="1260" w:type="dxa"/>
            <w:vAlign w:val="bottom"/>
          </w:tcPr>
          <w:p w14:paraId="3426B854"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3.13 (+/- 0.24)</w:t>
            </w:r>
          </w:p>
        </w:tc>
        <w:tc>
          <w:tcPr>
            <w:tcW w:w="1260" w:type="dxa"/>
            <w:vAlign w:val="bottom"/>
          </w:tcPr>
          <w:p w14:paraId="4C7A3313"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0.79 (+/- 0.33)</w:t>
            </w:r>
          </w:p>
        </w:tc>
        <w:tc>
          <w:tcPr>
            <w:tcW w:w="1260" w:type="dxa"/>
            <w:vAlign w:val="bottom"/>
          </w:tcPr>
          <w:p w14:paraId="07064176"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1.45 (+/- 0.58)</w:t>
            </w:r>
          </w:p>
        </w:tc>
        <w:tc>
          <w:tcPr>
            <w:tcW w:w="1260" w:type="dxa"/>
            <w:vAlign w:val="bottom"/>
          </w:tcPr>
          <w:p w14:paraId="160A1261"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1.30 (+/- 0.59)</w:t>
            </w:r>
          </w:p>
        </w:tc>
        <w:tc>
          <w:tcPr>
            <w:tcW w:w="1260" w:type="dxa"/>
            <w:vAlign w:val="bottom"/>
          </w:tcPr>
          <w:p w14:paraId="1B6FC3CB"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2.85 (+/- 0.21)</w:t>
            </w:r>
          </w:p>
        </w:tc>
        <w:tc>
          <w:tcPr>
            <w:tcW w:w="1260" w:type="dxa"/>
            <w:vAlign w:val="bottom"/>
          </w:tcPr>
          <w:p w14:paraId="29B71133"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9.69 (+/- 0.83)</w:t>
            </w:r>
          </w:p>
        </w:tc>
        <w:tc>
          <w:tcPr>
            <w:tcW w:w="1260" w:type="dxa"/>
            <w:vAlign w:val="bottom"/>
          </w:tcPr>
          <w:p w14:paraId="6F1B8BD2"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7.33 (+/- 0.78)</w:t>
            </w:r>
          </w:p>
        </w:tc>
      </w:tr>
      <w:tr w:rsidR="008B7E6F" w:rsidRPr="00387456" w14:paraId="685483D7" w14:textId="77777777" w:rsidTr="008B7E6F">
        <w:trPr>
          <w:jc w:val="center"/>
        </w:trPr>
        <w:tc>
          <w:tcPr>
            <w:tcW w:w="1165" w:type="dxa"/>
          </w:tcPr>
          <w:p w14:paraId="57685BC8" w14:textId="77777777" w:rsidR="002D1EAE" w:rsidRPr="008B7E6F" w:rsidRDefault="002D1EAE" w:rsidP="00A54404">
            <w:pPr>
              <w:rPr>
                <w:rFonts w:ascii="Arial Narrow" w:hAnsi="Arial Narrow"/>
                <w:b/>
              </w:rPr>
            </w:pPr>
            <w:proofErr w:type="spellStart"/>
            <w:r w:rsidRPr="008B7E6F">
              <w:rPr>
                <w:rFonts w:ascii="Arial Narrow" w:hAnsi="Arial Narrow"/>
                <w:b/>
              </w:rPr>
              <w:t>i.p.</w:t>
            </w:r>
            <w:proofErr w:type="spellEnd"/>
            <w:r w:rsidRPr="008B7E6F">
              <w:rPr>
                <w:rFonts w:ascii="Arial Narrow" w:hAnsi="Arial Narrow"/>
                <w:b/>
              </w:rPr>
              <w:t xml:space="preserve"> SB/</w:t>
            </w:r>
          </w:p>
          <w:p w14:paraId="5995FEF1" w14:textId="77777777" w:rsidR="002D1EAE" w:rsidRPr="008B7E6F" w:rsidRDefault="002D1EAE" w:rsidP="00A54404">
            <w:pPr>
              <w:rPr>
                <w:rFonts w:ascii="Arial Narrow" w:hAnsi="Arial Narrow"/>
                <w:b/>
              </w:rPr>
            </w:pPr>
            <w:r w:rsidRPr="008B7E6F">
              <w:rPr>
                <w:rFonts w:ascii="Arial Narrow" w:hAnsi="Arial Narrow"/>
                <w:b/>
              </w:rPr>
              <w:t xml:space="preserve">oral </w:t>
            </w:r>
            <w:proofErr w:type="spellStart"/>
            <w:r w:rsidRPr="008B7E6F">
              <w:rPr>
                <w:rFonts w:ascii="Arial Narrow" w:hAnsi="Arial Narrow"/>
                <w:b/>
              </w:rPr>
              <w:t>veh</w:t>
            </w:r>
            <w:proofErr w:type="spellEnd"/>
          </w:p>
        </w:tc>
        <w:tc>
          <w:tcPr>
            <w:tcW w:w="1260" w:type="dxa"/>
            <w:vAlign w:val="bottom"/>
          </w:tcPr>
          <w:p w14:paraId="6A6243FB"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2.89 (+/- 0.67)</w:t>
            </w:r>
          </w:p>
        </w:tc>
        <w:tc>
          <w:tcPr>
            <w:tcW w:w="1260" w:type="dxa"/>
            <w:vAlign w:val="bottom"/>
          </w:tcPr>
          <w:p w14:paraId="56D6EB9E"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0.69 (+/- 0.45)</w:t>
            </w:r>
          </w:p>
        </w:tc>
        <w:tc>
          <w:tcPr>
            <w:tcW w:w="1260" w:type="dxa"/>
            <w:vAlign w:val="bottom"/>
          </w:tcPr>
          <w:p w14:paraId="0E19FAC5"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1.87 (+/- 0.59)</w:t>
            </w:r>
          </w:p>
        </w:tc>
        <w:tc>
          <w:tcPr>
            <w:tcW w:w="1260" w:type="dxa"/>
            <w:vAlign w:val="bottom"/>
          </w:tcPr>
          <w:p w14:paraId="15B62066"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0.48 (+/- 0.35)</w:t>
            </w:r>
          </w:p>
        </w:tc>
        <w:tc>
          <w:tcPr>
            <w:tcW w:w="1260" w:type="dxa"/>
            <w:vAlign w:val="bottom"/>
          </w:tcPr>
          <w:p w14:paraId="0705B1D0"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2.52 (+/- 0.70)</w:t>
            </w:r>
          </w:p>
        </w:tc>
        <w:tc>
          <w:tcPr>
            <w:tcW w:w="1260" w:type="dxa"/>
            <w:vAlign w:val="bottom"/>
          </w:tcPr>
          <w:p w14:paraId="00833A5B"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8.99 (+/-1.12)</w:t>
            </w:r>
          </w:p>
        </w:tc>
        <w:tc>
          <w:tcPr>
            <w:tcW w:w="1260" w:type="dxa"/>
            <w:vAlign w:val="bottom"/>
          </w:tcPr>
          <w:p w14:paraId="4562549A"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6.96 (+/- 0.79)</w:t>
            </w:r>
          </w:p>
        </w:tc>
      </w:tr>
      <w:tr w:rsidR="008B7E6F" w:rsidRPr="00387456" w14:paraId="66A010C6" w14:textId="77777777" w:rsidTr="008B7E6F">
        <w:trPr>
          <w:jc w:val="center"/>
        </w:trPr>
        <w:tc>
          <w:tcPr>
            <w:tcW w:w="1165" w:type="dxa"/>
          </w:tcPr>
          <w:p w14:paraId="0D52C9FE" w14:textId="77777777" w:rsidR="002D1EAE" w:rsidRPr="008B7E6F" w:rsidRDefault="002D1EAE" w:rsidP="00A54404">
            <w:pPr>
              <w:rPr>
                <w:rFonts w:ascii="Arial Narrow" w:hAnsi="Arial Narrow"/>
                <w:b/>
              </w:rPr>
            </w:pPr>
            <w:proofErr w:type="spellStart"/>
            <w:r w:rsidRPr="008B7E6F">
              <w:rPr>
                <w:rFonts w:ascii="Arial Narrow" w:hAnsi="Arial Narrow"/>
                <w:b/>
              </w:rPr>
              <w:t>i.p.</w:t>
            </w:r>
            <w:proofErr w:type="spellEnd"/>
            <w:r w:rsidRPr="008B7E6F">
              <w:rPr>
                <w:rFonts w:ascii="Arial Narrow" w:hAnsi="Arial Narrow"/>
                <w:b/>
              </w:rPr>
              <w:t xml:space="preserve"> </w:t>
            </w:r>
            <w:proofErr w:type="spellStart"/>
            <w:r w:rsidRPr="008B7E6F">
              <w:rPr>
                <w:rFonts w:ascii="Arial Narrow" w:hAnsi="Arial Narrow"/>
                <w:b/>
              </w:rPr>
              <w:t>veh</w:t>
            </w:r>
            <w:proofErr w:type="spellEnd"/>
            <w:r w:rsidRPr="008B7E6F">
              <w:rPr>
                <w:rFonts w:ascii="Arial Narrow" w:hAnsi="Arial Narrow"/>
                <w:b/>
              </w:rPr>
              <w:t>/</w:t>
            </w:r>
          </w:p>
          <w:p w14:paraId="3C1BC48E" w14:textId="77777777" w:rsidR="002D1EAE" w:rsidRPr="008B7E6F" w:rsidRDefault="002D1EAE" w:rsidP="00A54404">
            <w:pPr>
              <w:rPr>
                <w:rFonts w:ascii="Arial Narrow" w:hAnsi="Arial Narrow"/>
                <w:b/>
              </w:rPr>
            </w:pPr>
            <w:r w:rsidRPr="008B7E6F">
              <w:rPr>
                <w:rFonts w:ascii="Arial Narrow" w:hAnsi="Arial Narrow"/>
                <w:b/>
              </w:rPr>
              <w:t>oral CP</w:t>
            </w:r>
          </w:p>
        </w:tc>
        <w:tc>
          <w:tcPr>
            <w:tcW w:w="1260" w:type="dxa"/>
            <w:vAlign w:val="bottom"/>
          </w:tcPr>
          <w:p w14:paraId="105046AB"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7.17 (+/- 1.93)</w:t>
            </w:r>
          </w:p>
        </w:tc>
        <w:tc>
          <w:tcPr>
            <w:tcW w:w="1260" w:type="dxa"/>
            <w:vAlign w:val="bottom"/>
          </w:tcPr>
          <w:p w14:paraId="72B3C1BE"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1.40 (+/- 0.90)</w:t>
            </w:r>
          </w:p>
        </w:tc>
        <w:tc>
          <w:tcPr>
            <w:tcW w:w="1260" w:type="dxa"/>
            <w:vAlign w:val="bottom"/>
          </w:tcPr>
          <w:p w14:paraId="751C9BFE"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0.16 (+/- 0.16)</w:t>
            </w:r>
          </w:p>
        </w:tc>
        <w:tc>
          <w:tcPr>
            <w:tcW w:w="1260" w:type="dxa"/>
            <w:vAlign w:val="bottom"/>
          </w:tcPr>
          <w:p w14:paraId="659956C8"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0.91 (+/- 0.60)</w:t>
            </w:r>
          </w:p>
        </w:tc>
        <w:tc>
          <w:tcPr>
            <w:tcW w:w="1260" w:type="dxa"/>
            <w:vAlign w:val="bottom"/>
          </w:tcPr>
          <w:p w14:paraId="46A32C12"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2.78 (+/- 0.58)</w:t>
            </w:r>
          </w:p>
        </w:tc>
        <w:tc>
          <w:tcPr>
            <w:tcW w:w="1260" w:type="dxa"/>
            <w:vAlign w:val="bottom"/>
          </w:tcPr>
          <w:p w14:paraId="7CDE7A37"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7.28 (+/- 0.80)</w:t>
            </w:r>
          </w:p>
        </w:tc>
        <w:tc>
          <w:tcPr>
            <w:tcW w:w="1260" w:type="dxa"/>
            <w:vAlign w:val="bottom"/>
          </w:tcPr>
          <w:p w14:paraId="7E037B59"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6.78 (+/- 1.20)</w:t>
            </w:r>
          </w:p>
        </w:tc>
      </w:tr>
      <w:tr w:rsidR="008B7E6F" w:rsidRPr="00387456" w14:paraId="28E54E95" w14:textId="77777777" w:rsidTr="008B7E6F">
        <w:trPr>
          <w:jc w:val="center"/>
        </w:trPr>
        <w:tc>
          <w:tcPr>
            <w:tcW w:w="1165" w:type="dxa"/>
          </w:tcPr>
          <w:p w14:paraId="25B0571F" w14:textId="77777777" w:rsidR="002D1EAE" w:rsidRPr="008B7E6F" w:rsidRDefault="002D1EAE" w:rsidP="00A54404">
            <w:pPr>
              <w:rPr>
                <w:rFonts w:ascii="Arial Narrow" w:hAnsi="Arial Narrow"/>
                <w:b/>
              </w:rPr>
            </w:pPr>
            <w:proofErr w:type="spellStart"/>
            <w:r w:rsidRPr="008B7E6F">
              <w:rPr>
                <w:rFonts w:ascii="Arial Narrow" w:hAnsi="Arial Narrow"/>
                <w:b/>
              </w:rPr>
              <w:t>i.p.</w:t>
            </w:r>
            <w:proofErr w:type="spellEnd"/>
            <w:r w:rsidRPr="008B7E6F">
              <w:rPr>
                <w:rFonts w:ascii="Arial Narrow" w:hAnsi="Arial Narrow"/>
                <w:b/>
              </w:rPr>
              <w:t xml:space="preserve"> SB/</w:t>
            </w:r>
          </w:p>
          <w:p w14:paraId="790AF5E8" w14:textId="77777777" w:rsidR="002D1EAE" w:rsidRPr="008B7E6F" w:rsidRDefault="002D1EAE" w:rsidP="00A54404">
            <w:pPr>
              <w:rPr>
                <w:rFonts w:ascii="Arial Narrow" w:hAnsi="Arial Narrow"/>
                <w:b/>
              </w:rPr>
            </w:pPr>
            <w:r w:rsidRPr="008B7E6F">
              <w:rPr>
                <w:rFonts w:ascii="Arial Narrow" w:hAnsi="Arial Narrow"/>
                <w:b/>
              </w:rPr>
              <w:t>oral CP</w:t>
            </w:r>
          </w:p>
        </w:tc>
        <w:tc>
          <w:tcPr>
            <w:tcW w:w="1260" w:type="dxa"/>
            <w:vAlign w:val="bottom"/>
          </w:tcPr>
          <w:p w14:paraId="3488C795"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3.82 (+/- 1.20)</w:t>
            </w:r>
          </w:p>
        </w:tc>
        <w:tc>
          <w:tcPr>
            <w:tcW w:w="1260" w:type="dxa"/>
            <w:vAlign w:val="bottom"/>
          </w:tcPr>
          <w:p w14:paraId="7E5D742B"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1.26 (+/- 0.39)</w:t>
            </w:r>
          </w:p>
        </w:tc>
        <w:tc>
          <w:tcPr>
            <w:tcW w:w="1260" w:type="dxa"/>
            <w:vAlign w:val="bottom"/>
          </w:tcPr>
          <w:p w14:paraId="623E9C0A"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0.60 (+/- 0.42)</w:t>
            </w:r>
          </w:p>
        </w:tc>
        <w:tc>
          <w:tcPr>
            <w:tcW w:w="1260" w:type="dxa"/>
            <w:vAlign w:val="bottom"/>
          </w:tcPr>
          <w:p w14:paraId="16F52698"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0.60 (+/- 0.36)</w:t>
            </w:r>
          </w:p>
        </w:tc>
        <w:tc>
          <w:tcPr>
            <w:tcW w:w="1260" w:type="dxa"/>
            <w:vAlign w:val="bottom"/>
          </w:tcPr>
          <w:p w14:paraId="55D64B77"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3.13 (+/- 0.88)</w:t>
            </w:r>
          </w:p>
        </w:tc>
        <w:tc>
          <w:tcPr>
            <w:tcW w:w="1260" w:type="dxa"/>
            <w:vAlign w:val="bottom"/>
          </w:tcPr>
          <w:p w14:paraId="191A018E"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8.24 (+/- 1.05)</w:t>
            </w:r>
          </w:p>
        </w:tc>
        <w:tc>
          <w:tcPr>
            <w:tcW w:w="1260" w:type="dxa"/>
            <w:vAlign w:val="bottom"/>
          </w:tcPr>
          <w:p w14:paraId="15BA5897" w14:textId="77777777" w:rsidR="002D1EAE" w:rsidRPr="00387456" w:rsidRDefault="002D1EAE" w:rsidP="00A54404">
            <w:pPr>
              <w:rPr>
                <w:rFonts w:ascii="Arial Narrow" w:hAnsi="Arial Narrow"/>
                <w:bCs w:val="0"/>
                <w:sz w:val="20"/>
                <w:szCs w:val="20"/>
              </w:rPr>
            </w:pPr>
            <w:r w:rsidRPr="00387456">
              <w:rPr>
                <w:rFonts w:ascii="Arial Narrow" w:hAnsi="Arial Narrow"/>
                <w:bCs w:val="0"/>
                <w:color w:val="000000"/>
                <w:sz w:val="20"/>
                <w:szCs w:val="20"/>
              </w:rPr>
              <w:t>7.17 (+/- 0.56)</w:t>
            </w:r>
          </w:p>
        </w:tc>
      </w:tr>
    </w:tbl>
    <w:p w14:paraId="3E1ECA9E" w14:textId="77777777" w:rsidR="004C4567" w:rsidRDefault="004C4567"/>
    <w:p w14:paraId="791C67BF" w14:textId="0AEB92C9" w:rsidR="0009526D" w:rsidRDefault="0009526D">
      <w:r w:rsidRPr="009D494A">
        <w:rPr>
          <w:b/>
          <w:bCs w:val="0"/>
        </w:rPr>
        <w:t xml:space="preserve">Supplementary </w:t>
      </w:r>
      <w:r w:rsidR="008A5B9B">
        <w:rPr>
          <w:b/>
          <w:bCs w:val="0"/>
        </w:rPr>
        <w:t>T</w:t>
      </w:r>
      <w:r w:rsidRPr="009D494A">
        <w:rPr>
          <w:b/>
          <w:bCs w:val="0"/>
        </w:rPr>
        <w:t xml:space="preserve">able 1: </w:t>
      </w:r>
      <w:r w:rsidR="009D494A" w:rsidRPr="009D494A">
        <w:rPr>
          <w:b/>
          <w:bCs w:val="0"/>
        </w:rPr>
        <w:t>Non-cumulative</w:t>
      </w:r>
      <w:r w:rsidR="009D494A">
        <w:t xml:space="preserve"> </w:t>
      </w:r>
      <w:r w:rsidR="009D494A">
        <w:rPr>
          <w:b/>
          <w:bCs w:val="0"/>
        </w:rPr>
        <w:t>c</w:t>
      </w:r>
      <w:r w:rsidR="007D26AB" w:rsidRPr="00AA3EB6">
        <w:rPr>
          <w:b/>
          <w:bCs w:val="0"/>
        </w:rPr>
        <w:t>how intake following cannabinoid receptor agonist</w:t>
      </w:r>
      <w:r w:rsidR="007D26AB" w:rsidRPr="006B2DE7">
        <w:rPr>
          <w:b/>
          <w:bCs w:val="0"/>
        </w:rPr>
        <w:t xml:space="preserve"> CP55940</w:t>
      </w:r>
      <w:r w:rsidR="007D26AB" w:rsidRPr="00AA3EB6">
        <w:rPr>
          <w:b/>
          <w:bCs w:val="0"/>
        </w:rPr>
        <w:t xml:space="preserve"> and </w:t>
      </w:r>
      <w:r w:rsidR="007D26AB" w:rsidRPr="006B2DE7">
        <w:rPr>
          <w:b/>
          <w:bCs w:val="0"/>
        </w:rPr>
        <w:t>OX1 receptor antagonist SB334867</w:t>
      </w:r>
      <w:r w:rsidR="00C44C02">
        <w:rPr>
          <w:b/>
          <w:bCs w:val="0"/>
        </w:rPr>
        <w:t>.</w:t>
      </w:r>
      <w:r w:rsidR="00C15FC9">
        <w:rPr>
          <w:b/>
          <w:bCs w:val="0"/>
        </w:rPr>
        <w:t xml:space="preserve"> </w:t>
      </w:r>
      <w:r w:rsidR="00C15FC9" w:rsidRPr="00C15FC9">
        <w:t>Each numerical cell represents the average (+/- SEM) grams of standard chow consumed by each condition during the hours indicated (n=8/treatment). Comparing each group within each timeframe</w:t>
      </w:r>
      <w:r w:rsidR="00FD019D">
        <w:t xml:space="preserve"> with two-way repeated measures </w:t>
      </w:r>
      <w:r w:rsidR="00584D96">
        <w:t>ANOVA</w:t>
      </w:r>
      <w:r w:rsidR="00C15FC9" w:rsidRPr="00C15FC9">
        <w:t xml:space="preserve"> did not yield any significant differences. However, one can see that for almost each timeframe beyond two hours, the cannabinoid group (</w:t>
      </w:r>
      <w:proofErr w:type="spellStart"/>
      <w:r w:rsidR="00C15FC9" w:rsidRPr="00C15FC9">
        <w:t>i.p.</w:t>
      </w:r>
      <w:proofErr w:type="spellEnd"/>
      <w:r w:rsidR="00C15FC9" w:rsidRPr="00C15FC9">
        <w:t xml:space="preserve"> </w:t>
      </w:r>
      <w:proofErr w:type="spellStart"/>
      <w:r w:rsidR="00C15FC9" w:rsidRPr="00C15FC9">
        <w:t>veh</w:t>
      </w:r>
      <w:proofErr w:type="spellEnd"/>
      <w:r w:rsidR="00C15FC9" w:rsidRPr="00C15FC9">
        <w:t>/oral CP) consumed fewer grams of chow than other groups, indicating a small, nonsignificant suppression of food intake across almost the entire measurement period from 2-23 hours after administration.</w:t>
      </w:r>
      <w:r w:rsidR="00C15FC9">
        <w:t xml:space="preserve"> </w:t>
      </w:r>
    </w:p>
    <w:p w14:paraId="048F8BCD" w14:textId="11C5456B" w:rsidR="00D81701" w:rsidRDefault="00B97D6A">
      <w:r>
        <w:br w:type="page"/>
      </w:r>
    </w:p>
    <w:p w14:paraId="28C2F973" w14:textId="2602158C" w:rsidR="00D81701" w:rsidRDefault="00180C4F" w:rsidP="00E15EFC">
      <w:pPr>
        <w:jc w:val="center"/>
      </w:pPr>
      <w:r>
        <w:rPr>
          <w:noProof/>
        </w:rPr>
        <w:lastRenderedPageBreak/>
        <w:drawing>
          <wp:inline distT="0" distB="0" distL="0" distR="0" wp14:anchorId="3901619E" wp14:editId="09CD69C2">
            <wp:extent cx="5943600" cy="4457700"/>
            <wp:effectExtent l="0" t="0" r="0" b="0"/>
            <wp:docPr id="177807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7137" name="Picture 177807137"/>
                    <pic:cNvPicPr/>
                  </pic:nvPicPr>
                  <pic:blipFill>
                    <a:blip r:embed="rId5"/>
                    <a:stretch>
                      <a:fillRect/>
                    </a:stretch>
                  </pic:blipFill>
                  <pic:spPr>
                    <a:xfrm>
                      <a:off x="0" y="0"/>
                      <a:ext cx="5943600" cy="4457700"/>
                    </a:xfrm>
                    <a:prstGeom prst="rect">
                      <a:avLst/>
                    </a:prstGeom>
                  </pic:spPr>
                </pic:pic>
              </a:graphicData>
            </a:graphic>
          </wp:inline>
        </w:drawing>
      </w:r>
    </w:p>
    <w:p w14:paraId="723F3863" w14:textId="77777777" w:rsidR="000565D4" w:rsidRDefault="000565D4"/>
    <w:p w14:paraId="147DDE72" w14:textId="0C2D1039" w:rsidR="008F7B8B" w:rsidRPr="008F7B8B" w:rsidRDefault="000565D4" w:rsidP="008F7B8B">
      <w:r w:rsidRPr="00B04172">
        <w:rPr>
          <w:b/>
          <w:bCs w:val="0"/>
        </w:rPr>
        <w:t>Supplementary Figure 2: CP55940 suppressed energy expenditure over the dark cycle.</w:t>
      </w:r>
      <w:r w:rsidR="00EF6BC2">
        <w:t xml:space="preserve"> </w:t>
      </w:r>
      <w:r w:rsidR="001E4E39">
        <w:t xml:space="preserve">Energy expenditure over the dark period </w:t>
      </w:r>
      <w:r w:rsidR="0067063E">
        <w:t xml:space="preserve">is shown in (A). </w:t>
      </w:r>
      <w:r w:rsidR="00EF6BC2">
        <w:t xml:space="preserve">Two-way </w:t>
      </w:r>
      <w:r w:rsidR="00E07F4C">
        <w:rPr>
          <w:rFonts w:cs="Times New Roman"/>
          <w:sz w:val="24"/>
          <w:szCs w:val="24"/>
        </w:rPr>
        <w:t>repeated measures</w:t>
      </w:r>
      <w:r w:rsidR="00E07F4C" w:rsidRPr="006D1EC0">
        <w:rPr>
          <w:rFonts w:cs="Times New Roman"/>
          <w:sz w:val="24"/>
          <w:szCs w:val="24"/>
        </w:rPr>
        <w:t xml:space="preserve"> </w:t>
      </w:r>
      <w:r w:rsidR="00EF6BC2">
        <w:t xml:space="preserve">ANOVA </w:t>
      </w:r>
      <w:r w:rsidR="009B399A">
        <w:t>and post-hoc analys</w:t>
      </w:r>
      <w:r w:rsidR="00AE0E7A">
        <w:t>e</w:t>
      </w:r>
      <w:r w:rsidR="009B399A">
        <w:t xml:space="preserve">s </w:t>
      </w:r>
      <w:r w:rsidR="004303CB" w:rsidRPr="004303CB">
        <w:t>of EE three hours following food access revealed that CP55940 and SB334867 both individually reduced EE, while the combination of the two interventions did not have any additive effect (B), and these differences persisted for up to six hours (C).</w:t>
      </w:r>
      <w:r w:rsidR="006A708B">
        <w:t xml:space="preserve"> Furthermore, cannabinoid treatment </w:t>
      </w:r>
      <w:r w:rsidR="00AE177E">
        <w:t xml:space="preserve">individually reduced EE compared to the dual vehicle condition </w:t>
      </w:r>
      <w:r w:rsidR="00895E49">
        <w:t>over the entire dark cycle (D).</w:t>
      </w:r>
      <w:r w:rsidR="008F7B8B">
        <w:t xml:space="preserve"> </w:t>
      </w:r>
      <w:r w:rsidR="008F7B8B" w:rsidRPr="008F7B8B">
        <w:t>Data are means +/- SEM; *p &lt; 0.05, **p &lt; 0.01.</w:t>
      </w:r>
    </w:p>
    <w:p w14:paraId="1D3B37F4" w14:textId="3BCB7D20" w:rsidR="009378BA" w:rsidRDefault="009378BA"/>
    <w:p w14:paraId="03BA4A73" w14:textId="77777777" w:rsidR="009378BA" w:rsidRDefault="009378BA"/>
    <w:p w14:paraId="115987AB" w14:textId="77777777" w:rsidR="009378BA" w:rsidRDefault="009378BA"/>
    <w:p w14:paraId="1BE18807" w14:textId="362C434B" w:rsidR="009378BA" w:rsidRDefault="009378BA">
      <w:r>
        <w:br w:type="page"/>
      </w:r>
    </w:p>
    <w:p w14:paraId="5B1E6A6A" w14:textId="5C6FC9E0" w:rsidR="009378BA" w:rsidRDefault="003F47EC" w:rsidP="00E15EFC">
      <w:pPr>
        <w:jc w:val="center"/>
      </w:pPr>
      <w:r>
        <w:rPr>
          <w:noProof/>
        </w:rPr>
        <w:lastRenderedPageBreak/>
        <w:drawing>
          <wp:inline distT="0" distB="0" distL="0" distR="0" wp14:anchorId="47A08C3D" wp14:editId="20D3908D">
            <wp:extent cx="6858000" cy="2717165"/>
            <wp:effectExtent l="0" t="0" r="0" b="635"/>
            <wp:docPr id="161222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2650" name="Picture 1612222650"/>
                    <pic:cNvPicPr/>
                  </pic:nvPicPr>
                  <pic:blipFill>
                    <a:blip r:embed="rId6"/>
                    <a:stretch>
                      <a:fillRect/>
                    </a:stretch>
                  </pic:blipFill>
                  <pic:spPr>
                    <a:xfrm>
                      <a:off x="0" y="0"/>
                      <a:ext cx="6858000" cy="2717165"/>
                    </a:xfrm>
                    <a:prstGeom prst="rect">
                      <a:avLst/>
                    </a:prstGeom>
                  </pic:spPr>
                </pic:pic>
              </a:graphicData>
            </a:graphic>
          </wp:inline>
        </w:drawing>
      </w:r>
    </w:p>
    <w:p w14:paraId="11B9E1FF" w14:textId="77777777" w:rsidR="006D1EC0" w:rsidRDefault="006D1EC0"/>
    <w:p w14:paraId="125A7E31" w14:textId="3F57D44B" w:rsidR="006D1EC0" w:rsidRPr="006D1EC0" w:rsidRDefault="009C66C6">
      <w:r>
        <w:rPr>
          <w:rFonts w:cs="Times New Roman"/>
          <w:b/>
          <w:bCs w:val="0"/>
          <w:sz w:val="24"/>
          <w:szCs w:val="24"/>
        </w:rPr>
        <w:t xml:space="preserve">Supplementary </w:t>
      </w:r>
      <w:r w:rsidR="008A5B9B">
        <w:rPr>
          <w:rFonts w:cs="Times New Roman"/>
          <w:b/>
          <w:bCs w:val="0"/>
          <w:sz w:val="24"/>
          <w:szCs w:val="24"/>
        </w:rPr>
        <w:t>F</w:t>
      </w:r>
      <w:r w:rsidR="006D1EC0" w:rsidRPr="006D1EC0">
        <w:rPr>
          <w:rFonts w:cs="Times New Roman"/>
          <w:b/>
          <w:bCs w:val="0"/>
          <w:sz w:val="24"/>
          <w:szCs w:val="24"/>
        </w:rPr>
        <w:t xml:space="preserve">igure </w:t>
      </w:r>
      <w:r>
        <w:rPr>
          <w:rFonts w:cs="Times New Roman"/>
          <w:b/>
          <w:bCs w:val="0"/>
          <w:sz w:val="24"/>
          <w:szCs w:val="24"/>
        </w:rPr>
        <w:t>3</w:t>
      </w:r>
      <w:r w:rsidR="006D1EC0" w:rsidRPr="006D1EC0">
        <w:rPr>
          <w:rFonts w:cs="Times New Roman"/>
          <w:b/>
          <w:bCs w:val="0"/>
          <w:sz w:val="24"/>
          <w:szCs w:val="24"/>
        </w:rPr>
        <w:t>: Respiratory exchange ratios following cannabinoid receptor agonist CP55940 and OX1 receptor antagonist SB334867</w:t>
      </w:r>
      <w:r w:rsidR="006D1EC0" w:rsidRPr="006D1EC0">
        <w:rPr>
          <w:rFonts w:cs="Times New Roman"/>
          <w:sz w:val="24"/>
          <w:szCs w:val="24"/>
        </w:rPr>
        <w:t xml:space="preserve">. </w:t>
      </w:r>
      <w:r w:rsidR="00A43919">
        <w:rPr>
          <w:rFonts w:cs="Times New Roman"/>
          <w:sz w:val="24"/>
          <w:szCs w:val="24"/>
        </w:rPr>
        <w:t>Average r</w:t>
      </w:r>
      <w:r w:rsidR="006D1EC0" w:rsidRPr="006D1EC0">
        <w:rPr>
          <w:rFonts w:cs="Times New Roman"/>
          <w:sz w:val="24"/>
          <w:szCs w:val="24"/>
        </w:rPr>
        <w:t xml:space="preserve">espiratory exchange ratios (RER) are shown in (A) for up to six hours with arrows indicating the time of </w:t>
      </w:r>
      <w:proofErr w:type="spellStart"/>
      <w:r w:rsidR="006D1EC0" w:rsidRPr="006D1EC0">
        <w:rPr>
          <w:rFonts w:cs="Times New Roman"/>
          <w:sz w:val="24"/>
          <w:szCs w:val="24"/>
        </w:rPr>
        <w:t>i.p.</w:t>
      </w:r>
      <w:proofErr w:type="spellEnd"/>
      <w:r w:rsidR="006D1EC0" w:rsidRPr="006D1EC0">
        <w:rPr>
          <w:rFonts w:cs="Times New Roman"/>
          <w:sz w:val="24"/>
          <w:szCs w:val="24"/>
        </w:rPr>
        <w:t xml:space="preserve"> injection, edible administration, and the return of food access. Two-way</w:t>
      </w:r>
      <w:r w:rsidR="00EB0CDD">
        <w:rPr>
          <w:rFonts w:cs="Times New Roman"/>
          <w:sz w:val="24"/>
          <w:szCs w:val="24"/>
        </w:rPr>
        <w:t xml:space="preserve"> repeated measures</w:t>
      </w:r>
      <w:r w:rsidR="006D1EC0" w:rsidRPr="006D1EC0">
        <w:rPr>
          <w:rFonts w:cs="Times New Roman"/>
          <w:sz w:val="24"/>
          <w:szCs w:val="24"/>
        </w:rPr>
        <w:t xml:space="preserve"> ANOVA and post-hoc analyses of RER revealed that only the dual intervention of edible CP55940 and </w:t>
      </w:r>
      <w:proofErr w:type="spellStart"/>
      <w:r w:rsidR="006D1EC0" w:rsidRPr="006D1EC0">
        <w:rPr>
          <w:rFonts w:cs="Times New Roman"/>
          <w:sz w:val="24"/>
          <w:szCs w:val="24"/>
        </w:rPr>
        <w:t>i.p.</w:t>
      </w:r>
      <w:proofErr w:type="spellEnd"/>
      <w:r w:rsidR="006D1EC0" w:rsidRPr="006D1EC0">
        <w:rPr>
          <w:rFonts w:cs="Times New Roman"/>
          <w:sz w:val="24"/>
          <w:szCs w:val="24"/>
        </w:rPr>
        <w:t xml:space="preserve"> SB334867 decreased RER over the six hours following the return of food access (B). Data are means +/- SEM; ***p &lt; 0.001.</w:t>
      </w:r>
    </w:p>
    <w:sectPr w:rsidR="006D1EC0" w:rsidRPr="006D1EC0" w:rsidSect="00E15E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01"/>
    <w:rsid w:val="000012FC"/>
    <w:rsid w:val="0000721F"/>
    <w:rsid w:val="00017331"/>
    <w:rsid w:val="00021F4C"/>
    <w:rsid w:val="00022A9D"/>
    <w:rsid w:val="00026991"/>
    <w:rsid w:val="000331F1"/>
    <w:rsid w:val="00035A65"/>
    <w:rsid w:val="00040EFA"/>
    <w:rsid w:val="00043AF6"/>
    <w:rsid w:val="00043BDE"/>
    <w:rsid w:val="00045E70"/>
    <w:rsid w:val="00046196"/>
    <w:rsid w:val="00047F1F"/>
    <w:rsid w:val="00052CE9"/>
    <w:rsid w:val="000562B4"/>
    <w:rsid w:val="000565D4"/>
    <w:rsid w:val="00065E68"/>
    <w:rsid w:val="00065F97"/>
    <w:rsid w:val="00066AFB"/>
    <w:rsid w:val="00071C12"/>
    <w:rsid w:val="00073BEA"/>
    <w:rsid w:val="000758B2"/>
    <w:rsid w:val="00082A04"/>
    <w:rsid w:val="0008525A"/>
    <w:rsid w:val="00085F78"/>
    <w:rsid w:val="0008619C"/>
    <w:rsid w:val="00086C1B"/>
    <w:rsid w:val="00091067"/>
    <w:rsid w:val="000941F6"/>
    <w:rsid w:val="0009526D"/>
    <w:rsid w:val="00097FD6"/>
    <w:rsid w:val="000A52E8"/>
    <w:rsid w:val="000A724C"/>
    <w:rsid w:val="000C2B9B"/>
    <w:rsid w:val="000C30E3"/>
    <w:rsid w:val="000C34DE"/>
    <w:rsid w:val="000C5C9A"/>
    <w:rsid w:val="000C5F1A"/>
    <w:rsid w:val="000D02B1"/>
    <w:rsid w:val="000D4418"/>
    <w:rsid w:val="000D59DF"/>
    <w:rsid w:val="000D7740"/>
    <w:rsid w:val="000E407B"/>
    <w:rsid w:val="000E4BA4"/>
    <w:rsid w:val="000F1896"/>
    <w:rsid w:val="000F34E8"/>
    <w:rsid w:val="000F49BC"/>
    <w:rsid w:val="00103D0B"/>
    <w:rsid w:val="0011360F"/>
    <w:rsid w:val="0012123F"/>
    <w:rsid w:val="001237FF"/>
    <w:rsid w:val="001241B8"/>
    <w:rsid w:val="00124C2B"/>
    <w:rsid w:val="0012598B"/>
    <w:rsid w:val="001309D3"/>
    <w:rsid w:val="00133D04"/>
    <w:rsid w:val="001370E0"/>
    <w:rsid w:val="0014575E"/>
    <w:rsid w:val="0015145B"/>
    <w:rsid w:val="00156528"/>
    <w:rsid w:val="001568B7"/>
    <w:rsid w:val="00161A3C"/>
    <w:rsid w:val="001629D0"/>
    <w:rsid w:val="00162B82"/>
    <w:rsid w:val="00163D60"/>
    <w:rsid w:val="0017227E"/>
    <w:rsid w:val="0017572C"/>
    <w:rsid w:val="0017585D"/>
    <w:rsid w:val="00177088"/>
    <w:rsid w:val="001807B7"/>
    <w:rsid w:val="00180C4F"/>
    <w:rsid w:val="001814BD"/>
    <w:rsid w:val="00187A73"/>
    <w:rsid w:val="00187BFC"/>
    <w:rsid w:val="00190FAC"/>
    <w:rsid w:val="001937DD"/>
    <w:rsid w:val="00195293"/>
    <w:rsid w:val="001A0AFD"/>
    <w:rsid w:val="001B0786"/>
    <w:rsid w:val="001B09B6"/>
    <w:rsid w:val="001B124F"/>
    <w:rsid w:val="001B471E"/>
    <w:rsid w:val="001B4E56"/>
    <w:rsid w:val="001B652C"/>
    <w:rsid w:val="001B6F26"/>
    <w:rsid w:val="001B7D9A"/>
    <w:rsid w:val="001C0654"/>
    <w:rsid w:val="001C19EF"/>
    <w:rsid w:val="001C26E4"/>
    <w:rsid w:val="001C4A48"/>
    <w:rsid w:val="001D02D3"/>
    <w:rsid w:val="001D10FE"/>
    <w:rsid w:val="001D7CB6"/>
    <w:rsid w:val="001E040D"/>
    <w:rsid w:val="001E1D95"/>
    <w:rsid w:val="001E4E39"/>
    <w:rsid w:val="001F0EEA"/>
    <w:rsid w:val="001F1197"/>
    <w:rsid w:val="001F3368"/>
    <w:rsid w:val="001F484A"/>
    <w:rsid w:val="001F4C38"/>
    <w:rsid w:val="001F5044"/>
    <w:rsid w:val="001F61E1"/>
    <w:rsid w:val="00200959"/>
    <w:rsid w:val="002011A8"/>
    <w:rsid w:val="00205027"/>
    <w:rsid w:val="00210CD0"/>
    <w:rsid w:val="00225C3C"/>
    <w:rsid w:val="00226C88"/>
    <w:rsid w:val="00230901"/>
    <w:rsid w:val="002311F1"/>
    <w:rsid w:val="002349DB"/>
    <w:rsid w:val="00236976"/>
    <w:rsid w:val="00237250"/>
    <w:rsid w:val="00240A52"/>
    <w:rsid w:val="00245616"/>
    <w:rsid w:val="00252408"/>
    <w:rsid w:val="00255666"/>
    <w:rsid w:val="00255843"/>
    <w:rsid w:val="00255DFE"/>
    <w:rsid w:val="002612C3"/>
    <w:rsid w:val="0026301B"/>
    <w:rsid w:val="00267A6F"/>
    <w:rsid w:val="00273EB8"/>
    <w:rsid w:val="00277B8A"/>
    <w:rsid w:val="00287332"/>
    <w:rsid w:val="00292D3C"/>
    <w:rsid w:val="002979A5"/>
    <w:rsid w:val="002A2741"/>
    <w:rsid w:val="002A2FB1"/>
    <w:rsid w:val="002B1844"/>
    <w:rsid w:val="002B31F2"/>
    <w:rsid w:val="002B378E"/>
    <w:rsid w:val="002B6D47"/>
    <w:rsid w:val="002B75A4"/>
    <w:rsid w:val="002C30D6"/>
    <w:rsid w:val="002C329C"/>
    <w:rsid w:val="002C42AF"/>
    <w:rsid w:val="002C4A78"/>
    <w:rsid w:val="002C5372"/>
    <w:rsid w:val="002D00C7"/>
    <w:rsid w:val="002D0AFA"/>
    <w:rsid w:val="002D1EAE"/>
    <w:rsid w:val="002D500A"/>
    <w:rsid w:val="002D5E17"/>
    <w:rsid w:val="002D5F6A"/>
    <w:rsid w:val="002E1B9C"/>
    <w:rsid w:val="002E27DD"/>
    <w:rsid w:val="002E5725"/>
    <w:rsid w:val="002F321D"/>
    <w:rsid w:val="00301154"/>
    <w:rsid w:val="00301C4F"/>
    <w:rsid w:val="00303536"/>
    <w:rsid w:val="0030688F"/>
    <w:rsid w:val="003102F4"/>
    <w:rsid w:val="00311475"/>
    <w:rsid w:val="00312733"/>
    <w:rsid w:val="00312AD4"/>
    <w:rsid w:val="00313641"/>
    <w:rsid w:val="003139D3"/>
    <w:rsid w:val="003170B1"/>
    <w:rsid w:val="0032001A"/>
    <w:rsid w:val="0033076A"/>
    <w:rsid w:val="00331724"/>
    <w:rsid w:val="00333C82"/>
    <w:rsid w:val="00335260"/>
    <w:rsid w:val="0033642A"/>
    <w:rsid w:val="00342982"/>
    <w:rsid w:val="00345AC5"/>
    <w:rsid w:val="0035209A"/>
    <w:rsid w:val="003528B1"/>
    <w:rsid w:val="00352C23"/>
    <w:rsid w:val="0035367F"/>
    <w:rsid w:val="00357105"/>
    <w:rsid w:val="0036331A"/>
    <w:rsid w:val="0036492F"/>
    <w:rsid w:val="0036579A"/>
    <w:rsid w:val="00367198"/>
    <w:rsid w:val="003723E5"/>
    <w:rsid w:val="00373CE4"/>
    <w:rsid w:val="00375265"/>
    <w:rsid w:val="00375F0A"/>
    <w:rsid w:val="0038223E"/>
    <w:rsid w:val="003849DF"/>
    <w:rsid w:val="00387456"/>
    <w:rsid w:val="00387DAD"/>
    <w:rsid w:val="00391B9D"/>
    <w:rsid w:val="00392154"/>
    <w:rsid w:val="003A0E8C"/>
    <w:rsid w:val="003A1952"/>
    <w:rsid w:val="003B0004"/>
    <w:rsid w:val="003B30D3"/>
    <w:rsid w:val="003B5923"/>
    <w:rsid w:val="003C0E00"/>
    <w:rsid w:val="003D1BD6"/>
    <w:rsid w:val="003D45D7"/>
    <w:rsid w:val="003D63C5"/>
    <w:rsid w:val="003E614B"/>
    <w:rsid w:val="003F3636"/>
    <w:rsid w:val="003F440C"/>
    <w:rsid w:val="003F47EC"/>
    <w:rsid w:val="003F55C9"/>
    <w:rsid w:val="0040500D"/>
    <w:rsid w:val="00407A1F"/>
    <w:rsid w:val="00411F1C"/>
    <w:rsid w:val="0041240B"/>
    <w:rsid w:val="00414E86"/>
    <w:rsid w:val="00414FC6"/>
    <w:rsid w:val="00416D55"/>
    <w:rsid w:val="0042171E"/>
    <w:rsid w:val="00425510"/>
    <w:rsid w:val="00426134"/>
    <w:rsid w:val="00426B94"/>
    <w:rsid w:val="004303CB"/>
    <w:rsid w:val="00431406"/>
    <w:rsid w:val="004317FF"/>
    <w:rsid w:val="00436E10"/>
    <w:rsid w:val="00442960"/>
    <w:rsid w:val="00446B68"/>
    <w:rsid w:val="00446F05"/>
    <w:rsid w:val="00447194"/>
    <w:rsid w:val="004505C5"/>
    <w:rsid w:val="00450C92"/>
    <w:rsid w:val="00453241"/>
    <w:rsid w:val="004622EE"/>
    <w:rsid w:val="00463955"/>
    <w:rsid w:val="004646D1"/>
    <w:rsid w:val="004701ED"/>
    <w:rsid w:val="00470495"/>
    <w:rsid w:val="00472E7A"/>
    <w:rsid w:val="00481C39"/>
    <w:rsid w:val="00484317"/>
    <w:rsid w:val="00484932"/>
    <w:rsid w:val="0048763F"/>
    <w:rsid w:val="00493A83"/>
    <w:rsid w:val="004A0424"/>
    <w:rsid w:val="004A1626"/>
    <w:rsid w:val="004A2BD2"/>
    <w:rsid w:val="004A5001"/>
    <w:rsid w:val="004A6688"/>
    <w:rsid w:val="004A6E06"/>
    <w:rsid w:val="004B452C"/>
    <w:rsid w:val="004B50EF"/>
    <w:rsid w:val="004C1409"/>
    <w:rsid w:val="004C2738"/>
    <w:rsid w:val="004C4567"/>
    <w:rsid w:val="004D0250"/>
    <w:rsid w:val="004D1AA5"/>
    <w:rsid w:val="004D1E3D"/>
    <w:rsid w:val="004D39C1"/>
    <w:rsid w:val="004E5EE6"/>
    <w:rsid w:val="004F0D19"/>
    <w:rsid w:val="004F42C5"/>
    <w:rsid w:val="004F7026"/>
    <w:rsid w:val="004F7C65"/>
    <w:rsid w:val="00500032"/>
    <w:rsid w:val="00507748"/>
    <w:rsid w:val="00507B81"/>
    <w:rsid w:val="00507B87"/>
    <w:rsid w:val="00510703"/>
    <w:rsid w:val="00524CB4"/>
    <w:rsid w:val="0052545F"/>
    <w:rsid w:val="0053030F"/>
    <w:rsid w:val="00530A1C"/>
    <w:rsid w:val="00530B21"/>
    <w:rsid w:val="00530C64"/>
    <w:rsid w:val="00531C3F"/>
    <w:rsid w:val="0053408B"/>
    <w:rsid w:val="00534B53"/>
    <w:rsid w:val="00537731"/>
    <w:rsid w:val="00546733"/>
    <w:rsid w:val="0054738E"/>
    <w:rsid w:val="0055268B"/>
    <w:rsid w:val="00555AC6"/>
    <w:rsid w:val="00561DEC"/>
    <w:rsid w:val="00564CDF"/>
    <w:rsid w:val="0057140A"/>
    <w:rsid w:val="005715CD"/>
    <w:rsid w:val="00571D20"/>
    <w:rsid w:val="00576941"/>
    <w:rsid w:val="00582EC1"/>
    <w:rsid w:val="00584D96"/>
    <w:rsid w:val="00586438"/>
    <w:rsid w:val="00587317"/>
    <w:rsid w:val="005A7269"/>
    <w:rsid w:val="005B3673"/>
    <w:rsid w:val="005B5F34"/>
    <w:rsid w:val="005C292C"/>
    <w:rsid w:val="005C7306"/>
    <w:rsid w:val="005D00D0"/>
    <w:rsid w:val="005D1198"/>
    <w:rsid w:val="005D1A7B"/>
    <w:rsid w:val="005D2DC7"/>
    <w:rsid w:val="005D5348"/>
    <w:rsid w:val="005D7F98"/>
    <w:rsid w:val="005E4BF8"/>
    <w:rsid w:val="005F12D2"/>
    <w:rsid w:val="005F3972"/>
    <w:rsid w:val="005F4946"/>
    <w:rsid w:val="005F7295"/>
    <w:rsid w:val="0061256F"/>
    <w:rsid w:val="00613124"/>
    <w:rsid w:val="00621040"/>
    <w:rsid w:val="0062313A"/>
    <w:rsid w:val="00625619"/>
    <w:rsid w:val="006365C8"/>
    <w:rsid w:val="00641AE9"/>
    <w:rsid w:val="00642E47"/>
    <w:rsid w:val="00652A30"/>
    <w:rsid w:val="00652BC0"/>
    <w:rsid w:val="00652D81"/>
    <w:rsid w:val="006538D7"/>
    <w:rsid w:val="006574FA"/>
    <w:rsid w:val="00661CD3"/>
    <w:rsid w:val="00662ABE"/>
    <w:rsid w:val="006703BA"/>
    <w:rsid w:val="0067063E"/>
    <w:rsid w:val="0067209A"/>
    <w:rsid w:val="00672314"/>
    <w:rsid w:val="0067777E"/>
    <w:rsid w:val="006801F8"/>
    <w:rsid w:val="00682BCC"/>
    <w:rsid w:val="00686680"/>
    <w:rsid w:val="006877AA"/>
    <w:rsid w:val="006916DA"/>
    <w:rsid w:val="00692FDF"/>
    <w:rsid w:val="006A446C"/>
    <w:rsid w:val="006A708B"/>
    <w:rsid w:val="006B4B37"/>
    <w:rsid w:val="006C1380"/>
    <w:rsid w:val="006C4F1D"/>
    <w:rsid w:val="006C500C"/>
    <w:rsid w:val="006D122C"/>
    <w:rsid w:val="006D1EC0"/>
    <w:rsid w:val="006D2CE9"/>
    <w:rsid w:val="006D4431"/>
    <w:rsid w:val="006D5290"/>
    <w:rsid w:val="006D5F4A"/>
    <w:rsid w:val="006D65E0"/>
    <w:rsid w:val="006E1C17"/>
    <w:rsid w:val="006E2EB4"/>
    <w:rsid w:val="006E4E86"/>
    <w:rsid w:val="007022E7"/>
    <w:rsid w:val="00702960"/>
    <w:rsid w:val="0070423B"/>
    <w:rsid w:val="007100A5"/>
    <w:rsid w:val="0071066E"/>
    <w:rsid w:val="00711758"/>
    <w:rsid w:val="007267C9"/>
    <w:rsid w:val="007307E7"/>
    <w:rsid w:val="00730F0D"/>
    <w:rsid w:val="0073245E"/>
    <w:rsid w:val="00733D1F"/>
    <w:rsid w:val="00736D11"/>
    <w:rsid w:val="00737D1A"/>
    <w:rsid w:val="00741C7B"/>
    <w:rsid w:val="007458D4"/>
    <w:rsid w:val="00747672"/>
    <w:rsid w:val="007506C0"/>
    <w:rsid w:val="00754670"/>
    <w:rsid w:val="00755231"/>
    <w:rsid w:val="00756022"/>
    <w:rsid w:val="007561CF"/>
    <w:rsid w:val="0076205A"/>
    <w:rsid w:val="00762A93"/>
    <w:rsid w:val="00770FC3"/>
    <w:rsid w:val="00775262"/>
    <w:rsid w:val="00777438"/>
    <w:rsid w:val="0078014A"/>
    <w:rsid w:val="007818C5"/>
    <w:rsid w:val="00793699"/>
    <w:rsid w:val="00797E83"/>
    <w:rsid w:val="007A4B20"/>
    <w:rsid w:val="007A5F0F"/>
    <w:rsid w:val="007B01AC"/>
    <w:rsid w:val="007B2A8E"/>
    <w:rsid w:val="007B45A7"/>
    <w:rsid w:val="007B5BDD"/>
    <w:rsid w:val="007C1353"/>
    <w:rsid w:val="007C420D"/>
    <w:rsid w:val="007C6CF5"/>
    <w:rsid w:val="007D26AB"/>
    <w:rsid w:val="007E0273"/>
    <w:rsid w:val="007E5CB5"/>
    <w:rsid w:val="007F1858"/>
    <w:rsid w:val="007F6F6B"/>
    <w:rsid w:val="007F750A"/>
    <w:rsid w:val="007F79C4"/>
    <w:rsid w:val="007F7C73"/>
    <w:rsid w:val="00801933"/>
    <w:rsid w:val="00810174"/>
    <w:rsid w:val="0081208B"/>
    <w:rsid w:val="00817B10"/>
    <w:rsid w:val="00820078"/>
    <w:rsid w:val="00820835"/>
    <w:rsid w:val="00820A37"/>
    <w:rsid w:val="00833224"/>
    <w:rsid w:val="00833A35"/>
    <w:rsid w:val="0083448E"/>
    <w:rsid w:val="00834724"/>
    <w:rsid w:val="00842123"/>
    <w:rsid w:val="00845494"/>
    <w:rsid w:val="008460EA"/>
    <w:rsid w:val="00850313"/>
    <w:rsid w:val="00852B83"/>
    <w:rsid w:val="00866023"/>
    <w:rsid w:val="00877997"/>
    <w:rsid w:val="0088318B"/>
    <w:rsid w:val="00885DA2"/>
    <w:rsid w:val="0088629D"/>
    <w:rsid w:val="00895E49"/>
    <w:rsid w:val="008A1DC7"/>
    <w:rsid w:val="008A2C8E"/>
    <w:rsid w:val="008A5B9B"/>
    <w:rsid w:val="008B2BC7"/>
    <w:rsid w:val="008B4B6F"/>
    <w:rsid w:val="008B50AF"/>
    <w:rsid w:val="008B7E6F"/>
    <w:rsid w:val="008C10A5"/>
    <w:rsid w:val="008C2FEF"/>
    <w:rsid w:val="008C327C"/>
    <w:rsid w:val="008C67CC"/>
    <w:rsid w:val="008D0480"/>
    <w:rsid w:val="008D04EB"/>
    <w:rsid w:val="008D3B4E"/>
    <w:rsid w:val="008D465B"/>
    <w:rsid w:val="008D5A1D"/>
    <w:rsid w:val="008D5AC0"/>
    <w:rsid w:val="008D6DF4"/>
    <w:rsid w:val="008E2AC3"/>
    <w:rsid w:val="008E5F0E"/>
    <w:rsid w:val="008F08D7"/>
    <w:rsid w:val="008F1276"/>
    <w:rsid w:val="008F1410"/>
    <w:rsid w:val="008F3007"/>
    <w:rsid w:val="008F38C1"/>
    <w:rsid w:val="008F6817"/>
    <w:rsid w:val="008F7B8B"/>
    <w:rsid w:val="009017C9"/>
    <w:rsid w:val="009069CE"/>
    <w:rsid w:val="00914311"/>
    <w:rsid w:val="0091519D"/>
    <w:rsid w:val="00920D12"/>
    <w:rsid w:val="00924383"/>
    <w:rsid w:val="0092534F"/>
    <w:rsid w:val="00932F12"/>
    <w:rsid w:val="009378BA"/>
    <w:rsid w:val="00942F7D"/>
    <w:rsid w:val="009457A1"/>
    <w:rsid w:val="00954726"/>
    <w:rsid w:val="00954976"/>
    <w:rsid w:val="0095580A"/>
    <w:rsid w:val="00957EF0"/>
    <w:rsid w:val="009626DA"/>
    <w:rsid w:val="009730F2"/>
    <w:rsid w:val="00984A6F"/>
    <w:rsid w:val="00985B8F"/>
    <w:rsid w:val="00986E2B"/>
    <w:rsid w:val="00987D7D"/>
    <w:rsid w:val="00991C13"/>
    <w:rsid w:val="0099222C"/>
    <w:rsid w:val="00994BB5"/>
    <w:rsid w:val="00995F9A"/>
    <w:rsid w:val="009A02E8"/>
    <w:rsid w:val="009A2377"/>
    <w:rsid w:val="009B045F"/>
    <w:rsid w:val="009B399A"/>
    <w:rsid w:val="009B623D"/>
    <w:rsid w:val="009B7462"/>
    <w:rsid w:val="009B779D"/>
    <w:rsid w:val="009C62BB"/>
    <w:rsid w:val="009C662D"/>
    <w:rsid w:val="009C66C6"/>
    <w:rsid w:val="009D45CC"/>
    <w:rsid w:val="009D494A"/>
    <w:rsid w:val="009D6DF0"/>
    <w:rsid w:val="009E3051"/>
    <w:rsid w:val="009F46F8"/>
    <w:rsid w:val="009F545D"/>
    <w:rsid w:val="00A01D71"/>
    <w:rsid w:val="00A02F15"/>
    <w:rsid w:val="00A03CDA"/>
    <w:rsid w:val="00A03EA9"/>
    <w:rsid w:val="00A1022F"/>
    <w:rsid w:val="00A10300"/>
    <w:rsid w:val="00A124DF"/>
    <w:rsid w:val="00A1330A"/>
    <w:rsid w:val="00A1354E"/>
    <w:rsid w:val="00A15119"/>
    <w:rsid w:val="00A17396"/>
    <w:rsid w:val="00A1761D"/>
    <w:rsid w:val="00A17765"/>
    <w:rsid w:val="00A21646"/>
    <w:rsid w:val="00A22C32"/>
    <w:rsid w:val="00A23B7E"/>
    <w:rsid w:val="00A24C62"/>
    <w:rsid w:val="00A30ABE"/>
    <w:rsid w:val="00A36035"/>
    <w:rsid w:val="00A42230"/>
    <w:rsid w:val="00A43919"/>
    <w:rsid w:val="00A47BF8"/>
    <w:rsid w:val="00A52FC3"/>
    <w:rsid w:val="00A53B2D"/>
    <w:rsid w:val="00A5564D"/>
    <w:rsid w:val="00A5590A"/>
    <w:rsid w:val="00A559F6"/>
    <w:rsid w:val="00A56DD5"/>
    <w:rsid w:val="00A60D57"/>
    <w:rsid w:val="00A63172"/>
    <w:rsid w:val="00A7040D"/>
    <w:rsid w:val="00A74E3C"/>
    <w:rsid w:val="00A810EF"/>
    <w:rsid w:val="00A81250"/>
    <w:rsid w:val="00A8225A"/>
    <w:rsid w:val="00A82A03"/>
    <w:rsid w:val="00A82DF3"/>
    <w:rsid w:val="00A83582"/>
    <w:rsid w:val="00A84FD3"/>
    <w:rsid w:val="00A864FF"/>
    <w:rsid w:val="00A86D53"/>
    <w:rsid w:val="00A90688"/>
    <w:rsid w:val="00A919BE"/>
    <w:rsid w:val="00A96CD8"/>
    <w:rsid w:val="00A9737C"/>
    <w:rsid w:val="00AA3EB6"/>
    <w:rsid w:val="00AA5472"/>
    <w:rsid w:val="00AA6B85"/>
    <w:rsid w:val="00AB1630"/>
    <w:rsid w:val="00AB1655"/>
    <w:rsid w:val="00AB3569"/>
    <w:rsid w:val="00AB3862"/>
    <w:rsid w:val="00AB6F5E"/>
    <w:rsid w:val="00AC3934"/>
    <w:rsid w:val="00AC5499"/>
    <w:rsid w:val="00AC7058"/>
    <w:rsid w:val="00AC7215"/>
    <w:rsid w:val="00AC75D6"/>
    <w:rsid w:val="00AD0CA0"/>
    <w:rsid w:val="00AD24AB"/>
    <w:rsid w:val="00AD57F7"/>
    <w:rsid w:val="00AD7C96"/>
    <w:rsid w:val="00AE05EB"/>
    <w:rsid w:val="00AE0E7A"/>
    <w:rsid w:val="00AE177E"/>
    <w:rsid w:val="00AF208F"/>
    <w:rsid w:val="00AF78A2"/>
    <w:rsid w:val="00B04172"/>
    <w:rsid w:val="00B04EE9"/>
    <w:rsid w:val="00B10BBA"/>
    <w:rsid w:val="00B1160D"/>
    <w:rsid w:val="00B1301B"/>
    <w:rsid w:val="00B14098"/>
    <w:rsid w:val="00B1473B"/>
    <w:rsid w:val="00B21BF7"/>
    <w:rsid w:val="00B26B20"/>
    <w:rsid w:val="00B33CDB"/>
    <w:rsid w:val="00B408C8"/>
    <w:rsid w:val="00B43176"/>
    <w:rsid w:val="00B50069"/>
    <w:rsid w:val="00B5582D"/>
    <w:rsid w:val="00B55BD8"/>
    <w:rsid w:val="00B6057C"/>
    <w:rsid w:val="00B6117D"/>
    <w:rsid w:val="00B62426"/>
    <w:rsid w:val="00B62ACF"/>
    <w:rsid w:val="00B6414F"/>
    <w:rsid w:val="00B65FDA"/>
    <w:rsid w:val="00B678DF"/>
    <w:rsid w:val="00B762DC"/>
    <w:rsid w:val="00B76809"/>
    <w:rsid w:val="00B823CD"/>
    <w:rsid w:val="00B832AB"/>
    <w:rsid w:val="00B86987"/>
    <w:rsid w:val="00B90B02"/>
    <w:rsid w:val="00B9124B"/>
    <w:rsid w:val="00B9575F"/>
    <w:rsid w:val="00B9616B"/>
    <w:rsid w:val="00B9629F"/>
    <w:rsid w:val="00B96D66"/>
    <w:rsid w:val="00B97D6A"/>
    <w:rsid w:val="00BA38ED"/>
    <w:rsid w:val="00BA5DF2"/>
    <w:rsid w:val="00BA7AE3"/>
    <w:rsid w:val="00BA7BA8"/>
    <w:rsid w:val="00BB326C"/>
    <w:rsid w:val="00BB4DE3"/>
    <w:rsid w:val="00BC1878"/>
    <w:rsid w:val="00BC21A0"/>
    <w:rsid w:val="00BD378E"/>
    <w:rsid w:val="00BD571D"/>
    <w:rsid w:val="00BE0906"/>
    <w:rsid w:val="00BE35E5"/>
    <w:rsid w:val="00BF114D"/>
    <w:rsid w:val="00BF6982"/>
    <w:rsid w:val="00BF7C36"/>
    <w:rsid w:val="00BF7CB4"/>
    <w:rsid w:val="00C05D45"/>
    <w:rsid w:val="00C06494"/>
    <w:rsid w:val="00C07721"/>
    <w:rsid w:val="00C07972"/>
    <w:rsid w:val="00C1278B"/>
    <w:rsid w:val="00C12F04"/>
    <w:rsid w:val="00C15619"/>
    <w:rsid w:val="00C15FC9"/>
    <w:rsid w:val="00C325FA"/>
    <w:rsid w:val="00C33BB0"/>
    <w:rsid w:val="00C413B4"/>
    <w:rsid w:val="00C434FC"/>
    <w:rsid w:val="00C43637"/>
    <w:rsid w:val="00C43BB2"/>
    <w:rsid w:val="00C43E89"/>
    <w:rsid w:val="00C44C02"/>
    <w:rsid w:val="00C45D07"/>
    <w:rsid w:val="00C537D4"/>
    <w:rsid w:val="00C570D8"/>
    <w:rsid w:val="00C6316E"/>
    <w:rsid w:val="00C6322C"/>
    <w:rsid w:val="00C64E64"/>
    <w:rsid w:val="00C71239"/>
    <w:rsid w:val="00C735B5"/>
    <w:rsid w:val="00C77BF9"/>
    <w:rsid w:val="00C81898"/>
    <w:rsid w:val="00C862A2"/>
    <w:rsid w:val="00C87776"/>
    <w:rsid w:val="00C92605"/>
    <w:rsid w:val="00C92B94"/>
    <w:rsid w:val="00CA0023"/>
    <w:rsid w:val="00CA357A"/>
    <w:rsid w:val="00CA47E2"/>
    <w:rsid w:val="00CA4BE6"/>
    <w:rsid w:val="00CA4D0D"/>
    <w:rsid w:val="00CA554C"/>
    <w:rsid w:val="00CA5911"/>
    <w:rsid w:val="00CA7094"/>
    <w:rsid w:val="00CB1AE6"/>
    <w:rsid w:val="00CB4134"/>
    <w:rsid w:val="00CB650C"/>
    <w:rsid w:val="00CC0342"/>
    <w:rsid w:val="00CC1302"/>
    <w:rsid w:val="00CC19D2"/>
    <w:rsid w:val="00CC1C88"/>
    <w:rsid w:val="00CC336B"/>
    <w:rsid w:val="00CC4101"/>
    <w:rsid w:val="00CC55AC"/>
    <w:rsid w:val="00CC60BC"/>
    <w:rsid w:val="00CC62DA"/>
    <w:rsid w:val="00CD1239"/>
    <w:rsid w:val="00CD77F7"/>
    <w:rsid w:val="00CE1FAA"/>
    <w:rsid w:val="00CE4F5B"/>
    <w:rsid w:val="00CF0AFB"/>
    <w:rsid w:val="00CF3F8A"/>
    <w:rsid w:val="00CF7201"/>
    <w:rsid w:val="00D007BC"/>
    <w:rsid w:val="00D11271"/>
    <w:rsid w:val="00D13ACA"/>
    <w:rsid w:val="00D14E09"/>
    <w:rsid w:val="00D1688F"/>
    <w:rsid w:val="00D16F5B"/>
    <w:rsid w:val="00D207C0"/>
    <w:rsid w:val="00D22F82"/>
    <w:rsid w:val="00D329C1"/>
    <w:rsid w:val="00D32B43"/>
    <w:rsid w:val="00D32E4E"/>
    <w:rsid w:val="00D37318"/>
    <w:rsid w:val="00D43E3C"/>
    <w:rsid w:val="00D45DB3"/>
    <w:rsid w:val="00D52AA6"/>
    <w:rsid w:val="00D5592C"/>
    <w:rsid w:val="00D614F6"/>
    <w:rsid w:val="00D620E9"/>
    <w:rsid w:val="00D64F7D"/>
    <w:rsid w:val="00D661A6"/>
    <w:rsid w:val="00D74DB8"/>
    <w:rsid w:val="00D755E9"/>
    <w:rsid w:val="00D80FA5"/>
    <w:rsid w:val="00D81701"/>
    <w:rsid w:val="00D82895"/>
    <w:rsid w:val="00D837B9"/>
    <w:rsid w:val="00D85F73"/>
    <w:rsid w:val="00D878B9"/>
    <w:rsid w:val="00D905F7"/>
    <w:rsid w:val="00D909EC"/>
    <w:rsid w:val="00D925C9"/>
    <w:rsid w:val="00D94444"/>
    <w:rsid w:val="00D956B8"/>
    <w:rsid w:val="00D9759B"/>
    <w:rsid w:val="00DA6E06"/>
    <w:rsid w:val="00DC18F5"/>
    <w:rsid w:val="00DC701E"/>
    <w:rsid w:val="00DC75A6"/>
    <w:rsid w:val="00DC7886"/>
    <w:rsid w:val="00DD0E5B"/>
    <w:rsid w:val="00DD14DE"/>
    <w:rsid w:val="00DD33AA"/>
    <w:rsid w:val="00DD7977"/>
    <w:rsid w:val="00DE4DCF"/>
    <w:rsid w:val="00DE75EC"/>
    <w:rsid w:val="00DF7382"/>
    <w:rsid w:val="00E036D2"/>
    <w:rsid w:val="00E04E35"/>
    <w:rsid w:val="00E0698D"/>
    <w:rsid w:val="00E07F4C"/>
    <w:rsid w:val="00E14E8D"/>
    <w:rsid w:val="00E15EFC"/>
    <w:rsid w:val="00E22C66"/>
    <w:rsid w:val="00E237CA"/>
    <w:rsid w:val="00E25E44"/>
    <w:rsid w:val="00E315A5"/>
    <w:rsid w:val="00E352A6"/>
    <w:rsid w:val="00E3702C"/>
    <w:rsid w:val="00E479D6"/>
    <w:rsid w:val="00E53A0C"/>
    <w:rsid w:val="00E5661B"/>
    <w:rsid w:val="00E57C9E"/>
    <w:rsid w:val="00E6035A"/>
    <w:rsid w:val="00E60629"/>
    <w:rsid w:val="00E64217"/>
    <w:rsid w:val="00E65557"/>
    <w:rsid w:val="00E67173"/>
    <w:rsid w:val="00E721D0"/>
    <w:rsid w:val="00E764DB"/>
    <w:rsid w:val="00E769E0"/>
    <w:rsid w:val="00E82A24"/>
    <w:rsid w:val="00E83531"/>
    <w:rsid w:val="00E83F57"/>
    <w:rsid w:val="00E8590E"/>
    <w:rsid w:val="00E90A8B"/>
    <w:rsid w:val="00E9135E"/>
    <w:rsid w:val="00E920C0"/>
    <w:rsid w:val="00E92172"/>
    <w:rsid w:val="00E92591"/>
    <w:rsid w:val="00E929AC"/>
    <w:rsid w:val="00E92EDB"/>
    <w:rsid w:val="00E93F31"/>
    <w:rsid w:val="00E94E76"/>
    <w:rsid w:val="00E95ABC"/>
    <w:rsid w:val="00E962BC"/>
    <w:rsid w:val="00E973ED"/>
    <w:rsid w:val="00EA1262"/>
    <w:rsid w:val="00EA3495"/>
    <w:rsid w:val="00EA4384"/>
    <w:rsid w:val="00EA5998"/>
    <w:rsid w:val="00EB0CDD"/>
    <w:rsid w:val="00EB2468"/>
    <w:rsid w:val="00EC005C"/>
    <w:rsid w:val="00EC09D4"/>
    <w:rsid w:val="00EC0A10"/>
    <w:rsid w:val="00EC4314"/>
    <w:rsid w:val="00EC7FBD"/>
    <w:rsid w:val="00ED0A2D"/>
    <w:rsid w:val="00ED1F0B"/>
    <w:rsid w:val="00ED66C8"/>
    <w:rsid w:val="00ED6E69"/>
    <w:rsid w:val="00EE042A"/>
    <w:rsid w:val="00EE0E3D"/>
    <w:rsid w:val="00EE4910"/>
    <w:rsid w:val="00EE53F3"/>
    <w:rsid w:val="00EE5F17"/>
    <w:rsid w:val="00EF00D3"/>
    <w:rsid w:val="00EF21A8"/>
    <w:rsid w:val="00EF2A2F"/>
    <w:rsid w:val="00EF63EC"/>
    <w:rsid w:val="00EF6BC2"/>
    <w:rsid w:val="00EF75BE"/>
    <w:rsid w:val="00F0097A"/>
    <w:rsid w:val="00F02ED1"/>
    <w:rsid w:val="00F0351F"/>
    <w:rsid w:val="00F0524C"/>
    <w:rsid w:val="00F1572C"/>
    <w:rsid w:val="00F21CEC"/>
    <w:rsid w:val="00F34A2C"/>
    <w:rsid w:val="00F423D8"/>
    <w:rsid w:val="00F42872"/>
    <w:rsid w:val="00F42EC8"/>
    <w:rsid w:val="00F5091F"/>
    <w:rsid w:val="00F50BA8"/>
    <w:rsid w:val="00F53DFC"/>
    <w:rsid w:val="00F54D2E"/>
    <w:rsid w:val="00F61FDD"/>
    <w:rsid w:val="00F638EC"/>
    <w:rsid w:val="00F67017"/>
    <w:rsid w:val="00F67FEF"/>
    <w:rsid w:val="00F7011A"/>
    <w:rsid w:val="00F70207"/>
    <w:rsid w:val="00F71A6A"/>
    <w:rsid w:val="00F72F1A"/>
    <w:rsid w:val="00F771A8"/>
    <w:rsid w:val="00F83177"/>
    <w:rsid w:val="00F83DE6"/>
    <w:rsid w:val="00F90462"/>
    <w:rsid w:val="00F90615"/>
    <w:rsid w:val="00FA2294"/>
    <w:rsid w:val="00FA3430"/>
    <w:rsid w:val="00FA53F8"/>
    <w:rsid w:val="00FA6BC0"/>
    <w:rsid w:val="00FA7527"/>
    <w:rsid w:val="00FB246E"/>
    <w:rsid w:val="00FB4464"/>
    <w:rsid w:val="00FB5245"/>
    <w:rsid w:val="00FB6794"/>
    <w:rsid w:val="00FC0BF2"/>
    <w:rsid w:val="00FC66A8"/>
    <w:rsid w:val="00FD0055"/>
    <w:rsid w:val="00FD019D"/>
    <w:rsid w:val="00FD7694"/>
    <w:rsid w:val="00FD780C"/>
    <w:rsid w:val="00FE1D1A"/>
    <w:rsid w:val="00FE2362"/>
    <w:rsid w:val="00FE30F1"/>
    <w:rsid w:val="00FE4875"/>
    <w:rsid w:val="00FE65EE"/>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CD07D"/>
  <w14:defaultImageDpi w14:val="32767"/>
  <w15:chartTrackingRefBased/>
  <w15:docId w15:val="{86DFCB22-A32F-3A4B-8390-C9352B71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Body CS)"/>
        <w:bCs/>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7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7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17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17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17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17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17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7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7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17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17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17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17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17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1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7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7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17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1701"/>
    <w:rPr>
      <w:i/>
      <w:iCs/>
      <w:color w:val="404040" w:themeColor="text1" w:themeTint="BF"/>
    </w:rPr>
  </w:style>
  <w:style w:type="paragraph" w:styleId="ListParagraph">
    <w:name w:val="List Paragraph"/>
    <w:basedOn w:val="Normal"/>
    <w:uiPriority w:val="34"/>
    <w:qFormat/>
    <w:rsid w:val="00D81701"/>
    <w:pPr>
      <w:ind w:left="720"/>
      <w:contextualSpacing/>
    </w:pPr>
  </w:style>
  <w:style w:type="character" w:styleId="IntenseEmphasis">
    <w:name w:val="Intense Emphasis"/>
    <w:basedOn w:val="DefaultParagraphFont"/>
    <w:uiPriority w:val="21"/>
    <w:qFormat/>
    <w:rsid w:val="00D81701"/>
    <w:rPr>
      <w:i/>
      <w:iCs/>
      <w:color w:val="0F4761" w:themeColor="accent1" w:themeShade="BF"/>
    </w:rPr>
  </w:style>
  <w:style w:type="paragraph" w:styleId="IntenseQuote">
    <w:name w:val="Intense Quote"/>
    <w:basedOn w:val="Normal"/>
    <w:next w:val="Normal"/>
    <w:link w:val="IntenseQuoteChar"/>
    <w:uiPriority w:val="30"/>
    <w:qFormat/>
    <w:rsid w:val="00D81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701"/>
    <w:rPr>
      <w:i/>
      <w:iCs/>
      <w:color w:val="0F4761" w:themeColor="accent1" w:themeShade="BF"/>
    </w:rPr>
  </w:style>
  <w:style w:type="character" w:styleId="IntenseReference">
    <w:name w:val="Intense Reference"/>
    <w:basedOn w:val="DefaultParagraphFont"/>
    <w:uiPriority w:val="32"/>
    <w:qFormat/>
    <w:rsid w:val="00D81701"/>
    <w:rPr>
      <w:b/>
      <w:bCs w:val="0"/>
      <w:smallCaps/>
      <w:color w:val="0F4761" w:themeColor="accent1" w:themeShade="BF"/>
      <w:spacing w:val="5"/>
    </w:rPr>
  </w:style>
  <w:style w:type="table" w:styleId="TableGrid">
    <w:name w:val="Table Grid"/>
    <w:basedOn w:val="TableNormal"/>
    <w:uiPriority w:val="39"/>
    <w:rsid w:val="002D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 Lord</dc:creator>
  <cp:keywords/>
  <dc:description/>
  <cp:lastModifiedBy>Magen Lord</cp:lastModifiedBy>
  <cp:revision>63</cp:revision>
  <dcterms:created xsi:type="dcterms:W3CDTF">2025-03-03T20:53:00Z</dcterms:created>
  <dcterms:modified xsi:type="dcterms:W3CDTF">2025-08-19T14:58:00Z</dcterms:modified>
</cp:coreProperties>
</file>