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5F6B" w14:textId="51D906FE" w:rsidR="009D494C" w:rsidRPr="00C5355D" w:rsidRDefault="009D494C" w:rsidP="00912700">
      <w:pPr>
        <w:pStyle w:val="Caption"/>
        <w:keepNext/>
        <w:rPr>
          <w:rFonts w:asciiTheme="majorBidi" w:hAnsiTheme="majorBidi" w:cstheme="majorBidi"/>
          <w:color w:val="auto"/>
          <w:sz w:val="22"/>
          <w:szCs w:val="22"/>
        </w:rPr>
      </w:pPr>
      <w:r w:rsidRPr="00C5355D">
        <w:rPr>
          <w:rFonts w:asciiTheme="majorBidi" w:hAnsiTheme="majorBidi" w:cstheme="majorBidi"/>
          <w:b/>
          <w:bCs/>
          <w:i w:val="0"/>
          <w:iCs w:val="0"/>
          <w:color w:val="auto"/>
          <w:sz w:val="22"/>
          <w:szCs w:val="22"/>
        </w:rPr>
        <w:t xml:space="preserve">Table 2. </w:t>
      </w:r>
      <w:r w:rsidRPr="00912700">
        <w:rPr>
          <w:rFonts w:asciiTheme="majorBidi" w:hAnsiTheme="majorBidi" w:cstheme="majorBidi"/>
          <w:b/>
          <w:bCs/>
          <w:i w:val="0"/>
          <w:iCs w:val="0"/>
          <w:color w:val="auto"/>
          <w:sz w:val="22"/>
          <w:szCs w:val="22"/>
        </w:rPr>
        <w:t xml:space="preserve">Summary </w:t>
      </w:r>
      <w:r w:rsidR="00912700" w:rsidRPr="00912700">
        <w:rPr>
          <w:rFonts w:asciiTheme="majorBidi" w:hAnsiTheme="majorBidi" w:cstheme="majorBidi"/>
          <w:b/>
          <w:bCs/>
          <w:i w:val="0"/>
          <w:iCs w:val="0"/>
          <w:color w:val="auto"/>
          <w:sz w:val="22"/>
          <w:szCs w:val="22"/>
        </w:rPr>
        <w:t>table</w:t>
      </w:r>
      <w:r w:rsidR="00912700">
        <w:rPr>
          <w:rFonts w:asciiTheme="majorBidi" w:hAnsiTheme="majorBidi" w:cstheme="majorBidi"/>
          <w:b/>
          <w:bCs/>
          <w:i w:val="0"/>
          <w:iCs w:val="0"/>
          <w:color w:val="auto"/>
          <w:sz w:val="22"/>
          <w:szCs w:val="22"/>
        </w:rPr>
        <w:t xml:space="preserve"> of </w:t>
      </w:r>
      <w:r w:rsidR="00912700" w:rsidRPr="00912700">
        <w:rPr>
          <w:rFonts w:asciiTheme="majorBidi" w:hAnsiTheme="majorBidi" w:cstheme="majorBidi"/>
          <w:b/>
          <w:bCs/>
          <w:i w:val="0"/>
          <w:iCs w:val="0"/>
          <w:color w:val="auto"/>
          <w:sz w:val="22"/>
          <w:szCs w:val="22"/>
        </w:rPr>
        <w:t xml:space="preserve">included </w:t>
      </w:r>
      <w:r w:rsidRPr="00912700">
        <w:rPr>
          <w:rFonts w:asciiTheme="majorBidi" w:hAnsiTheme="majorBidi" w:cstheme="majorBidi"/>
          <w:b/>
          <w:bCs/>
          <w:i w:val="0"/>
          <w:iCs w:val="0"/>
          <w:color w:val="auto"/>
          <w:sz w:val="22"/>
          <w:szCs w:val="22"/>
        </w:rPr>
        <w:t>Mixed Method studies</w:t>
      </w:r>
    </w:p>
    <w:tbl>
      <w:tblPr>
        <w:tblStyle w:val="TableGrid"/>
        <w:tblW w:w="1359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15"/>
        <w:gridCol w:w="450"/>
        <w:gridCol w:w="990"/>
        <w:gridCol w:w="2075"/>
        <w:gridCol w:w="9360"/>
      </w:tblGrid>
      <w:tr w:rsidR="00FA2105" w:rsidRPr="00FE2205" w14:paraId="1CF913FF" w14:textId="77777777" w:rsidTr="00AD0134">
        <w:trPr>
          <w:trHeight w:val="1134"/>
        </w:trPr>
        <w:tc>
          <w:tcPr>
            <w:tcW w:w="715" w:type="dxa"/>
            <w:textDirection w:val="btLr"/>
            <w:vAlign w:val="center"/>
          </w:tcPr>
          <w:p w14:paraId="031F0F92" w14:textId="77777777" w:rsidR="00FA2105" w:rsidRPr="00DD4DE9" w:rsidRDefault="00FA2105" w:rsidP="00AD0134">
            <w:pPr>
              <w:ind w:left="360" w:right="113"/>
              <w:jc w:val="center"/>
              <w:rPr>
                <w:rFonts w:asciiTheme="majorBidi" w:hAnsiTheme="majorBidi" w:cstheme="majorBidi"/>
                <w:sz w:val="20"/>
                <w:szCs w:val="20"/>
              </w:rPr>
            </w:pPr>
            <w:r w:rsidRPr="00DD4DE9">
              <w:rPr>
                <w:rFonts w:asciiTheme="majorBidi" w:hAnsiTheme="majorBidi" w:cstheme="majorBidi"/>
                <w:b/>
                <w:bCs/>
                <w:sz w:val="20"/>
                <w:szCs w:val="20"/>
              </w:rPr>
              <w:t>Author</w:t>
            </w:r>
          </w:p>
        </w:tc>
        <w:tc>
          <w:tcPr>
            <w:tcW w:w="450" w:type="dxa"/>
            <w:textDirection w:val="btLr"/>
            <w:vAlign w:val="center"/>
          </w:tcPr>
          <w:p w14:paraId="59A50651" w14:textId="77777777" w:rsidR="00FA2105" w:rsidRPr="00DD4DE9" w:rsidRDefault="00FA2105" w:rsidP="00AD0134">
            <w:pPr>
              <w:ind w:left="113" w:right="113"/>
              <w:jc w:val="center"/>
              <w:rPr>
                <w:rFonts w:asciiTheme="majorBidi" w:hAnsiTheme="majorBidi" w:cstheme="majorBidi"/>
                <w:sz w:val="20"/>
                <w:szCs w:val="20"/>
              </w:rPr>
            </w:pPr>
            <w:r w:rsidRPr="00DD4DE9">
              <w:rPr>
                <w:rFonts w:asciiTheme="majorBidi" w:hAnsiTheme="majorBidi" w:cstheme="majorBidi"/>
                <w:b/>
                <w:bCs/>
                <w:sz w:val="20"/>
                <w:szCs w:val="20"/>
              </w:rPr>
              <w:t>Country</w:t>
            </w:r>
          </w:p>
        </w:tc>
        <w:tc>
          <w:tcPr>
            <w:tcW w:w="990" w:type="dxa"/>
            <w:vAlign w:val="center"/>
          </w:tcPr>
          <w:p w14:paraId="2AF026B3" w14:textId="77777777" w:rsidR="00FA2105" w:rsidRPr="00DD4DE9" w:rsidRDefault="00FA2105" w:rsidP="00AD0134">
            <w:pPr>
              <w:rPr>
                <w:rFonts w:asciiTheme="majorBidi" w:hAnsiTheme="majorBidi" w:cstheme="majorBidi"/>
                <w:sz w:val="20"/>
                <w:szCs w:val="20"/>
              </w:rPr>
            </w:pPr>
            <w:r w:rsidRPr="00DD4DE9">
              <w:rPr>
                <w:rFonts w:asciiTheme="majorBidi" w:hAnsiTheme="majorBidi" w:cstheme="majorBidi"/>
                <w:b/>
                <w:bCs/>
                <w:sz w:val="20"/>
                <w:szCs w:val="20"/>
              </w:rPr>
              <w:t>Sample</w:t>
            </w:r>
          </w:p>
        </w:tc>
        <w:tc>
          <w:tcPr>
            <w:tcW w:w="2075" w:type="dxa"/>
            <w:vAlign w:val="center"/>
          </w:tcPr>
          <w:p w14:paraId="5A096044" w14:textId="77777777" w:rsidR="00FA2105" w:rsidRPr="00DD4DE9" w:rsidRDefault="00FA2105" w:rsidP="00AD0134">
            <w:pPr>
              <w:jc w:val="center"/>
              <w:rPr>
                <w:rFonts w:asciiTheme="majorBidi" w:hAnsiTheme="majorBidi" w:cstheme="majorBidi"/>
                <w:sz w:val="20"/>
                <w:szCs w:val="20"/>
              </w:rPr>
            </w:pPr>
            <w:r w:rsidRPr="00DD4DE9">
              <w:rPr>
                <w:rFonts w:asciiTheme="majorBidi" w:hAnsiTheme="majorBidi" w:cstheme="majorBidi"/>
                <w:b/>
                <w:bCs/>
                <w:sz w:val="20"/>
                <w:szCs w:val="20"/>
              </w:rPr>
              <w:t>Measurement tool</w:t>
            </w:r>
          </w:p>
        </w:tc>
        <w:tc>
          <w:tcPr>
            <w:tcW w:w="9360" w:type="dxa"/>
            <w:vAlign w:val="center"/>
          </w:tcPr>
          <w:p w14:paraId="34BEF63B" w14:textId="77777777" w:rsidR="00FA2105" w:rsidRPr="00DD4DE9" w:rsidRDefault="00FA2105" w:rsidP="00AD0134">
            <w:pPr>
              <w:ind w:left="54"/>
              <w:jc w:val="center"/>
              <w:rPr>
                <w:rFonts w:asciiTheme="majorBidi" w:hAnsiTheme="majorBidi" w:cstheme="majorBidi"/>
                <w:sz w:val="20"/>
                <w:szCs w:val="20"/>
              </w:rPr>
            </w:pPr>
            <w:r w:rsidRPr="00DD4DE9">
              <w:rPr>
                <w:rFonts w:asciiTheme="majorBidi" w:hAnsiTheme="majorBidi" w:cstheme="majorBidi"/>
                <w:b/>
                <w:bCs/>
                <w:sz w:val="20"/>
                <w:szCs w:val="20"/>
              </w:rPr>
              <w:t>Overall findings</w:t>
            </w:r>
          </w:p>
        </w:tc>
      </w:tr>
      <w:tr w:rsidR="00FA2105" w:rsidRPr="008805A0" w14:paraId="18D75EFC" w14:textId="77777777" w:rsidTr="00AD0134">
        <w:trPr>
          <w:trHeight w:val="1907"/>
        </w:trPr>
        <w:tc>
          <w:tcPr>
            <w:tcW w:w="715" w:type="dxa"/>
            <w:textDirection w:val="btLr"/>
            <w:vAlign w:val="center"/>
          </w:tcPr>
          <w:p w14:paraId="1A80D9F5" w14:textId="77777777" w:rsidR="00FA2105" w:rsidRPr="00383B8E" w:rsidRDefault="00FA210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&lt;EndNote&gt;&lt;Cite&gt;&lt;Author&gt;Milligan&lt;/Author&gt;&lt;Year&gt;2020&lt;/Year&gt;&lt;RecNum&gt;81&lt;/RecNum&gt;&lt;DisplayText&gt;(Milligan &amp;amp; Almomani, 2020)&lt;/DisplayText&gt;&lt;record&gt;&lt;rec-number&gt;81&lt;/rec-number&gt;&lt;foreign-keys&gt;&lt;key app="EN" db-id="aexdd592uzw0x4efdx25zxv3raztf00v0xfd" timestamp="1692474554"&gt;81&lt;/key&gt;&lt;/foreign-keys&gt;&lt;ref-type name="Journal Article"&gt;17&lt;/ref-type&gt;&lt;contributors&gt;&lt;authors&gt;&lt;author&gt;Milligan, F.,&lt;/author&gt;&lt;author&gt;Almomani, E.&lt;/author&gt;&lt;/authors&gt;&lt;/contributors&gt;&lt;titles&gt;&lt;title&gt;Death anxiety and compassion fatigue in critical care nurses&lt;/title&gt;&lt;secondary-title&gt;British Journal of Nursing&lt;/secondary-title&gt;&lt;/titles&gt;&lt;periodical&gt;&lt;full-title&gt;British Journal of Nursing&lt;/full-title&gt;&lt;/periodical&gt;&lt;volume&gt;29&lt;/volume&gt;&lt;number&gt;15&lt;/number&gt;&lt;dates&gt;&lt;year&gt;2020&lt;/year&gt;&lt;/dates&gt;&lt;urls&gt;&lt;/urls&gt;&lt;/record&gt;&lt;/Cite&gt;&lt;/EndNote&gt;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(Milligan &amp; Almomani, 2020)</w:t>
            </w:r>
            <w:r>
              <w:rPr>
                <w:rFonts w:asciiTheme="majorBidi" w:hAnsiTheme="majorBidi" w:cstheme="majorBidi"/>
                <w:sz w:val="20"/>
                <w:szCs w:val="20"/>
                <w:lang w:bidi="ar-LB"/>
              </w:rPr>
              <w:fldChar w:fldCharType="end"/>
            </w:r>
          </w:p>
        </w:tc>
        <w:tc>
          <w:tcPr>
            <w:tcW w:w="450" w:type="dxa"/>
            <w:textDirection w:val="btLr"/>
            <w:vAlign w:val="center"/>
          </w:tcPr>
          <w:p w14:paraId="5C3647F2" w14:textId="77777777" w:rsidR="00FA2105" w:rsidRPr="00927FC3" w:rsidRDefault="00FA2105" w:rsidP="00AD0134">
            <w:pPr>
              <w:spacing w:line="259" w:lineRule="auto"/>
              <w:ind w:left="113" w:right="113"/>
              <w:jc w:val="center"/>
              <w:rPr>
                <w:rFonts w:asciiTheme="majorBidi" w:hAnsiTheme="majorBidi" w:cstheme="majorBidi"/>
                <w:sz w:val="20"/>
                <w:szCs w:val="20"/>
              </w:rPr>
            </w:pPr>
            <w:r w:rsidRPr="00927FC3">
              <w:rPr>
                <w:rFonts w:asciiTheme="majorBidi" w:hAnsiTheme="majorBidi" w:cstheme="majorBidi"/>
                <w:sz w:val="20"/>
                <w:szCs w:val="20"/>
              </w:rPr>
              <w:t>Qatar</w:t>
            </w:r>
          </w:p>
          <w:p w14:paraId="2972F4BE" w14:textId="77777777" w:rsidR="00FA2105" w:rsidRPr="00927FC3" w:rsidRDefault="00FA2105" w:rsidP="00AD0134">
            <w:pPr>
              <w:ind w:left="113" w:right="113"/>
              <w:jc w:val="center"/>
              <w:rPr>
                <w:rFonts w:asciiTheme="majorBidi" w:hAnsiTheme="majorBidi" w:cstheme="majorBidi"/>
                <w:sz w:val="20"/>
                <w:szCs w:val="20"/>
              </w:rPr>
            </w:pPr>
          </w:p>
        </w:tc>
        <w:tc>
          <w:tcPr>
            <w:tcW w:w="990" w:type="dxa"/>
            <w:vAlign w:val="center"/>
          </w:tcPr>
          <w:p w14:paraId="3A23F118" w14:textId="77777777" w:rsidR="00FA2105" w:rsidRPr="00DD4DE9" w:rsidRDefault="00FA2105" w:rsidP="00AD0134">
            <w:pPr>
              <w:rPr>
                <w:rFonts w:asciiTheme="majorBidi" w:hAnsiTheme="majorBidi" w:cstheme="majorBidi"/>
                <w:sz w:val="20"/>
                <w:szCs w:val="20"/>
              </w:rPr>
            </w:pPr>
            <w:r w:rsidRPr="00DD4DE9">
              <w:rPr>
                <w:rFonts w:asciiTheme="majorBidi" w:hAnsiTheme="majorBidi" w:cstheme="majorBidi"/>
                <w:sz w:val="20"/>
                <w:szCs w:val="20"/>
              </w:rPr>
              <w:t>81 ICU nurses</w:t>
            </w:r>
          </w:p>
          <w:p w14:paraId="0FE4F7EB" w14:textId="77777777" w:rsidR="00FA2105" w:rsidRPr="00DD4DE9" w:rsidRDefault="00FA2105" w:rsidP="00AD0134">
            <w:pPr>
              <w:spacing w:line="259" w:lineRule="auto"/>
              <w:rPr>
                <w:rFonts w:asciiTheme="majorBidi" w:hAnsiTheme="majorBidi" w:cstheme="majorBidi"/>
                <w:sz w:val="20"/>
                <w:szCs w:val="20"/>
              </w:rPr>
            </w:pPr>
            <w:r w:rsidRPr="00DD4DE9">
              <w:rPr>
                <w:rFonts w:asciiTheme="majorBidi" w:hAnsiTheme="majorBidi" w:cstheme="majorBidi"/>
                <w:sz w:val="20"/>
                <w:szCs w:val="20"/>
              </w:rPr>
              <w:t>8 nurses for QUAL</w:t>
            </w:r>
          </w:p>
          <w:p w14:paraId="5E07AFD0" w14:textId="77777777" w:rsidR="00FA2105" w:rsidRPr="00DD4DE9" w:rsidRDefault="00FA2105" w:rsidP="00AD0134">
            <w:pPr>
              <w:rPr>
                <w:rFonts w:asciiTheme="majorBidi" w:hAnsiTheme="majorBidi" w:cstheme="majorBidi"/>
                <w:sz w:val="20"/>
                <w:szCs w:val="20"/>
              </w:rPr>
            </w:pPr>
          </w:p>
        </w:tc>
        <w:tc>
          <w:tcPr>
            <w:tcW w:w="2075" w:type="dxa"/>
            <w:vAlign w:val="center"/>
          </w:tcPr>
          <w:p w14:paraId="67F0964D" w14:textId="77777777" w:rsidR="00FA2105" w:rsidRPr="00DD4DE9" w:rsidRDefault="00FA2105" w:rsidP="00FA2105">
            <w:pPr>
              <w:pStyle w:val="ListParagraph"/>
              <w:numPr>
                <w:ilvl w:val="0"/>
                <w:numId w:val="2"/>
              </w:numPr>
              <w:spacing w:line="264" w:lineRule="auto"/>
              <w:ind w:left="175" w:hanging="180"/>
              <w:rPr>
                <w:rFonts w:asciiTheme="majorBidi" w:hAnsiTheme="majorBidi" w:cstheme="majorBidi"/>
                <w:sz w:val="20"/>
                <w:szCs w:val="20"/>
              </w:rPr>
            </w:pPr>
            <w:r w:rsidRPr="00DD4DE9">
              <w:rPr>
                <w:rFonts w:asciiTheme="majorBidi" w:hAnsiTheme="majorBidi" w:cstheme="majorBidi"/>
                <w:sz w:val="20"/>
                <w:szCs w:val="20"/>
              </w:rPr>
              <w:t>The Death Attitude Profile Revised (DAP-R)</w:t>
            </w:r>
          </w:p>
          <w:p w14:paraId="13C2FCB7" w14:textId="77777777" w:rsidR="00FA2105" w:rsidRPr="00DD4DE9" w:rsidRDefault="00FA2105" w:rsidP="00FA2105">
            <w:pPr>
              <w:pStyle w:val="ListParagraph"/>
              <w:numPr>
                <w:ilvl w:val="0"/>
                <w:numId w:val="2"/>
              </w:numPr>
              <w:spacing w:line="264" w:lineRule="auto"/>
              <w:ind w:left="175" w:hanging="180"/>
              <w:rPr>
                <w:rFonts w:asciiTheme="majorBidi" w:hAnsiTheme="majorBidi" w:cstheme="majorBidi"/>
                <w:sz w:val="20"/>
                <w:szCs w:val="20"/>
              </w:rPr>
            </w:pPr>
            <w:r w:rsidRPr="00DD4DE9">
              <w:rPr>
                <w:rFonts w:asciiTheme="majorBidi" w:hAnsiTheme="majorBidi" w:cstheme="majorBidi"/>
                <w:sz w:val="20"/>
                <w:szCs w:val="20"/>
              </w:rPr>
              <w:t>Thematic qualitative analysis</w:t>
            </w:r>
          </w:p>
          <w:p w14:paraId="3A65ABCF" w14:textId="77777777" w:rsidR="00FA2105" w:rsidRPr="00DD4DE9" w:rsidRDefault="00FA2105" w:rsidP="00AD0134">
            <w:pPr>
              <w:pStyle w:val="ListParagraph"/>
              <w:ind w:left="360"/>
              <w:rPr>
                <w:rFonts w:asciiTheme="majorBidi" w:hAnsiTheme="majorBidi" w:cstheme="majorBidi"/>
                <w:sz w:val="20"/>
                <w:szCs w:val="20"/>
              </w:rPr>
            </w:pPr>
          </w:p>
        </w:tc>
        <w:tc>
          <w:tcPr>
            <w:tcW w:w="9360" w:type="dxa"/>
            <w:vAlign w:val="center"/>
          </w:tcPr>
          <w:p w14:paraId="697CE7EF" w14:textId="77777777" w:rsidR="00FA2105" w:rsidRPr="00DD4DE9" w:rsidRDefault="00FA2105" w:rsidP="00FA2105">
            <w:pPr>
              <w:pStyle w:val="ListParagraph"/>
              <w:numPr>
                <w:ilvl w:val="0"/>
                <w:numId w:val="1"/>
              </w:numPr>
              <w:ind w:left="255" w:hanging="180"/>
              <w:jc w:val="both"/>
              <w:rPr>
                <w:rFonts w:asciiTheme="majorBidi" w:hAnsiTheme="majorBidi" w:cstheme="majorBidi"/>
                <w:sz w:val="20"/>
                <w:szCs w:val="20"/>
              </w:rPr>
            </w:pPr>
            <w:r w:rsidRPr="00DD4DE9">
              <w:rPr>
                <w:rFonts w:asciiTheme="majorBidi" w:hAnsiTheme="majorBidi" w:cstheme="majorBidi"/>
                <w:sz w:val="20"/>
                <w:szCs w:val="20"/>
              </w:rPr>
              <w:t>"Fear of death" and "death avoidance" were positively correlated with qualifications, gender, and years in the ICU, but negatively correlated with time employed in the organization. "Fear of death" negatively correlated with age, while "death avoidance" positively correlated with age. Female gender and longer work experience in critical care were identified as risk factors for CF.</w:t>
            </w:r>
          </w:p>
          <w:p w14:paraId="77DA9D74" w14:textId="77777777" w:rsidR="00FA2105" w:rsidRPr="00DD4DE9" w:rsidRDefault="00FA2105" w:rsidP="00FA2105">
            <w:pPr>
              <w:pStyle w:val="ListParagraph"/>
              <w:numPr>
                <w:ilvl w:val="0"/>
                <w:numId w:val="1"/>
              </w:numPr>
              <w:ind w:left="255" w:hanging="180"/>
              <w:jc w:val="both"/>
              <w:rPr>
                <w:rFonts w:asciiTheme="majorBidi" w:hAnsiTheme="majorBidi" w:cstheme="majorBidi"/>
                <w:sz w:val="20"/>
                <w:szCs w:val="20"/>
              </w:rPr>
            </w:pPr>
            <w:r w:rsidRPr="00DD4DE9">
              <w:rPr>
                <w:rFonts w:asciiTheme="majorBidi" w:hAnsiTheme="majorBidi" w:cstheme="majorBidi"/>
                <w:sz w:val="20"/>
                <w:szCs w:val="20"/>
              </w:rPr>
              <w:t>Qualitative outcomes:</w:t>
            </w:r>
            <w:r>
              <w:rPr>
                <w:rFonts w:asciiTheme="majorBidi" w:hAnsiTheme="majorBidi" w:cstheme="majorBidi"/>
                <w:sz w:val="20"/>
                <w:szCs w:val="20"/>
              </w:rPr>
              <w:t xml:space="preserve"> </w:t>
            </w:r>
            <w:r w:rsidRPr="00DD4DE9">
              <w:rPr>
                <w:rFonts w:asciiTheme="majorBidi" w:hAnsiTheme="majorBidi" w:cstheme="majorBidi"/>
                <w:b/>
                <w:bCs/>
                <w:sz w:val="20"/>
                <w:szCs w:val="20"/>
              </w:rPr>
              <w:t>Theme 1:</w:t>
            </w:r>
            <w:r w:rsidRPr="00DD4DE9">
              <w:rPr>
                <w:rFonts w:asciiTheme="majorBidi" w:hAnsiTheme="majorBidi" w:cstheme="majorBidi"/>
                <w:sz w:val="20"/>
                <w:szCs w:val="20"/>
              </w:rPr>
              <w:t xml:space="preserve"> Compassionate care was often not delivered in critical care units, as the focus was primarily on competent care</w:t>
            </w:r>
            <w:r>
              <w:rPr>
                <w:rFonts w:asciiTheme="majorBidi" w:hAnsiTheme="majorBidi" w:cstheme="majorBidi"/>
                <w:sz w:val="20"/>
                <w:szCs w:val="20"/>
              </w:rPr>
              <w:t xml:space="preserve">; </w:t>
            </w:r>
            <w:r w:rsidRPr="00DD4DE9">
              <w:rPr>
                <w:rFonts w:asciiTheme="majorBidi" w:hAnsiTheme="majorBidi" w:cstheme="majorBidi"/>
                <w:b/>
                <w:bCs/>
                <w:sz w:val="20"/>
                <w:szCs w:val="20"/>
              </w:rPr>
              <w:t>Theme 2:</w:t>
            </w:r>
            <w:r w:rsidRPr="00DD4DE9">
              <w:rPr>
                <w:rFonts w:asciiTheme="majorBidi" w:hAnsiTheme="majorBidi" w:cstheme="majorBidi"/>
                <w:sz w:val="20"/>
                <w:szCs w:val="20"/>
              </w:rPr>
              <w:t xml:space="preserve"> There was a desire to provide competent care, but barriers such as staff shortages and high patient turnover were identified.</w:t>
            </w:r>
          </w:p>
        </w:tc>
      </w:tr>
      <w:tr w:rsidR="00FA2105" w:rsidRPr="00BF1C58" w14:paraId="01E0FFCD" w14:textId="77777777" w:rsidTr="00AD0134">
        <w:trPr>
          <w:trHeight w:val="620"/>
        </w:trPr>
        <w:tc>
          <w:tcPr>
            <w:tcW w:w="715" w:type="dxa"/>
            <w:textDirection w:val="btLr"/>
            <w:vAlign w:val="center"/>
          </w:tcPr>
          <w:p w14:paraId="19639622" w14:textId="77777777" w:rsidR="00FA2105" w:rsidRPr="00383B8E" w:rsidRDefault="00FA2105" w:rsidP="00AD0134">
            <w:pPr>
              <w:ind w:left="360" w:right="113"/>
              <w:jc w:val="center"/>
              <w:rPr>
                <w:rFonts w:asciiTheme="majorBidi" w:hAnsiTheme="majorBidi" w:cstheme="majorBidi"/>
                <w:sz w:val="20"/>
                <w:szCs w:val="20"/>
                <w:lang w:bidi="ar-LB"/>
              </w:rPr>
            </w:pPr>
            <w:r>
              <w:rPr>
                <w:rFonts w:asciiTheme="majorBidi" w:hAnsiTheme="majorBidi" w:cstheme="majorBidi"/>
                <w:sz w:val="20"/>
                <w:szCs w:val="20"/>
                <w:lang w:bidi="ar-LB"/>
              </w:rPr>
              <w:fldChar w:fldCharType="begin"/>
            </w:r>
            <w:r>
              <w:rPr>
                <w:rFonts w:asciiTheme="majorBidi" w:hAnsiTheme="majorBidi" w:cstheme="majorBidi"/>
                <w:sz w:val="20"/>
                <w:szCs w:val="20"/>
                <w:lang w:bidi="ar-LB"/>
              </w:rPr>
              <w:instrText xml:space="preserve"> ADDIN EN.CITE &lt;EndNote&gt;&lt;Cite&gt;&lt;Author&gt;Pehlivan&lt;/Author&gt;&lt;Year&gt;2020&lt;/Year&gt;&lt;RecNum&gt;118&lt;/RecNum&gt;&lt;DisplayText&gt;(Pehlivan &amp;amp; Guner, 2020)&lt;/DisplayText&gt;&lt;record&gt;&lt;rec-number&gt;118&lt;/rec-number&gt;&lt;foreign-keys&gt;&lt;key app="EN" db-id="aexdd592uzw0x4efdx25zxv3raztf00v0xfd" timestamp="1692474908"&gt;118&lt;/key&gt;&lt;/foreign-keys&gt;&lt;ref-type name="Journal Article"&gt;17&lt;/ref-type&gt;&lt;contributors&gt;&lt;authors&gt;&lt;author&gt;Pehlivan, T.&lt;/author&gt;&lt;author&gt;Guner, P.&lt;/author&gt;&lt;/authors&gt;&lt;/contributors&gt;&lt;auth-address&gt;Koc University Hospital, Istanbul, Turkey.&amp;#xD;Istanbul Bilgi University Faculty of Health Sciences, Istanbul, Turkey.&lt;/auth-address&gt;&lt;titles&gt;&lt;title&gt;Effect of a compassion fatigue resiliency program on nurses&amp;apos; professional quality of life, perceived stress, resilience: A randomized controlled trial&lt;/title&gt;&lt;secondary-title&gt;J Adv Nurs&lt;/secondary-title&gt;&lt;/titles&gt;&lt;periodical&gt;&lt;full-title&gt;J Adv Nurs&lt;/full-title&gt;&lt;/periodical&gt;&lt;pages&gt;3584-3596&lt;/pages&gt;&lt;volume&gt;76&lt;/volume&gt;&lt;number&gt;12&lt;/number&gt;&lt;edition&gt;20201003&lt;/edition&gt;&lt;keywords&gt;&lt;keyword&gt;*Burnout, Professional&lt;/keyword&gt;&lt;keyword&gt;*Compassion Fatigue&lt;/keyword&gt;&lt;keyword&gt;Cross-Sectional Studies&lt;/keyword&gt;&lt;keyword&gt;Empathy&lt;/keyword&gt;&lt;keyword&gt;Humans&lt;/keyword&gt;&lt;keyword&gt;Job Satisfaction&lt;/keyword&gt;&lt;keyword&gt;*Nurses&lt;/keyword&gt;&lt;keyword&gt;*Occupational Stress&lt;/keyword&gt;&lt;keyword&gt;Quality of Life&lt;/keyword&gt;&lt;keyword&gt;burnout&lt;/keyword&gt;&lt;keyword&gt;compassion fatigue&lt;/keyword&gt;&lt;keyword&gt;compassion satisfaction&lt;/keyword&gt;&lt;keyword&gt;oncology-haematology nurses&lt;/keyword&gt;&lt;keyword&gt;perceived stress&lt;/keyword&gt;&lt;keyword&gt;resilience&lt;/keyword&gt;&lt;/keywords&gt;&lt;dates&gt;&lt;year&gt;2020&lt;/year&gt;&lt;pub-dates&gt;&lt;date&gt;Dec&lt;/date&gt;&lt;/pub-dates&gt;&lt;/dates&gt;&lt;isbn&gt;1365-2648 (Electronic)&amp;#xD;0309-2402 (Linking)&lt;/isbn&gt;&lt;accession-num&gt;33009840&lt;/accession-num&gt;&lt;urls&gt;&lt;related-urls&gt;&lt;url&gt;https://www.ncbi.nlm.nih.gov/pubmed/33009840&lt;/url&gt;&lt;/related-urls&gt;&lt;/urls&gt;&lt;electronic-resource-num&gt;10.1111/jan.14568&lt;/electronic-resource-num&gt;&lt;remote-database-name&gt;Medline&lt;/remote-database-name&gt;&lt;remote-database-provider&gt;NLM&lt;/remote-database-provider&gt;&lt;/record&gt;&lt;/Cite&gt;&lt;/EndNote&gt;</w:instrText>
            </w:r>
            <w:r>
              <w:rPr>
                <w:rFonts w:asciiTheme="majorBidi" w:hAnsiTheme="majorBidi" w:cstheme="majorBidi"/>
                <w:sz w:val="20"/>
                <w:szCs w:val="20"/>
                <w:lang w:bidi="ar-LB"/>
              </w:rPr>
              <w:fldChar w:fldCharType="separate"/>
            </w:r>
            <w:r>
              <w:rPr>
                <w:rFonts w:asciiTheme="majorBidi" w:hAnsiTheme="majorBidi" w:cstheme="majorBidi"/>
                <w:noProof/>
                <w:sz w:val="20"/>
                <w:szCs w:val="20"/>
                <w:lang w:bidi="ar-LB"/>
              </w:rPr>
              <w:t>(Pehlivan &amp; Guner, 2020)</w:t>
            </w:r>
            <w:r>
              <w:rPr>
                <w:rFonts w:asciiTheme="majorBidi" w:hAnsiTheme="majorBidi" w:cstheme="majorBidi"/>
                <w:sz w:val="20"/>
                <w:szCs w:val="20"/>
                <w:lang w:bidi="ar-LB"/>
              </w:rPr>
              <w:fldChar w:fldCharType="end"/>
            </w:r>
          </w:p>
        </w:tc>
        <w:tc>
          <w:tcPr>
            <w:tcW w:w="450" w:type="dxa"/>
            <w:textDirection w:val="btLr"/>
            <w:vAlign w:val="center"/>
          </w:tcPr>
          <w:p w14:paraId="1C834CC1" w14:textId="77777777" w:rsidR="00FA2105" w:rsidRDefault="00FA2105" w:rsidP="00AD0134">
            <w:pPr>
              <w:ind w:left="113" w:right="113"/>
              <w:jc w:val="center"/>
              <w:rPr>
                <w:rFonts w:asciiTheme="majorBidi" w:hAnsiTheme="majorBidi" w:cstheme="majorBidi"/>
                <w:sz w:val="20"/>
                <w:szCs w:val="20"/>
              </w:rPr>
            </w:pPr>
            <w:r>
              <w:rPr>
                <w:rFonts w:asciiTheme="majorBidi" w:hAnsiTheme="majorBidi" w:cstheme="majorBidi"/>
                <w:sz w:val="20"/>
                <w:szCs w:val="20"/>
              </w:rPr>
              <w:t>Turkey</w:t>
            </w:r>
          </w:p>
        </w:tc>
        <w:tc>
          <w:tcPr>
            <w:tcW w:w="990" w:type="dxa"/>
            <w:vAlign w:val="center"/>
          </w:tcPr>
          <w:p w14:paraId="742436A4" w14:textId="77777777" w:rsidR="00FA2105" w:rsidRPr="00DD4DE9" w:rsidRDefault="00FA2105" w:rsidP="00AD0134">
            <w:pPr>
              <w:rPr>
                <w:rFonts w:asciiTheme="majorBidi" w:hAnsiTheme="majorBidi" w:cstheme="majorBidi"/>
                <w:sz w:val="20"/>
                <w:szCs w:val="20"/>
              </w:rPr>
            </w:pPr>
            <w:r w:rsidRPr="00DD4DE9">
              <w:rPr>
                <w:rFonts w:asciiTheme="majorBidi" w:hAnsiTheme="majorBidi" w:cstheme="majorBidi"/>
                <w:sz w:val="20"/>
                <w:szCs w:val="20"/>
              </w:rPr>
              <w:t xml:space="preserve">16 nurse managers </w:t>
            </w:r>
          </w:p>
        </w:tc>
        <w:tc>
          <w:tcPr>
            <w:tcW w:w="2075" w:type="dxa"/>
            <w:vAlign w:val="center"/>
          </w:tcPr>
          <w:p w14:paraId="2C512A10" w14:textId="77777777" w:rsidR="00FA2105" w:rsidRPr="00DD4DE9" w:rsidRDefault="00FA2105" w:rsidP="00FA2105">
            <w:pPr>
              <w:pStyle w:val="ListParagraph"/>
              <w:numPr>
                <w:ilvl w:val="0"/>
                <w:numId w:val="2"/>
              </w:numPr>
              <w:spacing w:line="264" w:lineRule="auto"/>
              <w:ind w:left="175" w:hanging="180"/>
              <w:rPr>
                <w:rFonts w:asciiTheme="majorBidi" w:hAnsiTheme="majorBidi" w:cstheme="majorBidi"/>
                <w:sz w:val="20"/>
                <w:szCs w:val="20"/>
              </w:rPr>
            </w:pPr>
            <w:r w:rsidRPr="00DD4DE9">
              <w:rPr>
                <w:rFonts w:asciiTheme="majorBidi" w:hAnsiTheme="majorBidi" w:cstheme="majorBidi"/>
                <w:sz w:val="20"/>
                <w:szCs w:val="20"/>
              </w:rPr>
              <w:t xml:space="preserve">Pro-QOL-IV </w:t>
            </w:r>
          </w:p>
          <w:p w14:paraId="40C784A6" w14:textId="77777777" w:rsidR="00FA2105" w:rsidRPr="00DD4DE9" w:rsidRDefault="00FA2105" w:rsidP="00FA2105">
            <w:pPr>
              <w:pStyle w:val="ListParagraph"/>
              <w:numPr>
                <w:ilvl w:val="0"/>
                <w:numId w:val="2"/>
              </w:numPr>
              <w:ind w:left="175" w:right="113" w:hanging="180"/>
              <w:rPr>
                <w:rFonts w:asciiTheme="majorBidi" w:hAnsiTheme="majorBidi" w:cstheme="majorBidi"/>
                <w:sz w:val="20"/>
                <w:szCs w:val="20"/>
              </w:rPr>
            </w:pPr>
            <w:r w:rsidRPr="00DD4DE9">
              <w:rPr>
                <w:rFonts w:asciiTheme="majorBidi" w:hAnsiTheme="majorBidi" w:cstheme="majorBidi"/>
                <w:sz w:val="20"/>
                <w:szCs w:val="20"/>
              </w:rPr>
              <w:t>Perceived Stress Scale</w:t>
            </w:r>
          </w:p>
          <w:p w14:paraId="4138B02B" w14:textId="77777777" w:rsidR="00FA2105" w:rsidRPr="00DD4DE9" w:rsidRDefault="00FA2105" w:rsidP="00FA2105">
            <w:pPr>
              <w:pStyle w:val="ListParagraph"/>
              <w:numPr>
                <w:ilvl w:val="0"/>
                <w:numId w:val="2"/>
              </w:numPr>
              <w:ind w:left="175" w:right="113" w:hanging="180"/>
              <w:rPr>
                <w:rFonts w:asciiTheme="majorBidi" w:hAnsiTheme="majorBidi" w:cstheme="majorBidi"/>
                <w:sz w:val="20"/>
                <w:szCs w:val="20"/>
              </w:rPr>
            </w:pPr>
            <w:r w:rsidRPr="00DD4DE9">
              <w:rPr>
                <w:rFonts w:asciiTheme="majorBidi" w:hAnsiTheme="majorBidi" w:cstheme="majorBidi"/>
                <w:sz w:val="20"/>
                <w:szCs w:val="20"/>
              </w:rPr>
              <w:t xml:space="preserve">Resilience scale </w:t>
            </w:r>
          </w:p>
          <w:p w14:paraId="36CB2F9F" w14:textId="77777777" w:rsidR="00FA2105" w:rsidRPr="00DD4DE9" w:rsidRDefault="00FA2105" w:rsidP="00FA2105">
            <w:pPr>
              <w:pStyle w:val="ListParagraph"/>
              <w:numPr>
                <w:ilvl w:val="0"/>
                <w:numId w:val="2"/>
              </w:numPr>
              <w:ind w:left="175" w:right="113" w:hanging="180"/>
              <w:rPr>
                <w:rFonts w:asciiTheme="majorBidi" w:hAnsiTheme="majorBidi" w:cstheme="majorBidi"/>
                <w:sz w:val="20"/>
                <w:szCs w:val="20"/>
              </w:rPr>
            </w:pPr>
            <w:r w:rsidRPr="00DD4DE9">
              <w:rPr>
                <w:rFonts w:asciiTheme="majorBidi" w:hAnsiTheme="majorBidi" w:cstheme="majorBidi"/>
                <w:sz w:val="20"/>
                <w:szCs w:val="20"/>
              </w:rPr>
              <w:t xml:space="preserve">CFRP </w:t>
            </w:r>
            <w:r>
              <w:rPr>
                <w:rFonts w:asciiTheme="majorBidi" w:hAnsiTheme="majorBidi" w:cstheme="majorBidi"/>
                <w:sz w:val="20"/>
                <w:szCs w:val="20"/>
              </w:rPr>
              <w:t>q</w:t>
            </w:r>
            <w:r w:rsidRPr="00DD4DE9">
              <w:rPr>
                <w:rFonts w:asciiTheme="majorBidi" w:hAnsiTheme="majorBidi" w:cstheme="majorBidi"/>
                <w:sz w:val="20"/>
                <w:szCs w:val="20"/>
              </w:rPr>
              <w:t>uestionnaire (qualitative data)</w:t>
            </w:r>
          </w:p>
        </w:tc>
        <w:tc>
          <w:tcPr>
            <w:tcW w:w="9360" w:type="dxa"/>
            <w:vAlign w:val="center"/>
          </w:tcPr>
          <w:p w14:paraId="2BEEC3F9" w14:textId="77777777" w:rsidR="00FA2105" w:rsidRPr="00DD4DE9" w:rsidRDefault="00FA2105" w:rsidP="00FA2105">
            <w:pPr>
              <w:pStyle w:val="ListParagraph"/>
              <w:numPr>
                <w:ilvl w:val="0"/>
                <w:numId w:val="1"/>
              </w:numPr>
              <w:ind w:left="181" w:hanging="165"/>
              <w:rPr>
                <w:rFonts w:asciiTheme="majorBidi" w:hAnsiTheme="majorBidi" w:cstheme="majorBidi"/>
                <w:sz w:val="20"/>
                <w:szCs w:val="20"/>
              </w:rPr>
            </w:pPr>
            <w:r w:rsidRPr="00DD4DE9">
              <w:rPr>
                <w:rFonts w:asciiTheme="majorBidi" w:hAnsiTheme="majorBidi" w:cstheme="majorBidi"/>
                <w:sz w:val="20"/>
                <w:szCs w:val="20"/>
              </w:rPr>
              <w:t>Baseline mean scores indicated that nurse managers had moderate CF and CS, with low BO. The CFRP significantly reduced CF and stress in nurse managers but did not lead to significant changes in CS, BO, or resilience. While the CFRP did not significantly reduce BO, it increased job satisfaction and professional awareness among nurse managers. Nurses reported that the CFRP was useful for coping with stress. Improving coping and communication skills within the nurse management team can positively impact the quality of patient care</w:t>
            </w:r>
          </w:p>
        </w:tc>
      </w:tr>
      <w:tr w:rsidR="00FA2105" w:rsidRPr="00383B8E" w14:paraId="0870FD8C" w14:textId="77777777" w:rsidTr="00AD0134">
        <w:trPr>
          <w:trHeight w:val="1134"/>
        </w:trPr>
        <w:tc>
          <w:tcPr>
            <w:tcW w:w="715" w:type="dxa"/>
            <w:textDirection w:val="btLr"/>
            <w:vAlign w:val="center"/>
          </w:tcPr>
          <w:p w14:paraId="2FC214DE" w14:textId="77777777" w:rsidR="00FA2105" w:rsidRPr="00383B8E" w:rsidRDefault="00FA2105" w:rsidP="00AD0134">
            <w:pPr>
              <w:ind w:left="360" w:right="113"/>
              <w:jc w:val="center"/>
              <w:rPr>
                <w:rFonts w:asciiTheme="majorBidi" w:hAnsiTheme="majorBidi" w:cstheme="majorBidi"/>
                <w:sz w:val="20"/>
                <w:szCs w:val="20"/>
              </w:rPr>
            </w:pPr>
            <w:r>
              <w:rPr>
                <w:rFonts w:asciiTheme="majorBidi" w:hAnsiTheme="majorBidi" w:cstheme="majorBidi"/>
                <w:sz w:val="20"/>
                <w:szCs w:val="20"/>
              </w:rPr>
              <w:fldChar w:fldCharType="begin"/>
            </w:r>
            <w:r>
              <w:rPr>
                <w:rFonts w:asciiTheme="majorBidi" w:hAnsiTheme="majorBidi" w:cstheme="majorBidi"/>
                <w:sz w:val="20"/>
                <w:szCs w:val="20"/>
              </w:rPr>
              <w:instrText xml:space="preserve"> ADDIN EN.CITE &lt;EndNote&gt;&lt;Cite&gt;&lt;Author&gt;Christianson&lt;/Author&gt;&lt;Year&gt;2023&lt;/Year&gt;&lt;RecNum&gt;96&lt;/RecNum&gt;&lt;DisplayText&gt;(Christianson et al., 2023)&lt;/DisplayText&gt;&lt;record&gt;&lt;rec-number&gt;96&lt;/rec-number&gt;&lt;foreign-keys&gt;&lt;key app="EN" db-id="aexdd592uzw0x4efdx25zxv3raztf00v0xfd" timestamp="1692474729"&gt;96&lt;/key&gt;&lt;/foreign-keys&gt;&lt;ref-type name="Journal Article"&gt;17&lt;/ref-type&gt;&lt;contributors&gt;&lt;authors&gt;&lt;author&gt;Christianson, J.&lt;/author&gt;&lt;author&gt;Johnson, N.&lt;/author&gt;&lt;author&gt;Nelson, A.&lt;/author&gt;&lt;author&gt;Singh, M.&lt;/author&gt;&lt;/authors&gt;&lt;/contributors&gt;&lt;titles&gt;&lt;title&gt;Work-Related Burnout, Compassion Fatigue, and Nurse Intention to Leave the Profession During COVID-19&lt;/title&gt;&lt;secondary-title&gt;Nurse Lead&lt;/secondary-title&gt;&lt;/titles&gt;&lt;periodical&gt;&lt;full-title&gt;Nurse Lead&lt;/full-title&gt;&lt;/periodical&gt;&lt;pages&gt;244-251&lt;/pages&gt;&lt;volume&gt;21&lt;/volume&gt;&lt;number&gt;2&lt;/number&gt;&lt;edition&gt;20220629&lt;/edition&gt;&lt;dates&gt;&lt;year&gt;2023&lt;/year&gt;&lt;pub-dates&gt;&lt;date&gt;Apr&lt;/date&gt;&lt;/pub-dates&gt;&lt;/dates&gt;&lt;isbn&gt;1541-4612 (Print)&amp;#xD;1541-4620 (Electronic)&amp;#xD;1541-4612 (Linking)&lt;/isbn&gt;&lt;accession-num&gt;35783544&lt;/accession-num&gt;&lt;urls&gt;&lt;related-urls&gt;&lt;url&gt;https://www.ncbi.nlm.nih.gov/pubmed/35783544&lt;/url&gt;&lt;/related-urls&gt;&lt;/urls&gt;&lt;custom2&gt;PMC9239979&lt;/custom2&gt;&lt;electronic-resource-num&gt;10.1016/j.mnl.2022.06.007&lt;/electronic-resource-num&gt;&lt;remote-database-name&gt;PubMed-not-MEDLINE&lt;/remote-database-name&gt;&lt;remote-database-provider&gt;NLM&lt;/remote-database-provider&gt;&lt;/record&gt;&lt;/Cite&gt;&lt;/EndNote&gt;</w:instrText>
            </w:r>
            <w:r>
              <w:rPr>
                <w:rFonts w:asciiTheme="majorBidi" w:hAnsiTheme="majorBidi" w:cstheme="majorBidi"/>
                <w:sz w:val="20"/>
                <w:szCs w:val="20"/>
              </w:rPr>
              <w:fldChar w:fldCharType="separate"/>
            </w:r>
            <w:r>
              <w:rPr>
                <w:rFonts w:asciiTheme="majorBidi" w:hAnsiTheme="majorBidi" w:cstheme="majorBidi"/>
                <w:noProof/>
                <w:sz w:val="20"/>
                <w:szCs w:val="20"/>
              </w:rPr>
              <w:t>(Christianson et al., 2023)</w:t>
            </w:r>
            <w:r>
              <w:rPr>
                <w:rFonts w:asciiTheme="majorBidi" w:hAnsiTheme="majorBidi" w:cstheme="majorBidi"/>
                <w:sz w:val="20"/>
                <w:szCs w:val="20"/>
              </w:rPr>
              <w:fldChar w:fldCharType="end"/>
            </w:r>
          </w:p>
        </w:tc>
        <w:tc>
          <w:tcPr>
            <w:tcW w:w="450" w:type="dxa"/>
            <w:textDirection w:val="btLr"/>
            <w:vAlign w:val="center"/>
          </w:tcPr>
          <w:p w14:paraId="43A767BC" w14:textId="77777777" w:rsidR="00FA2105" w:rsidRPr="00927FC3" w:rsidRDefault="00FA2105" w:rsidP="00AD0134">
            <w:pPr>
              <w:ind w:left="113" w:right="113"/>
              <w:jc w:val="center"/>
              <w:rPr>
                <w:rFonts w:asciiTheme="majorBidi" w:hAnsiTheme="majorBidi" w:cstheme="majorBidi"/>
                <w:sz w:val="20"/>
                <w:szCs w:val="20"/>
              </w:rPr>
            </w:pPr>
            <w:r w:rsidRPr="00927FC3">
              <w:rPr>
                <w:rFonts w:asciiTheme="majorBidi" w:hAnsiTheme="majorBidi" w:cstheme="majorBidi"/>
                <w:sz w:val="20"/>
                <w:szCs w:val="20"/>
              </w:rPr>
              <w:t>USA</w:t>
            </w:r>
          </w:p>
        </w:tc>
        <w:tc>
          <w:tcPr>
            <w:tcW w:w="990" w:type="dxa"/>
            <w:vAlign w:val="center"/>
          </w:tcPr>
          <w:p w14:paraId="08437509" w14:textId="77777777" w:rsidR="00FA2105" w:rsidRPr="00DD4DE9" w:rsidRDefault="00FA2105" w:rsidP="00AD0134">
            <w:pPr>
              <w:rPr>
                <w:rFonts w:asciiTheme="majorBidi" w:hAnsiTheme="majorBidi" w:cstheme="majorBidi"/>
                <w:sz w:val="20"/>
                <w:szCs w:val="20"/>
              </w:rPr>
            </w:pPr>
            <w:r w:rsidRPr="00DD4DE9">
              <w:rPr>
                <w:rFonts w:asciiTheme="majorBidi" w:hAnsiTheme="majorBidi" w:cstheme="majorBidi"/>
                <w:sz w:val="20"/>
                <w:szCs w:val="20"/>
              </w:rPr>
              <w:t xml:space="preserve">1224 RN and 68 LPN </w:t>
            </w:r>
          </w:p>
        </w:tc>
        <w:tc>
          <w:tcPr>
            <w:tcW w:w="2075" w:type="dxa"/>
            <w:vAlign w:val="center"/>
          </w:tcPr>
          <w:p w14:paraId="1EED96AA" w14:textId="77777777" w:rsidR="00FA2105" w:rsidRPr="00DD4DE9" w:rsidRDefault="00FA2105" w:rsidP="00FA2105">
            <w:pPr>
              <w:pStyle w:val="ListParagraph"/>
              <w:numPr>
                <w:ilvl w:val="0"/>
                <w:numId w:val="1"/>
              </w:numPr>
              <w:ind w:left="175" w:hanging="180"/>
              <w:rPr>
                <w:rFonts w:asciiTheme="majorBidi" w:hAnsiTheme="majorBidi" w:cstheme="majorBidi"/>
                <w:sz w:val="20"/>
                <w:szCs w:val="20"/>
              </w:rPr>
            </w:pPr>
            <w:r w:rsidRPr="00DD4DE9">
              <w:rPr>
                <w:rFonts w:asciiTheme="majorBidi" w:hAnsiTheme="majorBidi" w:cstheme="majorBidi"/>
                <w:sz w:val="20"/>
                <w:szCs w:val="20"/>
              </w:rPr>
              <w:t>Copenhagen BO Inventory WRB scale</w:t>
            </w:r>
          </w:p>
          <w:p w14:paraId="1BB9BAAC" w14:textId="77777777" w:rsidR="00FA2105" w:rsidRPr="00DD4DE9" w:rsidRDefault="00FA2105" w:rsidP="00FA2105">
            <w:pPr>
              <w:pStyle w:val="ListParagraph"/>
              <w:numPr>
                <w:ilvl w:val="0"/>
                <w:numId w:val="1"/>
              </w:numPr>
              <w:ind w:left="175" w:hanging="180"/>
              <w:rPr>
                <w:rFonts w:asciiTheme="majorBidi" w:hAnsiTheme="majorBidi" w:cstheme="majorBidi"/>
                <w:sz w:val="20"/>
                <w:szCs w:val="20"/>
              </w:rPr>
            </w:pPr>
            <w:r w:rsidRPr="00DD4DE9">
              <w:rPr>
                <w:rFonts w:asciiTheme="majorBidi" w:hAnsiTheme="majorBidi" w:cstheme="majorBidi"/>
                <w:sz w:val="20"/>
                <w:szCs w:val="20"/>
              </w:rPr>
              <w:t>CF Short Scale (BO and VT)</w:t>
            </w:r>
          </w:p>
          <w:p w14:paraId="3F3B13D4" w14:textId="77777777" w:rsidR="00FA2105" w:rsidRPr="00DD4DE9" w:rsidRDefault="00FA2105" w:rsidP="00FA2105">
            <w:pPr>
              <w:pStyle w:val="ListParagraph"/>
              <w:numPr>
                <w:ilvl w:val="0"/>
                <w:numId w:val="1"/>
              </w:numPr>
              <w:ind w:left="175" w:hanging="180"/>
              <w:rPr>
                <w:rFonts w:asciiTheme="majorBidi" w:hAnsiTheme="majorBidi" w:cstheme="majorBidi"/>
                <w:sz w:val="20"/>
                <w:szCs w:val="20"/>
              </w:rPr>
            </w:pPr>
            <w:r w:rsidRPr="00DD4DE9">
              <w:rPr>
                <w:rFonts w:asciiTheme="majorBidi" w:hAnsiTheme="majorBidi" w:cstheme="majorBidi"/>
                <w:sz w:val="20"/>
                <w:szCs w:val="20"/>
              </w:rPr>
              <w:t>Intention to Leave the Profession (Qualitative question)</w:t>
            </w:r>
          </w:p>
        </w:tc>
        <w:tc>
          <w:tcPr>
            <w:tcW w:w="9360" w:type="dxa"/>
            <w:vAlign w:val="center"/>
          </w:tcPr>
          <w:p w14:paraId="58748075" w14:textId="77777777" w:rsidR="00FA2105" w:rsidRPr="00DD4DE9" w:rsidRDefault="00FA2105" w:rsidP="00FA2105">
            <w:pPr>
              <w:pStyle w:val="ListParagraph"/>
              <w:numPr>
                <w:ilvl w:val="0"/>
                <w:numId w:val="1"/>
              </w:numPr>
              <w:ind w:left="181" w:hanging="165"/>
              <w:rPr>
                <w:rFonts w:asciiTheme="majorBidi" w:hAnsiTheme="majorBidi" w:cstheme="majorBidi"/>
                <w:sz w:val="20"/>
                <w:szCs w:val="20"/>
              </w:rPr>
            </w:pPr>
            <w:r w:rsidRPr="00410883">
              <w:rPr>
                <w:rFonts w:asciiTheme="majorBidi" w:hAnsiTheme="majorBidi" w:cstheme="majorBidi"/>
                <w:sz w:val="20"/>
                <w:szCs w:val="20"/>
              </w:rPr>
              <w:t>Nurses were categorized into three groups: intend to leave (ITL), intend to stay (ITS), or uncertain. The ITL group exhibited higher BO compared to the ITS group. There was a significant difference in overall CFSS scores and both subscales (BO and VT) between the ITL groups. ITL among nurses practicing during the COVID-19 pandemic correlated with higher WRB and CF scores. Although WRB and CF were significantly higher in COVID nurses than in non-COVID nurses, COVID nurses were less likely to indicate ITL, possibly due to income disparities. WRB was a significant variable for both the uncertain and ITL groups, with odds ratios (OR) of 1.034 and 1.047, respectively. CF, COVID patient management, and practice type were significant factors in the ITL grou</w:t>
            </w:r>
            <w:r>
              <w:rPr>
                <w:rFonts w:asciiTheme="majorBidi" w:hAnsiTheme="majorBidi" w:cstheme="majorBidi"/>
                <w:sz w:val="20"/>
                <w:szCs w:val="20"/>
              </w:rPr>
              <w:t>p</w:t>
            </w:r>
          </w:p>
        </w:tc>
      </w:tr>
    </w:tbl>
    <w:p w14:paraId="0C67D43F" w14:textId="6A4303D1" w:rsidR="00B61A0E" w:rsidRDefault="00B61A0E" w:rsidP="00C5355D"/>
    <w:sectPr w:rsidR="00B61A0E" w:rsidSect="005B5472">
      <w:pgSz w:w="15840" w:h="12240" w:orient="landscape"/>
      <w:pgMar w:top="270" w:right="810" w:bottom="45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B14"/>
    <w:multiLevelType w:val="hybridMultilevel"/>
    <w:tmpl w:val="FB8A9032"/>
    <w:lvl w:ilvl="0" w:tplc="A782CD4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417D18"/>
    <w:multiLevelType w:val="hybridMultilevel"/>
    <w:tmpl w:val="EDF2F58C"/>
    <w:lvl w:ilvl="0" w:tplc="A782CD4C">
      <w:start w:val="1"/>
      <w:numFmt w:val="bullet"/>
      <w:lvlText w:val="-"/>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458243">
    <w:abstractNumId w:val="1"/>
  </w:num>
  <w:num w:numId="2" w16cid:durableId="11325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xdd592uzw0x4efdx25zxv3raztf00v0xfd&quot;&gt;My EndNote Library&lt;record-ids&gt;&lt;item&gt;81&lt;/item&gt;&lt;item&gt;96&lt;/item&gt;&lt;item&gt;118&lt;/item&gt;&lt;/record-ids&gt;&lt;/item&gt;&lt;/Libraries&gt;"/>
  </w:docVars>
  <w:rsids>
    <w:rsidRoot w:val="00464E35"/>
    <w:rsid w:val="000923B9"/>
    <w:rsid w:val="000F2515"/>
    <w:rsid w:val="001B3858"/>
    <w:rsid w:val="001E48B9"/>
    <w:rsid w:val="003E7043"/>
    <w:rsid w:val="00425F62"/>
    <w:rsid w:val="004574A4"/>
    <w:rsid w:val="00464E35"/>
    <w:rsid w:val="005B5472"/>
    <w:rsid w:val="006E6D9E"/>
    <w:rsid w:val="008739D2"/>
    <w:rsid w:val="00912700"/>
    <w:rsid w:val="009D494C"/>
    <w:rsid w:val="00A97E7D"/>
    <w:rsid w:val="00B61A0E"/>
    <w:rsid w:val="00BC34E0"/>
    <w:rsid w:val="00C5355D"/>
    <w:rsid w:val="00C726AD"/>
    <w:rsid w:val="00CC7147"/>
    <w:rsid w:val="00DA58E1"/>
    <w:rsid w:val="00F17DB0"/>
    <w:rsid w:val="00FA2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8EEA"/>
  <w15:chartTrackingRefBased/>
  <w15:docId w15:val="{AB1D2101-EE72-4B6F-A0BF-F827F2E5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72"/>
  </w:style>
  <w:style w:type="paragraph" w:styleId="Heading1">
    <w:name w:val="heading 1"/>
    <w:basedOn w:val="Normal"/>
    <w:next w:val="Normal"/>
    <w:link w:val="Heading1Char"/>
    <w:uiPriority w:val="9"/>
    <w:qFormat/>
    <w:rsid w:val="00464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E35"/>
    <w:rPr>
      <w:rFonts w:eastAsiaTheme="majorEastAsia" w:cstheme="majorBidi"/>
      <w:color w:val="272727" w:themeColor="text1" w:themeTint="D8"/>
    </w:rPr>
  </w:style>
  <w:style w:type="paragraph" w:styleId="Title">
    <w:name w:val="Title"/>
    <w:basedOn w:val="Normal"/>
    <w:next w:val="Normal"/>
    <w:link w:val="TitleChar"/>
    <w:uiPriority w:val="10"/>
    <w:qFormat/>
    <w:rsid w:val="0046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E35"/>
    <w:pPr>
      <w:spacing w:before="160"/>
      <w:jc w:val="center"/>
    </w:pPr>
    <w:rPr>
      <w:i/>
      <w:iCs/>
      <w:color w:val="404040" w:themeColor="text1" w:themeTint="BF"/>
    </w:rPr>
  </w:style>
  <w:style w:type="character" w:customStyle="1" w:styleId="QuoteChar">
    <w:name w:val="Quote Char"/>
    <w:basedOn w:val="DefaultParagraphFont"/>
    <w:link w:val="Quote"/>
    <w:uiPriority w:val="29"/>
    <w:rsid w:val="00464E35"/>
    <w:rPr>
      <w:i/>
      <w:iCs/>
      <w:color w:val="404040" w:themeColor="text1" w:themeTint="BF"/>
    </w:rPr>
  </w:style>
  <w:style w:type="paragraph" w:styleId="ListParagraph">
    <w:name w:val="List Paragraph"/>
    <w:basedOn w:val="Normal"/>
    <w:link w:val="ListParagraphChar"/>
    <w:uiPriority w:val="34"/>
    <w:qFormat/>
    <w:rsid w:val="00464E35"/>
    <w:pPr>
      <w:ind w:left="720"/>
      <w:contextualSpacing/>
    </w:pPr>
  </w:style>
  <w:style w:type="character" w:styleId="IntenseEmphasis">
    <w:name w:val="Intense Emphasis"/>
    <w:basedOn w:val="DefaultParagraphFont"/>
    <w:uiPriority w:val="21"/>
    <w:qFormat/>
    <w:rsid w:val="00464E35"/>
    <w:rPr>
      <w:i/>
      <w:iCs/>
      <w:color w:val="0F4761" w:themeColor="accent1" w:themeShade="BF"/>
    </w:rPr>
  </w:style>
  <w:style w:type="paragraph" w:styleId="IntenseQuote">
    <w:name w:val="Intense Quote"/>
    <w:basedOn w:val="Normal"/>
    <w:next w:val="Normal"/>
    <w:link w:val="IntenseQuoteChar"/>
    <w:uiPriority w:val="30"/>
    <w:qFormat/>
    <w:rsid w:val="00464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E35"/>
    <w:rPr>
      <w:i/>
      <w:iCs/>
      <w:color w:val="0F4761" w:themeColor="accent1" w:themeShade="BF"/>
    </w:rPr>
  </w:style>
  <w:style w:type="character" w:styleId="IntenseReference">
    <w:name w:val="Intense Reference"/>
    <w:basedOn w:val="DefaultParagraphFont"/>
    <w:uiPriority w:val="32"/>
    <w:qFormat/>
    <w:rsid w:val="00464E35"/>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5B5472"/>
  </w:style>
  <w:style w:type="table" w:styleId="TableGrid">
    <w:name w:val="Table Grid"/>
    <w:basedOn w:val="TableNormal"/>
    <w:uiPriority w:val="39"/>
    <w:rsid w:val="005B5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494C"/>
    <w:pPr>
      <w:spacing w:after="200" w:line="240" w:lineRule="auto"/>
    </w:pPr>
    <w:rPr>
      <w:i/>
      <w:iCs/>
      <w:color w:val="0E2841" w:themeColor="text2"/>
      <w:sz w:val="18"/>
      <w:szCs w:val="18"/>
    </w:rPr>
  </w:style>
  <w:style w:type="paragraph" w:customStyle="1" w:styleId="EndNoteBibliographyTitle">
    <w:name w:val="EndNote Bibliography Title"/>
    <w:basedOn w:val="Normal"/>
    <w:link w:val="EndNoteBibliographyTitleChar"/>
    <w:rsid w:val="00C5355D"/>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C5355D"/>
    <w:rPr>
      <w:rFonts w:ascii="Aptos" w:hAnsi="Aptos"/>
      <w:noProof/>
    </w:rPr>
  </w:style>
  <w:style w:type="paragraph" w:customStyle="1" w:styleId="EndNoteBibliography">
    <w:name w:val="EndNote Bibliography"/>
    <w:basedOn w:val="Normal"/>
    <w:link w:val="EndNoteBibliographyChar"/>
    <w:rsid w:val="00C5355D"/>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C5355D"/>
    <w:rPr>
      <w:rFonts w:ascii="Aptos" w:hAnsi="Aptos"/>
      <w:noProof/>
    </w:rPr>
  </w:style>
  <w:style w:type="character" w:styleId="Hyperlink">
    <w:name w:val="Hyperlink"/>
    <w:basedOn w:val="DefaultParagraphFont"/>
    <w:uiPriority w:val="99"/>
    <w:unhideWhenUsed/>
    <w:rsid w:val="00C5355D"/>
    <w:rPr>
      <w:color w:val="467886" w:themeColor="hyperlink"/>
      <w:u w:val="single"/>
    </w:rPr>
  </w:style>
  <w:style w:type="character" w:styleId="UnresolvedMention">
    <w:name w:val="Unresolved Mention"/>
    <w:basedOn w:val="DefaultParagraphFont"/>
    <w:uiPriority w:val="99"/>
    <w:semiHidden/>
    <w:unhideWhenUsed/>
    <w:rsid w:val="00C5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Mohamad Al Nakhal (Student)</dc:creator>
  <cp:keywords/>
  <dc:description/>
  <cp:lastModifiedBy>Mohamad Al Nakhal (Student)</cp:lastModifiedBy>
  <cp:revision>13</cp:revision>
  <cp:lastPrinted>2024-11-10T19:44:00Z</cp:lastPrinted>
  <dcterms:created xsi:type="dcterms:W3CDTF">2024-11-10T17:52:00Z</dcterms:created>
  <dcterms:modified xsi:type="dcterms:W3CDTF">2025-08-24T15:41:00Z</dcterms:modified>
</cp:coreProperties>
</file>