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E108" w14:textId="650F86C2" w:rsidR="00772103" w:rsidRPr="00280F30" w:rsidRDefault="00772103" w:rsidP="00D877E3">
      <w:pPr>
        <w:pStyle w:val="Caption"/>
        <w:keepNext/>
        <w:rPr>
          <w:rFonts w:asciiTheme="majorBidi" w:hAnsiTheme="majorBidi" w:cstheme="majorBidi"/>
          <w:color w:val="auto"/>
          <w:sz w:val="24"/>
          <w:szCs w:val="24"/>
        </w:rPr>
      </w:pPr>
      <w:r w:rsidRPr="00280F30">
        <w:rPr>
          <w:rFonts w:asciiTheme="majorBidi" w:hAnsiTheme="majorBidi" w:cstheme="majorBidi"/>
          <w:b/>
          <w:bCs/>
          <w:i w:val="0"/>
          <w:iCs w:val="0"/>
          <w:color w:val="auto"/>
          <w:sz w:val="24"/>
          <w:szCs w:val="24"/>
        </w:rPr>
        <w:t xml:space="preserve">Table </w:t>
      </w:r>
      <w:r w:rsidR="000E6757" w:rsidRPr="00280F30">
        <w:rPr>
          <w:rFonts w:asciiTheme="majorBidi" w:hAnsiTheme="majorBidi" w:cstheme="majorBidi"/>
          <w:b/>
          <w:bCs/>
          <w:i w:val="0"/>
          <w:iCs w:val="0"/>
          <w:color w:val="auto"/>
          <w:sz w:val="24"/>
          <w:szCs w:val="24"/>
        </w:rPr>
        <w:t>3</w:t>
      </w:r>
      <w:r w:rsidRPr="00280F30">
        <w:rPr>
          <w:rFonts w:asciiTheme="majorBidi" w:hAnsiTheme="majorBidi" w:cstheme="majorBidi"/>
          <w:b/>
          <w:bCs/>
          <w:i w:val="0"/>
          <w:iCs w:val="0"/>
          <w:color w:val="auto"/>
          <w:sz w:val="24"/>
          <w:szCs w:val="24"/>
        </w:rPr>
        <w:t xml:space="preserve">. </w:t>
      </w:r>
      <w:r w:rsidRPr="00D877E3">
        <w:rPr>
          <w:rFonts w:asciiTheme="majorBidi" w:hAnsiTheme="majorBidi" w:cstheme="majorBidi"/>
          <w:b/>
          <w:bCs/>
          <w:i w:val="0"/>
          <w:iCs w:val="0"/>
          <w:color w:val="auto"/>
          <w:sz w:val="24"/>
          <w:szCs w:val="24"/>
        </w:rPr>
        <w:t xml:space="preserve">Summary table </w:t>
      </w:r>
      <w:r w:rsidR="00D877E3">
        <w:rPr>
          <w:rFonts w:asciiTheme="majorBidi" w:hAnsiTheme="majorBidi" w:cstheme="majorBidi"/>
          <w:b/>
          <w:bCs/>
          <w:i w:val="0"/>
          <w:iCs w:val="0"/>
          <w:color w:val="auto"/>
          <w:sz w:val="24"/>
          <w:szCs w:val="24"/>
        </w:rPr>
        <w:t xml:space="preserve">of </w:t>
      </w:r>
      <w:r w:rsidR="00D877E3" w:rsidRPr="00D877E3">
        <w:rPr>
          <w:rFonts w:asciiTheme="majorBidi" w:hAnsiTheme="majorBidi" w:cstheme="majorBidi"/>
          <w:b/>
          <w:bCs/>
          <w:i w:val="0"/>
          <w:iCs w:val="0"/>
          <w:color w:val="auto"/>
          <w:sz w:val="24"/>
          <w:szCs w:val="24"/>
        </w:rPr>
        <w:t>included</w:t>
      </w:r>
      <w:r w:rsidR="00D877E3" w:rsidRPr="00D877E3">
        <w:rPr>
          <w:rFonts w:asciiTheme="majorBidi" w:hAnsiTheme="majorBidi" w:cstheme="majorBidi"/>
          <w:b/>
          <w:bCs/>
          <w:i w:val="0"/>
          <w:iCs w:val="0"/>
          <w:color w:val="auto"/>
          <w:sz w:val="24"/>
          <w:szCs w:val="24"/>
        </w:rPr>
        <w:t xml:space="preserve"> </w:t>
      </w:r>
      <w:r w:rsidR="0047534F" w:rsidRPr="00D877E3">
        <w:rPr>
          <w:rFonts w:asciiTheme="majorBidi" w:hAnsiTheme="majorBidi" w:cstheme="majorBidi"/>
          <w:b/>
          <w:bCs/>
          <w:i w:val="0"/>
          <w:iCs w:val="0"/>
          <w:color w:val="auto"/>
          <w:sz w:val="24"/>
          <w:szCs w:val="24"/>
        </w:rPr>
        <w:t xml:space="preserve">Qualitative </w:t>
      </w:r>
      <w:r w:rsidRPr="00D877E3">
        <w:rPr>
          <w:rFonts w:asciiTheme="majorBidi" w:hAnsiTheme="majorBidi" w:cstheme="majorBidi"/>
          <w:b/>
          <w:bCs/>
          <w:i w:val="0"/>
          <w:iCs w:val="0"/>
          <w:color w:val="auto"/>
          <w:sz w:val="24"/>
          <w:szCs w:val="24"/>
        </w:rPr>
        <w:t>studies</w:t>
      </w:r>
    </w:p>
    <w:tbl>
      <w:tblPr>
        <w:tblStyle w:val="TableGrid"/>
        <w:tblW w:w="14220" w:type="dxa"/>
        <w:tblInd w:w="-63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00"/>
        <w:gridCol w:w="540"/>
        <w:gridCol w:w="900"/>
        <w:gridCol w:w="1255"/>
        <w:gridCol w:w="10625"/>
      </w:tblGrid>
      <w:tr w:rsidR="00E850D5" w:rsidRPr="00410883" w14:paraId="6A1EFFD9" w14:textId="77777777" w:rsidTr="00AD0134">
        <w:trPr>
          <w:trHeight w:val="1134"/>
        </w:trPr>
        <w:tc>
          <w:tcPr>
            <w:tcW w:w="900" w:type="dxa"/>
            <w:textDirection w:val="btLr"/>
            <w:vAlign w:val="center"/>
          </w:tcPr>
          <w:p w14:paraId="3CACFD4A" w14:textId="77777777" w:rsidR="00E850D5" w:rsidRPr="00410883" w:rsidRDefault="00E850D5" w:rsidP="00AD0134">
            <w:pPr>
              <w:ind w:left="360" w:right="113"/>
              <w:jc w:val="center"/>
              <w:rPr>
                <w:rFonts w:asciiTheme="majorBidi" w:hAnsiTheme="majorBidi" w:cstheme="majorBidi"/>
                <w:b/>
                <w:bCs/>
                <w:sz w:val="20"/>
                <w:szCs w:val="20"/>
                <w:lang w:bidi="ar-LB"/>
              </w:rPr>
            </w:pPr>
            <w:r w:rsidRPr="00410883">
              <w:rPr>
                <w:rFonts w:asciiTheme="majorBidi" w:hAnsiTheme="majorBidi" w:cstheme="majorBidi"/>
                <w:b/>
                <w:bCs/>
                <w:sz w:val="20"/>
                <w:szCs w:val="20"/>
              </w:rPr>
              <w:t>Author</w:t>
            </w:r>
          </w:p>
        </w:tc>
        <w:tc>
          <w:tcPr>
            <w:tcW w:w="540" w:type="dxa"/>
            <w:textDirection w:val="btLr"/>
            <w:vAlign w:val="center"/>
          </w:tcPr>
          <w:p w14:paraId="537DDB5F" w14:textId="77777777" w:rsidR="00E850D5" w:rsidRPr="00410883" w:rsidRDefault="00E850D5" w:rsidP="00AD0134">
            <w:pPr>
              <w:ind w:left="113" w:right="113"/>
              <w:jc w:val="center"/>
              <w:rPr>
                <w:rFonts w:asciiTheme="majorBidi" w:hAnsiTheme="majorBidi" w:cstheme="majorBidi"/>
                <w:b/>
                <w:bCs/>
                <w:sz w:val="20"/>
                <w:szCs w:val="20"/>
                <w:lang w:bidi="ar-LB"/>
              </w:rPr>
            </w:pPr>
            <w:r w:rsidRPr="00410883">
              <w:rPr>
                <w:rFonts w:asciiTheme="majorBidi" w:hAnsiTheme="majorBidi" w:cstheme="majorBidi"/>
                <w:b/>
                <w:bCs/>
                <w:sz w:val="20"/>
                <w:szCs w:val="20"/>
              </w:rPr>
              <w:t>Country</w:t>
            </w:r>
          </w:p>
        </w:tc>
        <w:tc>
          <w:tcPr>
            <w:tcW w:w="900" w:type="dxa"/>
            <w:vAlign w:val="center"/>
          </w:tcPr>
          <w:p w14:paraId="1E559D09" w14:textId="77777777" w:rsidR="00E850D5" w:rsidRPr="00410883" w:rsidRDefault="00E850D5" w:rsidP="00AD0134">
            <w:pPr>
              <w:jc w:val="center"/>
              <w:rPr>
                <w:rFonts w:asciiTheme="majorBidi" w:hAnsiTheme="majorBidi" w:cstheme="majorBidi"/>
                <w:b/>
                <w:bCs/>
                <w:sz w:val="20"/>
                <w:szCs w:val="20"/>
                <w:lang w:bidi="ar-LB"/>
              </w:rPr>
            </w:pPr>
            <w:r w:rsidRPr="00410883">
              <w:rPr>
                <w:rFonts w:asciiTheme="majorBidi" w:hAnsiTheme="majorBidi" w:cstheme="majorBidi"/>
                <w:b/>
                <w:bCs/>
                <w:sz w:val="20"/>
                <w:szCs w:val="20"/>
              </w:rPr>
              <w:t>Sample</w:t>
            </w:r>
          </w:p>
        </w:tc>
        <w:tc>
          <w:tcPr>
            <w:tcW w:w="1255" w:type="dxa"/>
            <w:vAlign w:val="center"/>
          </w:tcPr>
          <w:p w14:paraId="55762DB9" w14:textId="77777777" w:rsidR="00E850D5" w:rsidRPr="00410883" w:rsidRDefault="00E850D5" w:rsidP="00AD0134">
            <w:pPr>
              <w:jc w:val="center"/>
              <w:rPr>
                <w:rFonts w:asciiTheme="majorBidi" w:hAnsiTheme="majorBidi" w:cstheme="majorBidi"/>
                <w:b/>
                <w:bCs/>
                <w:sz w:val="20"/>
                <w:szCs w:val="20"/>
                <w:lang w:bidi="ar-LB"/>
              </w:rPr>
            </w:pPr>
            <w:r w:rsidRPr="00410883">
              <w:rPr>
                <w:rFonts w:asciiTheme="majorBidi" w:hAnsiTheme="majorBidi" w:cstheme="majorBidi"/>
                <w:b/>
                <w:bCs/>
                <w:sz w:val="20"/>
                <w:szCs w:val="20"/>
                <w:lang w:bidi="ar-LB"/>
              </w:rPr>
              <w:t>Design</w:t>
            </w:r>
          </w:p>
        </w:tc>
        <w:tc>
          <w:tcPr>
            <w:tcW w:w="10625" w:type="dxa"/>
            <w:vAlign w:val="center"/>
          </w:tcPr>
          <w:p w14:paraId="31C4E8AD" w14:textId="77777777" w:rsidR="00E850D5" w:rsidRPr="00410883" w:rsidRDefault="00E850D5" w:rsidP="00AD0134">
            <w:pPr>
              <w:pStyle w:val="ListParagraph"/>
              <w:ind w:left="181"/>
              <w:jc w:val="center"/>
              <w:rPr>
                <w:rFonts w:asciiTheme="majorBidi" w:hAnsiTheme="majorBidi" w:cstheme="majorBidi"/>
                <w:b/>
                <w:bCs/>
                <w:sz w:val="20"/>
                <w:szCs w:val="20"/>
                <w:lang w:bidi="ar-LB"/>
              </w:rPr>
            </w:pPr>
            <w:r w:rsidRPr="00410883">
              <w:rPr>
                <w:rFonts w:asciiTheme="majorBidi" w:hAnsiTheme="majorBidi" w:cstheme="majorBidi"/>
                <w:b/>
                <w:bCs/>
                <w:sz w:val="20"/>
                <w:szCs w:val="20"/>
                <w:lang w:bidi="ar-LB"/>
              </w:rPr>
              <w:t>Overall findings</w:t>
            </w:r>
          </w:p>
        </w:tc>
      </w:tr>
      <w:tr w:rsidR="00E850D5" w:rsidRPr="00410883" w14:paraId="24745FED" w14:textId="77777777" w:rsidTr="00AD0134">
        <w:trPr>
          <w:trHeight w:val="1134"/>
        </w:trPr>
        <w:tc>
          <w:tcPr>
            <w:tcW w:w="900" w:type="dxa"/>
            <w:textDirection w:val="btLr"/>
            <w:vAlign w:val="center"/>
          </w:tcPr>
          <w:p w14:paraId="424A2137" w14:textId="77777777" w:rsidR="00E850D5" w:rsidRPr="00410883" w:rsidRDefault="00E850D5" w:rsidP="00AD0134">
            <w:pPr>
              <w:ind w:left="360" w:right="113"/>
              <w:jc w:val="center"/>
              <w:rPr>
                <w:rFonts w:asciiTheme="majorBidi" w:hAnsiTheme="majorBidi" w:cstheme="majorBidi"/>
                <w:sz w:val="20"/>
                <w:szCs w:val="20"/>
                <w:lang w:bidi="ar-LB"/>
              </w:rPr>
            </w:pPr>
            <w:r w:rsidRPr="00410883">
              <w:rPr>
                <w:rFonts w:asciiTheme="majorBidi" w:hAnsiTheme="majorBidi" w:cstheme="majorBidi"/>
                <w:sz w:val="20"/>
                <w:szCs w:val="20"/>
                <w:lang w:bidi="ar-LB"/>
              </w:rPr>
              <w:fldChar w:fldCharType="begin">
                <w:fldData xml:space="preserve">PEVuZE5vdGU+PENpdGU+PEF1dGhvcj5KYWtpbW93aWN6PC9BdXRob3I+PFllYXI+MjAxODwvWWVh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</w:fldData>
              </w:fldChar>
            </w:r>
            <w:r w:rsidRPr="00410883">
              <w:rPr>
                <w:rFonts w:asciiTheme="majorBidi" w:hAnsiTheme="majorBidi" w:cstheme="majorBidi"/>
                <w:sz w:val="20"/>
                <w:szCs w:val="20"/>
                <w:lang w:bidi="ar-LB"/>
              </w:rPr>
              <w:instrText xml:space="preserve"> ADDIN EN.CITE </w:instrText>
            </w:r>
            <w:r w:rsidRPr="00410883">
              <w:rPr>
                <w:rFonts w:asciiTheme="majorBidi" w:hAnsiTheme="majorBidi" w:cstheme="majorBidi"/>
                <w:sz w:val="20"/>
                <w:szCs w:val="20"/>
                <w:lang w:bidi="ar-LB"/>
              </w:rPr>
              <w:fldChar w:fldCharType="begin">
                <w:fldData xml:space="preserve">PEVuZE5vdGU+PENpdGU+PEF1dGhvcj5KYWtpbW93aWN6PC9BdXRob3I+PFllYXI+MjAxODwvWWVh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</w:fldData>
              </w:fldChar>
            </w:r>
            <w:r w:rsidRPr="00410883">
              <w:rPr>
                <w:rFonts w:asciiTheme="majorBidi" w:hAnsiTheme="majorBidi" w:cstheme="majorBidi"/>
                <w:sz w:val="20"/>
                <w:szCs w:val="20"/>
                <w:lang w:bidi="ar-LB"/>
              </w:rPr>
              <w:instrText xml:space="preserve"> ADDIN EN.CITE.DATA </w:instrText>
            </w:r>
            <w:r w:rsidRPr="00410883">
              <w:rPr>
                <w:rFonts w:asciiTheme="majorBidi" w:hAnsiTheme="majorBidi" w:cstheme="majorBidi"/>
                <w:sz w:val="20"/>
                <w:szCs w:val="20"/>
                <w:lang w:bidi="ar-LB"/>
              </w:rPr>
            </w:r>
            <w:r w:rsidRPr="00410883">
              <w:rPr>
                <w:rFonts w:asciiTheme="majorBidi" w:hAnsiTheme="majorBidi" w:cstheme="majorBidi"/>
                <w:sz w:val="20"/>
                <w:szCs w:val="20"/>
                <w:lang w:bidi="ar-LB"/>
              </w:rPr>
              <w:fldChar w:fldCharType="end"/>
            </w:r>
            <w:r w:rsidRPr="00410883">
              <w:rPr>
                <w:rFonts w:asciiTheme="majorBidi" w:hAnsiTheme="majorBidi" w:cstheme="majorBidi"/>
                <w:sz w:val="20"/>
                <w:szCs w:val="20"/>
                <w:lang w:bidi="ar-LB"/>
              </w:rPr>
            </w:r>
            <w:r w:rsidRPr="00410883">
              <w:rPr>
                <w:rFonts w:asciiTheme="majorBidi" w:hAnsiTheme="majorBidi" w:cstheme="majorBidi"/>
                <w:sz w:val="20"/>
                <w:szCs w:val="20"/>
                <w:lang w:bidi="ar-LB"/>
              </w:rPr>
              <w:fldChar w:fldCharType="separate"/>
            </w:r>
            <w:r w:rsidRPr="00410883">
              <w:rPr>
                <w:rFonts w:asciiTheme="majorBidi" w:hAnsiTheme="majorBidi" w:cstheme="majorBidi"/>
                <w:noProof/>
                <w:sz w:val="20"/>
                <w:szCs w:val="20"/>
                <w:lang w:bidi="ar-LB"/>
              </w:rPr>
              <w:t>(Jakimowicz et al., 2018b)</w:t>
            </w:r>
            <w:r w:rsidRPr="00410883">
              <w:rPr>
                <w:rFonts w:asciiTheme="majorBidi" w:hAnsiTheme="majorBidi" w:cstheme="majorBidi"/>
                <w:sz w:val="20"/>
                <w:szCs w:val="20"/>
                <w:lang w:bidi="ar-LB"/>
              </w:rPr>
              <w:fldChar w:fldCharType="end"/>
            </w:r>
          </w:p>
        </w:tc>
        <w:tc>
          <w:tcPr>
            <w:tcW w:w="540" w:type="dxa"/>
            <w:textDirection w:val="btLr"/>
          </w:tcPr>
          <w:p w14:paraId="30E91EB6" w14:textId="77777777" w:rsidR="00E850D5" w:rsidRPr="00410883" w:rsidRDefault="00E850D5" w:rsidP="00AD0134">
            <w:pPr>
              <w:ind w:left="113" w:right="113"/>
              <w:jc w:val="center"/>
              <w:rPr>
                <w:rFonts w:asciiTheme="majorBidi" w:hAnsiTheme="majorBidi" w:cstheme="majorBidi"/>
                <w:sz w:val="20"/>
                <w:szCs w:val="20"/>
              </w:rPr>
            </w:pPr>
            <w:r w:rsidRPr="00410883">
              <w:rPr>
                <w:rFonts w:asciiTheme="majorBidi" w:hAnsiTheme="majorBidi" w:cstheme="majorBidi"/>
                <w:sz w:val="20"/>
                <w:szCs w:val="20"/>
              </w:rPr>
              <w:t xml:space="preserve">Australia </w:t>
            </w:r>
          </w:p>
        </w:tc>
        <w:tc>
          <w:tcPr>
            <w:tcW w:w="900" w:type="dxa"/>
            <w:vAlign w:val="center"/>
          </w:tcPr>
          <w:p w14:paraId="7A4BFCE3" w14:textId="77777777" w:rsidR="00E850D5" w:rsidRPr="00410883" w:rsidRDefault="00E850D5" w:rsidP="00AD0134">
            <w:pPr>
              <w:rPr>
                <w:rFonts w:asciiTheme="majorBidi" w:hAnsiTheme="majorBidi" w:cstheme="majorBidi"/>
                <w:sz w:val="20"/>
                <w:szCs w:val="20"/>
              </w:rPr>
            </w:pPr>
            <w:r w:rsidRPr="00410883">
              <w:rPr>
                <w:rFonts w:asciiTheme="majorBidi" w:hAnsiTheme="majorBidi" w:cstheme="majorBidi"/>
                <w:sz w:val="20"/>
                <w:szCs w:val="20"/>
              </w:rPr>
              <w:t>21 critical care nurses</w:t>
            </w:r>
          </w:p>
        </w:tc>
        <w:tc>
          <w:tcPr>
            <w:tcW w:w="1255" w:type="dxa"/>
            <w:vAlign w:val="center"/>
          </w:tcPr>
          <w:p w14:paraId="50318953" w14:textId="77777777" w:rsidR="00E850D5" w:rsidRPr="00410883" w:rsidRDefault="00E850D5" w:rsidP="00AD0134">
            <w:pPr>
              <w:jc w:val="center"/>
              <w:rPr>
                <w:rFonts w:asciiTheme="majorBidi" w:hAnsiTheme="majorBidi" w:cstheme="majorBidi"/>
                <w:sz w:val="20"/>
                <w:szCs w:val="20"/>
              </w:rPr>
            </w:pPr>
            <w:r w:rsidRPr="00410883">
              <w:rPr>
                <w:rFonts w:asciiTheme="majorBidi" w:hAnsiTheme="majorBidi" w:cstheme="majorBidi"/>
                <w:sz w:val="20"/>
                <w:szCs w:val="20"/>
              </w:rPr>
              <w:t>Qualitative Charmaz Grounded theory</w:t>
            </w:r>
          </w:p>
        </w:tc>
        <w:tc>
          <w:tcPr>
            <w:tcW w:w="10625" w:type="dxa"/>
          </w:tcPr>
          <w:p w14:paraId="176E0E8B" w14:textId="77777777" w:rsidR="00E850D5" w:rsidRPr="00410883" w:rsidRDefault="00E850D5" w:rsidP="00E850D5">
            <w:pPr>
              <w:pStyle w:val="ListParagraph"/>
              <w:numPr>
                <w:ilvl w:val="0"/>
                <w:numId w:val="1"/>
              </w:numPr>
              <w:jc w:val="both"/>
              <w:rPr>
                <w:rFonts w:asciiTheme="majorBidi" w:hAnsiTheme="majorBidi" w:cstheme="majorBidi"/>
                <w:sz w:val="20"/>
                <w:szCs w:val="20"/>
              </w:rPr>
            </w:pPr>
            <w:r>
              <w:rPr>
                <w:rFonts w:asciiTheme="majorBidi" w:hAnsiTheme="majorBidi" w:cstheme="majorBidi"/>
                <w:sz w:val="20"/>
                <w:szCs w:val="20"/>
              </w:rPr>
              <w:t>Study</w:t>
            </w:r>
            <w:r w:rsidRPr="00410883">
              <w:rPr>
                <w:rFonts w:asciiTheme="majorBidi" w:hAnsiTheme="majorBidi" w:cstheme="majorBidi"/>
                <w:sz w:val="20"/>
                <w:szCs w:val="20"/>
              </w:rPr>
              <w:t xml:space="preserve"> examined the relationships between CCS, CF, and patient-centered nursing in intensive care, revealing their interconnectedness. Nurses balance their passion for critical care with stress and difficulties, navigating a compassion continuum between satisfaction and fatigue.</w:t>
            </w:r>
            <w:r>
              <w:rPr>
                <w:rFonts w:asciiTheme="majorBidi" w:hAnsiTheme="majorBidi" w:cstheme="majorBidi"/>
                <w:sz w:val="20"/>
                <w:szCs w:val="20"/>
              </w:rPr>
              <w:t xml:space="preserve"> </w:t>
            </w:r>
            <w:r w:rsidRPr="00410883">
              <w:rPr>
                <w:rFonts w:asciiTheme="majorBidi" w:hAnsiTheme="majorBidi" w:cstheme="majorBidi"/>
                <w:sz w:val="20"/>
                <w:szCs w:val="20"/>
              </w:rPr>
              <w:t>A core category of "Expectations" emerged, including:</w:t>
            </w:r>
          </w:p>
          <w:p w14:paraId="7430B8B8" w14:textId="77777777" w:rsidR="00E850D5" w:rsidRPr="00410883" w:rsidRDefault="00E850D5" w:rsidP="00AD0134">
            <w:pPr>
              <w:ind w:left="720"/>
              <w:rPr>
                <w:rFonts w:asciiTheme="majorBidi" w:hAnsiTheme="majorBidi" w:cstheme="majorBidi"/>
                <w:sz w:val="20"/>
                <w:szCs w:val="20"/>
              </w:rPr>
            </w:pPr>
            <w:r w:rsidRPr="00991397">
              <w:rPr>
                <w:rFonts w:asciiTheme="majorBidi" w:hAnsiTheme="majorBidi" w:cstheme="majorBidi"/>
                <w:b/>
                <w:bCs/>
                <w:sz w:val="20"/>
                <w:szCs w:val="20"/>
              </w:rPr>
              <w:t>Regulatory Body</w:t>
            </w:r>
            <w:r w:rsidRPr="00410883">
              <w:rPr>
                <w:rFonts w:asciiTheme="majorBidi" w:hAnsiTheme="majorBidi" w:cstheme="majorBidi"/>
                <w:sz w:val="20"/>
                <w:szCs w:val="20"/>
              </w:rPr>
              <w:t>: Governance of practice.</w:t>
            </w:r>
          </w:p>
          <w:p w14:paraId="0C2B5CF7"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Place of Work</w:t>
            </w:r>
            <w:r w:rsidRPr="00410883">
              <w:rPr>
                <w:rFonts w:asciiTheme="majorBidi" w:hAnsiTheme="majorBidi" w:cstheme="majorBidi"/>
                <w:sz w:val="20"/>
                <w:szCs w:val="20"/>
              </w:rPr>
              <w:t>: Management expectations for patient-centered care and collaboration.</w:t>
            </w:r>
          </w:p>
          <w:p w14:paraId="769A156B"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Colleagues</w:t>
            </w:r>
            <w:r w:rsidRPr="00410883">
              <w:rPr>
                <w:rFonts w:asciiTheme="majorBidi" w:hAnsiTheme="majorBidi" w:cstheme="majorBidi"/>
                <w:sz w:val="20"/>
                <w:szCs w:val="20"/>
              </w:rPr>
              <w:t>: Expectations for competence and support.</w:t>
            </w:r>
          </w:p>
          <w:p w14:paraId="103491BA"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Self: Importance</w:t>
            </w:r>
            <w:r w:rsidRPr="00410883">
              <w:rPr>
                <w:rFonts w:asciiTheme="majorBidi" w:hAnsiTheme="majorBidi" w:cstheme="majorBidi"/>
                <w:sz w:val="20"/>
                <w:szCs w:val="20"/>
              </w:rPr>
              <w:t xml:space="preserve"> of meeting various expectations.</w:t>
            </w:r>
          </w:p>
          <w:p w14:paraId="4BC736C1" w14:textId="77777777" w:rsidR="00E850D5" w:rsidRPr="00410883" w:rsidRDefault="00E850D5" w:rsidP="00AD0134">
            <w:pPr>
              <w:rPr>
                <w:rFonts w:asciiTheme="majorBidi" w:hAnsiTheme="majorBidi" w:cstheme="majorBidi"/>
                <w:sz w:val="20"/>
                <w:szCs w:val="20"/>
              </w:rPr>
            </w:pPr>
            <w:r w:rsidRPr="00410883">
              <w:rPr>
                <w:rFonts w:asciiTheme="majorBidi" w:hAnsiTheme="majorBidi" w:cstheme="majorBidi"/>
                <w:sz w:val="20"/>
                <w:szCs w:val="20"/>
              </w:rPr>
              <w:t>Key themes included:</w:t>
            </w:r>
          </w:p>
          <w:p w14:paraId="348C6E12"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Life in the Balance</w:t>
            </w:r>
            <w:r w:rsidRPr="00410883">
              <w:rPr>
                <w:rFonts w:asciiTheme="majorBidi" w:hAnsiTheme="majorBidi" w:cstheme="majorBidi"/>
                <w:sz w:val="20"/>
                <w:szCs w:val="20"/>
              </w:rPr>
              <w:t>: Tension between biomedical skills and compassionate care.</w:t>
            </w:r>
          </w:p>
          <w:p w14:paraId="0A6767DB"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Keep My Patient Alive</w:t>
            </w:r>
            <w:r w:rsidRPr="00410883">
              <w:rPr>
                <w:rFonts w:asciiTheme="majorBidi" w:hAnsiTheme="majorBidi" w:cstheme="majorBidi"/>
                <w:sz w:val="20"/>
                <w:szCs w:val="20"/>
              </w:rPr>
              <w:t>: Central to the nursing role.</w:t>
            </w:r>
          </w:p>
          <w:p w14:paraId="3C0802B1"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Stretching Versus Overstretching</w:t>
            </w:r>
            <w:r w:rsidRPr="00410883">
              <w:rPr>
                <w:rFonts w:asciiTheme="majorBidi" w:hAnsiTheme="majorBidi" w:cstheme="majorBidi"/>
                <w:sz w:val="20"/>
                <w:szCs w:val="20"/>
              </w:rPr>
              <w:t>: Balancing expertise without overextending.</w:t>
            </w:r>
          </w:p>
          <w:p w14:paraId="1A5C1ABE"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Passion and Pressure</w:t>
            </w:r>
            <w:r w:rsidRPr="00410883">
              <w:rPr>
                <w:rFonts w:asciiTheme="majorBidi" w:hAnsiTheme="majorBidi" w:cstheme="majorBidi"/>
                <w:sz w:val="20"/>
                <w:szCs w:val="20"/>
              </w:rPr>
              <w:t>: Rewarding work amid constant pressure.</w:t>
            </w:r>
          </w:p>
          <w:p w14:paraId="5A7AA7B7"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Understanding and Advocacy:</w:t>
            </w:r>
            <w:r w:rsidRPr="00410883">
              <w:rPr>
                <w:rFonts w:asciiTheme="majorBidi" w:hAnsiTheme="majorBidi" w:cstheme="majorBidi"/>
                <w:sz w:val="20"/>
                <w:szCs w:val="20"/>
              </w:rPr>
              <w:t xml:space="preserve"> Satisfaction and fatigue linked to care delivery.</w:t>
            </w:r>
          </w:p>
          <w:p w14:paraId="2E80F644" w14:textId="77777777" w:rsidR="00E850D5" w:rsidRPr="00410883" w:rsidRDefault="00E850D5" w:rsidP="00AD0134">
            <w:pPr>
              <w:ind w:left="720"/>
              <w:rPr>
                <w:rFonts w:asciiTheme="majorBidi" w:hAnsiTheme="majorBidi" w:cstheme="majorBidi"/>
                <w:sz w:val="20"/>
                <w:szCs w:val="20"/>
              </w:rPr>
            </w:pPr>
            <w:r w:rsidRPr="00410883">
              <w:rPr>
                <w:rFonts w:asciiTheme="majorBidi" w:hAnsiTheme="majorBidi" w:cstheme="majorBidi"/>
                <w:b/>
                <w:bCs/>
                <w:sz w:val="20"/>
                <w:szCs w:val="20"/>
              </w:rPr>
              <w:t>Tenacity and Fragility:</w:t>
            </w:r>
            <w:r w:rsidRPr="00410883">
              <w:rPr>
                <w:rFonts w:asciiTheme="majorBidi" w:hAnsiTheme="majorBidi" w:cstheme="majorBidi"/>
                <w:sz w:val="20"/>
                <w:szCs w:val="20"/>
              </w:rPr>
              <w:t xml:space="preserve"> Managing emotions to maintain professionalism amidst challenges</w:t>
            </w:r>
          </w:p>
        </w:tc>
      </w:tr>
      <w:tr w:rsidR="00E850D5" w:rsidRPr="00410883" w14:paraId="09E6F7B2" w14:textId="77777777" w:rsidTr="00AD0134">
        <w:trPr>
          <w:trHeight w:val="1134"/>
        </w:trPr>
        <w:tc>
          <w:tcPr>
            <w:tcW w:w="900" w:type="dxa"/>
            <w:textDirection w:val="btLr"/>
            <w:vAlign w:val="center"/>
          </w:tcPr>
          <w:p w14:paraId="1F90DD0B" w14:textId="77777777" w:rsidR="00E850D5" w:rsidRPr="00410883" w:rsidRDefault="00E850D5" w:rsidP="00AD0134">
            <w:pPr>
              <w:ind w:left="360" w:right="113"/>
              <w:jc w:val="center"/>
              <w:rPr>
                <w:rFonts w:asciiTheme="majorBidi" w:hAnsiTheme="majorBidi" w:cstheme="majorBidi"/>
                <w:sz w:val="20"/>
                <w:szCs w:val="20"/>
                <w:lang w:bidi="ar-LB"/>
              </w:rPr>
            </w:pPr>
            <w:r w:rsidRPr="00410883">
              <w:rPr>
                <w:rFonts w:asciiTheme="majorBidi" w:hAnsiTheme="majorBidi" w:cstheme="majorBidi"/>
                <w:sz w:val="20"/>
                <w:szCs w:val="20"/>
                <w:lang w:bidi="ar-LB"/>
              </w:rPr>
              <w:fldChar w:fldCharType="begin"/>
            </w:r>
            <w:r w:rsidRPr="00410883">
              <w:rPr>
                <w:rFonts w:asciiTheme="majorBidi" w:hAnsiTheme="majorBidi" w:cstheme="majorBidi"/>
                <w:sz w:val="20"/>
                <w:szCs w:val="20"/>
                <w:lang w:bidi="ar-LB"/>
              </w:rPr>
              <w:instrText xml:space="preserve"> ADDIN EN.CITE &lt;EndNote&gt;&lt;Cite&gt;&lt;Author&gt;Andrews&lt;/Author&gt;&lt;Year&gt;2020&lt;/Year&gt;&lt;RecNum&gt;134&lt;/RecNum&gt;&lt;DisplayText&gt;(Andrews et al., 2020)&lt;/DisplayText&gt;&lt;record&gt;&lt;rec-number&gt;134&lt;/rec-number&gt;&lt;foreign-keys&gt;&lt;key app="EN" db-id="aexdd592uzw0x4efdx25zxv3raztf00v0xfd" timestamp="1692475007"&gt;134&lt;/key&gt;&lt;/foreign-keys&gt;&lt;ref-type name="Journal Article"&gt;17&lt;/ref-type&gt;&lt;contributors&gt;&lt;authors&gt;&lt;author&gt;Andrews, H.&lt;/author&gt;&lt;author&gt;Tierney, S.&lt;/author&gt;&lt;author&gt;Seers, K.&lt;/author&gt;&lt;/authors&gt;&lt;/contributors&gt;&lt;auth-address&gt;Mental Health and Wellbeing, Senate House, University of Warwick, Coventry CV4 7AL, United Kingdom. Electronic address: h.andrews@warwick.ac.uk.&amp;#xD;Nuffield Department of Primary Care Health Sciences, University of Oxford, United Kingdom.&amp;#xD;Warwick Research in Nursing, Warwick Medical School, University of Warwick, United Kingdom.&lt;/auth-address&gt;&lt;titles&gt;&lt;title&gt;Needing permission: The experience of self-care and self-compassion in nursing: A constructivist grounded theory study&lt;/title&gt;&lt;secondary-title&gt;Int J Nurs Stud&lt;/secondary-title&gt;&lt;/titles&gt;&lt;periodical&gt;&lt;full-title&gt;Int J Nurs Stud&lt;/full-title&gt;&lt;/periodical&gt;&lt;pages&gt;103436&lt;/pages&gt;&lt;volume&gt;101&lt;/volume&gt;&lt;edition&gt;20190925&lt;/edition&gt;&lt;keywords&gt;&lt;keyword&gt;*Empathy&lt;/keyword&gt;&lt;keyword&gt;Grounded Theory&lt;/keyword&gt;&lt;keyword&gt;Humans&lt;/keyword&gt;&lt;keyword&gt;*Nursing Process&lt;/keyword&gt;&lt;keyword&gt;*Self Care&lt;/keyword&gt;&lt;keyword&gt;United Kingdom&lt;/keyword&gt;&lt;keyword&gt;Compassion&lt;/keyword&gt;&lt;keyword&gt;Compassionate care&lt;/keyword&gt;&lt;keyword&gt;Nursing&lt;/keyword&gt;&lt;keyword&gt;Self-care&lt;/keyword&gt;&lt;keyword&gt;Self-compassion&lt;/keyword&gt;&lt;/keywords&gt;&lt;dates&gt;&lt;year&gt;2020&lt;/year&gt;&lt;pub-dates&gt;&lt;date&gt;Jan&lt;/date&gt;&lt;/pub-dates&gt;&lt;/dates&gt;&lt;isbn&gt;1873-491X (Electronic)&amp;#xD;0020-7489 (Linking)&lt;/isbn&gt;&lt;accession-num&gt;31670223&lt;/accession-num&gt;&lt;urls&gt;&lt;related-urls&gt;&lt;url&gt;https://www.ncbi.nlm.nih.gov/pubmed/31670223&lt;/url&gt;&lt;/related-urls&gt;&lt;/urls&gt;&lt;electronic-resource-num&gt;10.1016/j.ijnurstu.2019.103436&lt;/electronic-resource-num&gt;&lt;remote-database-name&gt;Medline&lt;/remote-database-name&gt;&lt;remote-database-provider&gt;NLM&lt;/remote-database-provider&gt;&lt;/record&gt;&lt;/Cite&gt;&lt;/EndNote&gt;</w:instrText>
            </w:r>
            <w:r w:rsidRPr="00410883">
              <w:rPr>
                <w:rFonts w:asciiTheme="majorBidi" w:hAnsiTheme="majorBidi" w:cstheme="majorBidi"/>
                <w:sz w:val="20"/>
                <w:szCs w:val="20"/>
                <w:lang w:bidi="ar-LB"/>
              </w:rPr>
              <w:fldChar w:fldCharType="separate"/>
            </w:r>
            <w:r w:rsidRPr="00410883">
              <w:rPr>
                <w:rFonts w:asciiTheme="majorBidi" w:hAnsiTheme="majorBidi" w:cstheme="majorBidi"/>
                <w:noProof/>
                <w:sz w:val="20"/>
                <w:szCs w:val="20"/>
                <w:lang w:bidi="ar-LB"/>
              </w:rPr>
              <w:t>(Andrews et al., 2020)</w:t>
            </w:r>
            <w:r w:rsidRPr="00410883">
              <w:rPr>
                <w:rFonts w:asciiTheme="majorBidi" w:hAnsiTheme="majorBidi" w:cstheme="majorBidi"/>
                <w:sz w:val="20"/>
                <w:szCs w:val="20"/>
                <w:lang w:bidi="ar-LB"/>
              </w:rPr>
              <w:fldChar w:fldCharType="end"/>
            </w:r>
          </w:p>
        </w:tc>
        <w:tc>
          <w:tcPr>
            <w:tcW w:w="540" w:type="dxa"/>
            <w:textDirection w:val="btLr"/>
          </w:tcPr>
          <w:p w14:paraId="137CAF96" w14:textId="77777777" w:rsidR="00E850D5" w:rsidRPr="00410883" w:rsidRDefault="00E850D5" w:rsidP="00AD0134">
            <w:pPr>
              <w:ind w:left="113" w:right="113"/>
              <w:jc w:val="center"/>
              <w:rPr>
                <w:rFonts w:asciiTheme="majorBidi" w:hAnsiTheme="majorBidi" w:cstheme="majorBidi"/>
                <w:sz w:val="20"/>
                <w:szCs w:val="20"/>
              </w:rPr>
            </w:pPr>
            <w:r w:rsidRPr="00410883">
              <w:rPr>
                <w:rFonts w:asciiTheme="majorBidi" w:hAnsiTheme="majorBidi" w:cstheme="majorBidi"/>
                <w:sz w:val="20"/>
                <w:szCs w:val="20"/>
              </w:rPr>
              <w:t>UK</w:t>
            </w:r>
          </w:p>
        </w:tc>
        <w:tc>
          <w:tcPr>
            <w:tcW w:w="900" w:type="dxa"/>
            <w:vAlign w:val="center"/>
          </w:tcPr>
          <w:p w14:paraId="3168D700" w14:textId="77777777" w:rsidR="00E850D5" w:rsidRPr="00410883" w:rsidRDefault="00E850D5" w:rsidP="00AD0134">
            <w:pPr>
              <w:rPr>
                <w:rFonts w:asciiTheme="majorBidi" w:hAnsiTheme="majorBidi" w:cstheme="majorBidi"/>
                <w:sz w:val="20"/>
                <w:szCs w:val="20"/>
              </w:rPr>
            </w:pPr>
            <w:r w:rsidRPr="00410883">
              <w:rPr>
                <w:rFonts w:asciiTheme="majorBidi" w:hAnsiTheme="majorBidi" w:cstheme="majorBidi"/>
                <w:sz w:val="20"/>
                <w:szCs w:val="20"/>
              </w:rPr>
              <w:t>29 critical care nurses</w:t>
            </w:r>
          </w:p>
        </w:tc>
        <w:tc>
          <w:tcPr>
            <w:tcW w:w="1255" w:type="dxa"/>
            <w:vAlign w:val="center"/>
          </w:tcPr>
          <w:p w14:paraId="1E0CD5BF" w14:textId="77777777" w:rsidR="00E850D5" w:rsidRPr="00410883" w:rsidRDefault="00E850D5" w:rsidP="00AD0134">
            <w:pPr>
              <w:jc w:val="center"/>
              <w:rPr>
                <w:rFonts w:asciiTheme="majorBidi" w:hAnsiTheme="majorBidi" w:cstheme="majorBidi"/>
                <w:sz w:val="20"/>
                <w:szCs w:val="20"/>
              </w:rPr>
            </w:pPr>
            <w:r w:rsidRPr="00410883">
              <w:rPr>
                <w:rFonts w:asciiTheme="majorBidi" w:hAnsiTheme="majorBidi" w:cstheme="majorBidi"/>
                <w:sz w:val="20"/>
                <w:szCs w:val="20"/>
              </w:rPr>
              <w:t>constructivist grounded theory</w:t>
            </w:r>
          </w:p>
        </w:tc>
        <w:tc>
          <w:tcPr>
            <w:tcW w:w="10625" w:type="dxa"/>
          </w:tcPr>
          <w:p w14:paraId="6D70C372" w14:textId="77777777" w:rsidR="00E850D5" w:rsidRPr="00991397" w:rsidRDefault="00E850D5" w:rsidP="00E850D5">
            <w:pPr>
              <w:pStyle w:val="ListParagraph"/>
              <w:numPr>
                <w:ilvl w:val="0"/>
                <w:numId w:val="1"/>
              </w:numPr>
              <w:spacing w:line="276" w:lineRule="auto"/>
              <w:ind w:left="181" w:hanging="165"/>
              <w:jc w:val="both"/>
              <w:rPr>
                <w:rFonts w:asciiTheme="majorBidi" w:hAnsiTheme="majorBidi" w:cstheme="majorBidi"/>
                <w:sz w:val="20"/>
                <w:szCs w:val="20"/>
              </w:rPr>
            </w:pPr>
            <w:r w:rsidRPr="00991397">
              <w:rPr>
                <w:rFonts w:asciiTheme="majorBidi" w:hAnsiTheme="majorBidi" w:cstheme="majorBidi"/>
                <w:sz w:val="20"/>
                <w:szCs w:val="20"/>
              </w:rPr>
              <w:t>The core concept emerging from the data analysis was "Needing Permission," specifically for self-compassion, which nurses sought from themselves and others. This was informed by three concepts:</w:t>
            </w:r>
          </w:p>
          <w:p w14:paraId="1A06DC0F" w14:textId="77777777" w:rsidR="00E850D5" w:rsidRPr="00991397" w:rsidRDefault="00E850D5" w:rsidP="00AD0134">
            <w:pPr>
              <w:ind w:left="720"/>
              <w:rPr>
                <w:rFonts w:asciiTheme="majorBidi" w:hAnsiTheme="majorBidi" w:cstheme="majorBidi"/>
                <w:sz w:val="20"/>
                <w:szCs w:val="20"/>
              </w:rPr>
            </w:pPr>
            <w:r w:rsidRPr="00991397">
              <w:rPr>
                <w:rFonts w:asciiTheme="majorBidi" w:hAnsiTheme="majorBidi" w:cstheme="majorBidi"/>
                <w:b/>
                <w:bCs/>
                <w:sz w:val="20"/>
                <w:szCs w:val="20"/>
              </w:rPr>
              <w:t>Hardwired to be Caregivers:</w:t>
            </w:r>
            <w:r w:rsidRPr="00991397">
              <w:rPr>
                <w:rFonts w:asciiTheme="majorBidi" w:hAnsiTheme="majorBidi" w:cstheme="majorBidi"/>
                <w:sz w:val="20"/>
                <w:szCs w:val="20"/>
              </w:rPr>
              <w:t xml:space="preserve"> Reflects the innate motivation to nurse and how it aligns with their identity.</w:t>
            </w:r>
          </w:p>
          <w:p w14:paraId="1434F7CE" w14:textId="77777777" w:rsidR="00E850D5" w:rsidRPr="00991397" w:rsidRDefault="00E850D5" w:rsidP="00AD0134">
            <w:pPr>
              <w:ind w:left="720"/>
              <w:rPr>
                <w:rFonts w:asciiTheme="majorBidi" w:hAnsiTheme="majorBidi" w:cstheme="majorBidi"/>
                <w:sz w:val="20"/>
                <w:szCs w:val="20"/>
              </w:rPr>
            </w:pPr>
            <w:r w:rsidRPr="00991397">
              <w:rPr>
                <w:rFonts w:asciiTheme="majorBidi" w:hAnsiTheme="majorBidi" w:cstheme="majorBidi"/>
                <w:b/>
                <w:bCs/>
                <w:sz w:val="20"/>
                <w:szCs w:val="20"/>
              </w:rPr>
              <w:t>Needing a Stable Base:</w:t>
            </w:r>
            <w:r w:rsidRPr="00991397">
              <w:rPr>
                <w:rFonts w:asciiTheme="majorBidi" w:hAnsiTheme="majorBidi" w:cstheme="majorBidi"/>
                <w:sz w:val="20"/>
                <w:szCs w:val="20"/>
              </w:rPr>
              <w:t xml:space="preserve"> Nurses require a sense of safety and security in their workplace to practice self-care and compassion, influenced by factors like job security and effective leadership.</w:t>
            </w:r>
          </w:p>
          <w:p w14:paraId="4F1350D5" w14:textId="77777777" w:rsidR="00E850D5" w:rsidRPr="00991397" w:rsidRDefault="00E850D5" w:rsidP="00AD0134">
            <w:pPr>
              <w:ind w:left="720"/>
              <w:rPr>
                <w:rFonts w:asciiTheme="majorBidi" w:hAnsiTheme="majorBidi" w:cstheme="majorBidi"/>
                <w:sz w:val="20"/>
                <w:szCs w:val="20"/>
              </w:rPr>
            </w:pPr>
            <w:r w:rsidRPr="00991397">
              <w:rPr>
                <w:rFonts w:asciiTheme="majorBidi" w:hAnsiTheme="majorBidi" w:cstheme="majorBidi"/>
                <w:b/>
                <w:bCs/>
                <w:sz w:val="20"/>
                <w:szCs w:val="20"/>
              </w:rPr>
              <w:t>Managing the Emotions of Caring:</w:t>
            </w:r>
            <w:r w:rsidRPr="00991397">
              <w:rPr>
                <w:rFonts w:asciiTheme="majorBidi" w:hAnsiTheme="majorBidi" w:cstheme="majorBidi"/>
                <w:sz w:val="20"/>
                <w:szCs w:val="20"/>
              </w:rPr>
              <w:t xml:space="preserve"> Highlights the emotional complexities involved in caregiving.</w:t>
            </w:r>
          </w:p>
          <w:p w14:paraId="3310E1A8" w14:textId="77777777" w:rsidR="00E850D5" w:rsidRPr="00991397" w:rsidRDefault="00E850D5" w:rsidP="00E850D5">
            <w:pPr>
              <w:pStyle w:val="ListParagraph"/>
              <w:numPr>
                <w:ilvl w:val="0"/>
                <w:numId w:val="1"/>
              </w:numPr>
              <w:spacing w:line="276" w:lineRule="auto"/>
              <w:ind w:left="181" w:hanging="165"/>
              <w:jc w:val="both"/>
              <w:rPr>
                <w:rFonts w:asciiTheme="majorBidi" w:hAnsiTheme="majorBidi" w:cstheme="majorBidi"/>
                <w:sz w:val="20"/>
                <w:szCs w:val="20"/>
              </w:rPr>
            </w:pPr>
            <w:r w:rsidRPr="00991397">
              <w:rPr>
                <w:rFonts w:asciiTheme="majorBidi" w:hAnsiTheme="majorBidi" w:cstheme="majorBidi"/>
                <w:sz w:val="20"/>
                <w:szCs w:val="20"/>
              </w:rPr>
              <w:t>Participants expressed a strong desire to care for others to feel valued. The framework situates permission as central to enabling nurses to care for themselves, linking it to emotional management. Findings indicated that nurses face uncertainty due to NHS changes, such as service restructuring and staffing issues, which destabilize their ability to be self-caring and compassionate.</w:t>
            </w:r>
          </w:p>
          <w:p w14:paraId="29ADC18D" w14:textId="77777777" w:rsidR="00E850D5" w:rsidRPr="00991397" w:rsidRDefault="00E850D5" w:rsidP="00E850D5">
            <w:pPr>
              <w:pStyle w:val="ListParagraph"/>
              <w:numPr>
                <w:ilvl w:val="0"/>
                <w:numId w:val="1"/>
              </w:numPr>
              <w:spacing w:line="276" w:lineRule="auto"/>
              <w:ind w:left="181" w:hanging="165"/>
              <w:jc w:val="both"/>
              <w:rPr>
                <w:rFonts w:asciiTheme="majorBidi" w:hAnsiTheme="majorBidi" w:cstheme="majorBidi"/>
                <w:sz w:val="20"/>
                <w:szCs w:val="20"/>
              </w:rPr>
            </w:pPr>
            <w:r w:rsidRPr="00991397">
              <w:rPr>
                <w:rFonts w:asciiTheme="majorBidi" w:hAnsiTheme="majorBidi" w:cstheme="majorBidi"/>
                <w:sz w:val="20"/>
                <w:szCs w:val="20"/>
              </w:rPr>
              <w:t>Participants advocated for a holistic approach to self-care, recognizing the need to address their well-being but feeling unable to act on early warning signs of illness due to the lack of internal or external permission.</w:t>
            </w:r>
          </w:p>
        </w:tc>
      </w:tr>
      <w:tr w:rsidR="00E850D5" w:rsidRPr="00410883" w14:paraId="1253E47F" w14:textId="77777777" w:rsidTr="00AD0134">
        <w:trPr>
          <w:trHeight w:val="1655"/>
        </w:trPr>
        <w:tc>
          <w:tcPr>
            <w:tcW w:w="900" w:type="dxa"/>
            <w:textDirection w:val="btLr"/>
            <w:vAlign w:val="center"/>
          </w:tcPr>
          <w:p w14:paraId="7CB9275A" w14:textId="77777777" w:rsidR="00E850D5" w:rsidRPr="00410883" w:rsidRDefault="00E850D5" w:rsidP="00AD0134">
            <w:pPr>
              <w:ind w:left="360" w:right="113"/>
              <w:jc w:val="center"/>
              <w:rPr>
                <w:rFonts w:asciiTheme="majorBidi" w:hAnsiTheme="majorBidi" w:cstheme="majorBidi"/>
                <w:sz w:val="20"/>
                <w:szCs w:val="20"/>
                <w:lang w:bidi="ar-LB"/>
              </w:rPr>
            </w:pPr>
            <w:r w:rsidRPr="00410883">
              <w:rPr>
                <w:rFonts w:asciiTheme="majorBidi" w:hAnsiTheme="majorBidi" w:cstheme="majorBidi"/>
                <w:sz w:val="20"/>
                <w:szCs w:val="20"/>
                <w:lang w:bidi="ar-LB"/>
              </w:rPr>
              <w:fldChar w:fldCharType="begin"/>
            </w:r>
            <w:r w:rsidRPr="00410883">
              <w:rPr>
                <w:rFonts w:asciiTheme="majorBidi" w:hAnsiTheme="majorBidi" w:cstheme="majorBidi"/>
                <w:sz w:val="20"/>
                <w:szCs w:val="20"/>
                <w:lang w:bidi="ar-LB"/>
              </w:rPr>
              <w:instrText xml:space="preserve"> ADDIN EN.CITE &lt;EndNote&gt;&lt;Cite&gt;&lt;Author&gt;Gustafsson&lt;/Author&gt;&lt;Year&gt;2022&lt;/Year&gt;&lt;RecNum&gt;131&lt;/RecNum&gt;&lt;DisplayText&gt;(Gustafsson &amp;amp; Hemberg, 2022)&lt;/DisplayText&gt;&lt;record&gt;&lt;rec-number&gt;131&lt;/rec-number&gt;&lt;foreign-keys&gt;&lt;key app="EN" db-id="aexdd592uzw0x4efdx25zxv3raztf00v0xfd" timestamp="1692474999"&gt;131&lt;/key&gt;&lt;/foreign-keys&gt;&lt;ref-type name="Journal Article"&gt;17&lt;/ref-type&gt;&lt;contributors&gt;&lt;authors&gt;&lt;author&gt;Gustafsson, T.,&lt;/author&gt;&lt;author&gt;Hemberg, J.&lt;/author&gt;&lt;/authors&gt;&lt;/contributors&gt;&lt;titles&gt;&lt;title&gt;Compassion fatigue as bruises in the soul: A qualitative study on nurses&lt;/title&gt;&lt;secondary-title&gt;Nursing Ethics&lt;/secondary-title&gt;&lt;/titles&gt;&lt;periodical&gt;&lt;full-title&gt;Nursing Ethics&lt;/full-title&gt;&lt;/periodical&gt;&lt;volume&gt;29&lt;/volume&gt;&lt;number&gt;1&lt;/number&gt;&lt;dates&gt;&lt;year&gt;2022&lt;/year&gt;&lt;/dates&gt;&lt;urls&gt;&lt;/urls&gt;&lt;electronic-resource-num&gt;10.1177/09697330211003215&lt;/electronic-resource-num&gt;&lt;/record&gt;&lt;/Cite&gt;&lt;/EndNote&gt;</w:instrText>
            </w:r>
            <w:r w:rsidRPr="00410883">
              <w:rPr>
                <w:rFonts w:asciiTheme="majorBidi" w:hAnsiTheme="majorBidi" w:cstheme="majorBidi"/>
                <w:sz w:val="20"/>
                <w:szCs w:val="20"/>
                <w:lang w:bidi="ar-LB"/>
              </w:rPr>
              <w:fldChar w:fldCharType="separate"/>
            </w:r>
            <w:r w:rsidRPr="00410883">
              <w:rPr>
                <w:rFonts w:asciiTheme="majorBidi" w:hAnsiTheme="majorBidi" w:cstheme="majorBidi"/>
                <w:noProof/>
                <w:sz w:val="20"/>
                <w:szCs w:val="20"/>
                <w:lang w:bidi="ar-LB"/>
              </w:rPr>
              <w:t>(Gustafsson &amp; Hemberg, 2022)</w:t>
            </w:r>
            <w:r w:rsidRPr="00410883">
              <w:rPr>
                <w:rFonts w:asciiTheme="majorBidi" w:hAnsiTheme="majorBidi" w:cstheme="majorBidi"/>
                <w:sz w:val="20"/>
                <w:szCs w:val="20"/>
                <w:lang w:bidi="ar-LB"/>
              </w:rPr>
              <w:fldChar w:fldCharType="end"/>
            </w:r>
          </w:p>
        </w:tc>
        <w:tc>
          <w:tcPr>
            <w:tcW w:w="540" w:type="dxa"/>
            <w:textDirection w:val="btLr"/>
          </w:tcPr>
          <w:p w14:paraId="662790AB" w14:textId="77777777" w:rsidR="00E850D5" w:rsidRPr="00410883" w:rsidRDefault="00E850D5" w:rsidP="00AD0134">
            <w:pPr>
              <w:ind w:left="113" w:right="113"/>
              <w:jc w:val="center"/>
              <w:rPr>
                <w:rFonts w:asciiTheme="majorBidi" w:hAnsiTheme="majorBidi" w:cstheme="majorBidi"/>
                <w:sz w:val="20"/>
                <w:szCs w:val="20"/>
              </w:rPr>
            </w:pPr>
            <w:r w:rsidRPr="00410883">
              <w:rPr>
                <w:rFonts w:asciiTheme="majorBidi" w:hAnsiTheme="majorBidi" w:cstheme="majorBidi"/>
                <w:sz w:val="20"/>
                <w:szCs w:val="20"/>
              </w:rPr>
              <w:t xml:space="preserve">Finland </w:t>
            </w:r>
          </w:p>
        </w:tc>
        <w:tc>
          <w:tcPr>
            <w:tcW w:w="900" w:type="dxa"/>
            <w:vAlign w:val="center"/>
          </w:tcPr>
          <w:p w14:paraId="16E5DC65" w14:textId="77777777" w:rsidR="00E850D5" w:rsidRPr="00410883" w:rsidRDefault="00E850D5" w:rsidP="00AD0134">
            <w:pPr>
              <w:rPr>
                <w:rFonts w:asciiTheme="majorBidi" w:hAnsiTheme="majorBidi" w:cstheme="majorBidi"/>
                <w:sz w:val="20"/>
                <w:szCs w:val="20"/>
              </w:rPr>
            </w:pPr>
            <w:r w:rsidRPr="00410883">
              <w:rPr>
                <w:rFonts w:asciiTheme="majorBidi" w:hAnsiTheme="majorBidi" w:cstheme="majorBidi"/>
                <w:sz w:val="20"/>
                <w:szCs w:val="20"/>
              </w:rPr>
              <w:t>7 nurses</w:t>
            </w:r>
          </w:p>
        </w:tc>
        <w:tc>
          <w:tcPr>
            <w:tcW w:w="1255" w:type="dxa"/>
            <w:vAlign w:val="center"/>
          </w:tcPr>
          <w:p w14:paraId="0B44D43A" w14:textId="77777777" w:rsidR="00E850D5" w:rsidRPr="00410883" w:rsidRDefault="00E850D5" w:rsidP="00AD0134">
            <w:pPr>
              <w:jc w:val="center"/>
              <w:rPr>
                <w:rFonts w:asciiTheme="majorBidi" w:hAnsiTheme="majorBidi" w:cstheme="majorBidi"/>
                <w:sz w:val="20"/>
                <w:szCs w:val="20"/>
              </w:rPr>
            </w:pPr>
            <w:r w:rsidRPr="00410883">
              <w:rPr>
                <w:rFonts w:asciiTheme="majorBidi" w:hAnsiTheme="majorBidi" w:cstheme="majorBidi"/>
                <w:sz w:val="20"/>
                <w:szCs w:val="20"/>
              </w:rPr>
              <w:t>Qualitative explorative design</w:t>
            </w:r>
          </w:p>
        </w:tc>
        <w:tc>
          <w:tcPr>
            <w:tcW w:w="10625" w:type="dxa"/>
          </w:tcPr>
          <w:p w14:paraId="6A8E7E20" w14:textId="77777777" w:rsidR="00E850D5" w:rsidRPr="00991397" w:rsidRDefault="00E850D5" w:rsidP="00E850D5">
            <w:pPr>
              <w:pStyle w:val="ListParagraph"/>
              <w:numPr>
                <w:ilvl w:val="0"/>
                <w:numId w:val="1"/>
              </w:numPr>
              <w:jc w:val="both"/>
              <w:rPr>
                <w:rFonts w:asciiTheme="majorBidi" w:hAnsiTheme="majorBidi" w:cstheme="majorBidi"/>
                <w:sz w:val="20"/>
                <w:szCs w:val="20"/>
              </w:rPr>
            </w:pPr>
            <w:r w:rsidRPr="00991397">
              <w:rPr>
                <w:rFonts w:asciiTheme="majorBidi" w:hAnsiTheme="majorBidi" w:cstheme="majorBidi"/>
                <w:sz w:val="20"/>
                <w:szCs w:val="20"/>
              </w:rPr>
              <w:t>The analysis generated five themes:</w:t>
            </w:r>
          </w:p>
          <w:p w14:paraId="77896F48" w14:textId="77777777" w:rsidR="00E850D5" w:rsidRPr="00991397" w:rsidRDefault="00E850D5" w:rsidP="00AD0134">
            <w:pPr>
              <w:pStyle w:val="ListParagraph"/>
              <w:ind w:left="360"/>
              <w:rPr>
                <w:rFonts w:asciiTheme="majorBidi" w:hAnsiTheme="majorBidi" w:cstheme="majorBidi"/>
                <w:sz w:val="20"/>
                <w:szCs w:val="20"/>
              </w:rPr>
            </w:pPr>
            <w:r w:rsidRPr="00991397">
              <w:rPr>
                <w:rFonts w:asciiTheme="majorBidi" w:hAnsiTheme="majorBidi" w:cstheme="majorBidi"/>
                <w:b/>
                <w:bCs/>
                <w:sz w:val="20"/>
                <w:szCs w:val="20"/>
              </w:rPr>
              <w:t>Compassion as an Empathic Gift and CF as Compassion Overload:</w:t>
            </w:r>
            <w:r w:rsidRPr="00991397">
              <w:rPr>
                <w:rFonts w:asciiTheme="majorBidi" w:hAnsiTheme="majorBidi" w:cstheme="majorBidi"/>
                <w:sz w:val="20"/>
                <w:szCs w:val="20"/>
              </w:rPr>
              <w:t xml:space="preserve"> Highlights the dual nature of compassion and its potential to lead to burnout.</w:t>
            </w:r>
          </w:p>
          <w:p w14:paraId="6E7F1F4E" w14:textId="77777777" w:rsidR="00E850D5" w:rsidRPr="00991397" w:rsidRDefault="00E850D5" w:rsidP="00AD0134">
            <w:pPr>
              <w:pStyle w:val="ListParagraph"/>
              <w:ind w:left="360"/>
              <w:rPr>
                <w:rFonts w:asciiTheme="majorBidi" w:hAnsiTheme="majorBidi" w:cstheme="majorBidi"/>
                <w:sz w:val="20"/>
                <w:szCs w:val="20"/>
              </w:rPr>
            </w:pPr>
            <w:r w:rsidRPr="00991397">
              <w:rPr>
                <w:rFonts w:asciiTheme="majorBidi" w:hAnsiTheme="majorBidi" w:cstheme="majorBidi"/>
                <w:b/>
                <w:bCs/>
                <w:sz w:val="20"/>
                <w:szCs w:val="20"/>
              </w:rPr>
              <w:t>CF as Exhausting the Nurse in Professional and Private Life:</w:t>
            </w:r>
            <w:r w:rsidRPr="00991397">
              <w:rPr>
                <w:rFonts w:asciiTheme="majorBidi" w:hAnsiTheme="majorBidi" w:cstheme="majorBidi"/>
                <w:sz w:val="20"/>
                <w:szCs w:val="20"/>
              </w:rPr>
              <w:t xml:space="preserve"> Emphasizes the toll of compassion fatigue on both personal and professional well-being.</w:t>
            </w:r>
          </w:p>
          <w:p w14:paraId="1DE0E0CF" w14:textId="77777777" w:rsidR="00E850D5" w:rsidRPr="00991397" w:rsidRDefault="00E850D5" w:rsidP="00AD0134">
            <w:pPr>
              <w:pStyle w:val="ListParagraph"/>
              <w:ind w:left="360"/>
              <w:rPr>
                <w:rFonts w:asciiTheme="majorBidi" w:hAnsiTheme="majorBidi" w:cstheme="majorBidi"/>
                <w:sz w:val="20"/>
                <w:szCs w:val="20"/>
              </w:rPr>
            </w:pPr>
            <w:r w:rsidRPr="00991397">
              <w:rPr>
                <w:rFonts w:asciiTheme="majorBidi" w:hAnsiTheme="majorBidi" w:cstheme="majorBidi"/>
                <w:b/>
                <w:bCs/>
                <w:sz w:val="20"/>
                <w:szCs w:val="20"/>
              </w:rPr>
              <w:t>CF as a Crisis with Potentially Valuable Insights:</w:t>
            </w:r>
            <w:r w:rsidRPr="00991397">
              <w:rPr>
                <w:rFonts w:asciiTheme="majorBidi" w:hAnsiTheme="majorBidi" w:cstheme="majorBidi"/>
                <w:sz w:val="20"/>
                <w:szCs w:val="20"/>
              </w:rPr>
              <w:t xml:space="preserve"> Suggests that experiences of compassion fatigue can provide important lessons.</w:t>
            </w:r>
          </w:p>
          <w:p w14:paraId="571D2736" w14:textId="77777777" w:rsidR="00E850D5" w:rsidRPr="00991397" w:rsidRDefault="00E850D5" w:rsidP="00AD0134">
            <w:pPr>
              <w:pStyle w:val="ListParagraph"/>
              <w:ind w:left="360"/>
              <w:rPr>
                <w:rFonts w:asciiTheme="majorBidi" w:hAnsiTheme="majorBidi" w:cstheme="majorBidi"/>
                <w:sz w:val="20"/>
                <w:szCs w:val="20"/>
              </w:rPr>
            </w:pPr>
            <w:r w:rsidRPr="00991397">
              <w:rPr>
                <w:rFonts w:asciiTheme="majorBidi" w:hAnsiTheme="majorBidi" w:cstheme="majorBidi"/>
                <w:b/>
                <w:bCs/>
                <w:sz w:val="20"/>
                <w:szCs w:val="20"/>
              </w:rPr>
              <w:t>CF Can Be Managed Through Self-Care and Focus on Self:</w:t>
            </w:r>
            <w:r w:rsidRPr="00991397">
              <w:rPr>
                <w:rFonts w:asciiTheme="majorBidi" w:hAnsiTheme="majorBidi" w:cstheme="majorBidi"/>
                <w:sz w:val="20"/>
                <w:szCs w:val="20"/>
              </w:rPr>
              <w:t xml:space="preserve"> Advocates for self-care strategies as a means to cope with compassion fatigue.</w:t>
            </w:r>
          </w:p>
          <w:p w14:paraId="14761D6F" w14:textId="77777777" w:rsidR="00E850D5" w:rsidRPr="00991397" w:rsidRDefault="00E850D5" w:rsidP="00AD0134">
            <w:pPr>
              <w:pStyle w:val="ListParagraph"/>
              <w:ind w:left="360"/>
              <w:jc w:val="both"/>
              <w:rPr>
                <w:rFonts w:asciiTheme="majorBidi" w:hAnsiTheme="majorBidi" w:cstheme="majorBidi"/>
                <w:sz w:val="20"/>
                <w:szCs w:val="20"/>
              </w:rPr>
            </w:pPr>
            <w:r w:rsidRPr="00991397">
              <w:rPr>
                <w:rFonts w:asciiTheme="majorBidi" w:hAnsiTheme="majorBidi" w:cstheme="majorBidi"/>
                <w:b/>
                <w:bCs/>
                <w:sz w:val="20"/>
                <w:szCs w:val="20"/>
              </w:rPr>
              <w:t>CF is Affected by Life Itself and Multifaceted Factors</w:t>
            </w:r>
            <w:r w:rsidRPr="00991397">
              <w:rPr>
                <w:rFonts w:asciiTheme="majorBidi" w:hAnsiTheme="majorBidi" w:cstheme="majorBidi"/>
                <w:sz w:val="20"/>
                <w:szCs w:val="20"/>
              </w:rPr>
              <w:t>: Acknowledges that various life circumstances and factors influence compassion fatigue</w:t>
            </w:r>
          </w:p>
        </w:tc>
      </w:tr>
    </w:tbl>
    <w:p w14:paraId="2727E7E8" w14:textId="77777777" w:rsidR="00111472" w:rsidRPr="0075733D" w:rsidRDefault="00111472" w:rsidP="00111472"/>
    <w:sectPr w:rsidR="00111472" w:rsidRPr="0075733D" w:rsidSect="00111472">
      <w:pgSz w:w="15840" w:h="12240" w:orient="landscape"/>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17D18"/>
    <w:multiLevelType w:val="hybridMultilevel"/>
    <w:tmpl w:val="EDF2F58C"/>
    <w:lvl w:ilvl="0" w:tplc="A782CD4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45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xdd592uzw0x4efdx25zxv3raztf00v0xfd&quot;&gt;My EndNote Library&lt;record-ids&gt;&lt;item&gt;87&lt;/item&gt;&lt;item&gt;131&lt;/item&gt;&lt;item&gt;134&lt;/item&gt;&lt;/record-ids&gt;&lt;/item&gt;&lt;/Libraries&gt;"/>
  </w:docVars>
  <w:rsids>
    <w:rsidRoot w:val="00A77FF3"/>
    <w:rsid w:val="000E6757"/>
    <w:rsid w:val="000F2515"/>
    <w:rsid w:val="00111472"/>
    <w:rsid w:val="00223E4C"/>
    <w:rsid w:val="00280F30"/>
    <w:rsid w:val="003E7043"/>
    <w:rsid w:val="00402DA2"/>
    <w:rsid w:val="00425F62"/>
    <w:rsid w:val="0047534F"/>
    <w:rsid w:val="005F3645"/>
    <w:rsid w:val="006E6D9E"/>
    <w:rsid w:val="00772103"/>
    <w:rsid w:val="007E6A35"/>
    <w:rsid w:val="008739D2"/>
    <w:rsid w:val="008C3386"/>
    <w:rsid w:val="00A77FF3"/>
    <w:rsid w:val="00B61A0E"/>
    <w:rsid w:val="00BC34E0"/>
    <w:rsid w:val="00D877E3"/>
    <w:rsid w:val="00DA1925"/>
    <w:rsid w:val="00E850D5"/>
    <w:rsid w:val="00F17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9458"/>
  <w15:chartTrackingRefBased/>
  <w15:docId w15:val="{7792E4ED-A2C2-4862-B19A-9EF39FD6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72"/>
  </w:style>
  <w:style w:type="paragraph" w:styleId="Heading1">
    <w:name w:val="heading 1"/>
    <w:basedOn w:val="Normal"/>
    <w:next w:val="Normal"/>
    <w:link w:val="Heading1Char"/>
    <w:uiPriority w:val="9"/>
    <w:qFormat/>
    <w:rsid w:val="00A7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F3"/>
    <w:rPr>
      <w:rFonts w:eastAsiaTheme="majorEastAsia" w:cstheme="majorBidi"/>
      <w:color w:val="272727" w:themeColor="text1" w:themeTint="D8"/>
    </w:rPr>
  </w:style>
  <w:style w:type="paragraph" w:styleId="Title">
    <w:name w:val="Title"/>
    <w:basedOn w:val="Normal"/>
    <w:next w:val="Normal"/>
    <w:link w:val="TitleChar"/>
    <w:uiPriority w:val="10"/>
    <w:qFormat/>
    <w:rsid w:val="00A7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F3"/>
    <w:pPr>
      <w:spacing w:before="160"/>
      <w:jc w:val="center"/>
    </w:pPr>
    <w:rPr>
      <w:i/>
      <w:iCs/>
      <w:color w:val="404040" w:themeColor="text1" w:themeTint="BF"/>
    </w:rPr>
  </w:style>
  <w:style w:type="character" w:customStyle="1" w:styleId="QuoteChar">
    <w:name w:val="Quote Char"/>
    <w:basedOn w:val="DefaultParagraphFont"/>
    <w:link w:val="Quote"/>
    <w:uiPriority w:val="29"/>
    <w:rsid w:val="00A77FF3"/>
    <w:rPr>
      <w:i/>
      <w:iCs/>
      <w:color w:val="404040" w:themeColor="text1" w:themeTint="BF"/>
    </w:rPr>
  </w:style>
  <w:style w:type="paragraph" w:styleId="ListParagraph">
    <w:name w:val="List Paragraph"/>
    <w:basedOn w:val="Normal"/>
    <w:link w:val="ListParagraphChar"/>
    <w:uiPriority w:val="34"/>
    <w:qFormat/>
    <w:rsid w:val="00A77FF3"/>
    <w:pPr>
      <w:ind w:left="720"/>
      <w:contextualSpacing/>
    </w:pPr>
  </w:style>
  <w:style w:type="character" w:styleId="IntenseEmphasis">
    <w:name w:val="Intense Emphasis"/>
    <w:basedOn w:val="DefaultParagraphFont"/>
    <w:uiPriority w:val="21"/>
    <w:qFormat/>
    <w:rsid w:val="00A77FF3"/>
    <w:rPr>
      <w:i/>
      <w:iCs/>
      <w:color w:val="0F4761" w:themeColor="accent1" w:themeShade="BF"/>
    </w:rPr>
  </w:style>
  <w:style w:type="paragraph" w:styleId="IntenseQuote">
    <w:name w:val="Intense Quote"/>
    <w:basedOn w:val="Normal"/>
    <w:next w:val="Normal"/>
    <w:link w:val="IntenseQuoteChar"/>
    <w:uiPriority w:val="30"/>
    <w:qFormat/>
    <w:rsid w:val="00A7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F3"/>
    <w:rPr>
      <w:i/>
      <w:iCs/>
      <w:color w:val="0F4761" w:themeColor="accent1" w:themeShade="BF"/>
    </w:rPr>
  </w:style>
  <w:style w:type="character" w:styleId="IntenseReference">
    <w:name w:val="Intense Reference"/>
    <w:basedOn w:val="DefaultParagraphFont"/>
    <w:uiPriority w:val="32"/>
    <w:qFormat/>
    <w:rsid w:val="00A77FF3"/>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111472"/>
  </w:style>
  <w:style w:type="table" w:styleId="TableGrid">
    <w:name w:val="Table Grid"/>
    <w:basedOn w:val="TableNormal"/>
    <w:uiPriority w:val="39"/>
    <w:rsid w:val="0011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72103"/>
    <w:pPr>
      <w:spacing w:after="200" w:line="240" w:lineRule="auto"/>
    </w:pPr>
    <w:rPr>
      <w:i/>
      <w:iCs/>
      <w:color w:val="0E2841" w:themeColor="text2"/>
      <w:sz w:val="18"/>
      <w:szCs w:val="18"/>
    </w:rPr>
  </w:style>
  <w:style w:type="paragraph" w:customStyle="1" w:styleId="EndNoteBibliographyTitle">
    <w:name w:val="EndNote Bibliography Title"/>
    <w:basedOn w:val="Normal"/>
    <w:link w:val="EndNoteBibliographyTitleChar"/>
    <w:rsid w:val="00280F30"/>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80F30"/>
    <w:rPr>
      <w:rFonts w:ascii="Aptos" w:hAnsi="Aptos"/>
      <w:noProof/>
    </w:rPr>
  </w:style>
  <w:style w:type="paragraph" w:customStyle="1" w:styleId="EndNoteBibliography">
    <w:name w:val="EndNote Bibliography"/>
    <w:basedOn w:val="Normal"/>
    <w:link w:val="EndNoteBibliographyChar"/>
    <w:rsid w:val="00280F30"/>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80F30"/>
    <w:rPr>
      <w:rFonts w:ascii="Aptos" w:hAnsi="Aptos"/>
      <w:noProof/>
    </w:rPr>
  </w:style>
  <w:style w:type="character" w:styleId="Hyperlink">
    <w:name w:val="Hyperlink"/>
    <w:basedOn w:val="DefaultParagraphFont"/>
    <w:uiPriority w:val="99"/>
    <w:unhideWhenUsed/>
    <w:rsid w:val="00280F30"/>
    <w:rPr>
      <w:color w:val="467886" w:themeColor="hyperlink"/>
      <w:u w:val="single"/>
    </w:rPr>
  </w:style>
  <w:style w:type="character" w:styleId="UnresolvedMention">
    <w:name w:val="Unresolved Mention"/>
    <w:basedOn w:val="DefaultParagraphFont"/>
    <w:uiPriority w:val="99"/>
    <w:semiHidden/>
    <w:unhideWhenUsed/>
    <w:rsid w:val="0028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 Nakhal (Student)</dc:creator>
  <cp:keywords/>
  <dc:description/>
  <cp:lastModifiedBy>Mohamad Al Nakhal (Student)</cp:lastModifiedBy>
  <cp:revision>14</cp:revision>
  <cp:lastPrinted>2024-11-10T19:43:00Z</cp:lastPrinted>
  <dcterms:created xsi:type="dcterms:W3CDTF">2024-11-10T17:57:00Z</dcterms:created>
  <dcterms:modified xsi:type="dcterms:W3CDTF">2025-08-24T15:43:00Z</dcterms:modified>
</cp:coreProperties>
</file>