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9704D" w14:textId="77777777" w:rsidR="00EF21B3" w:rsidRDefault="00EF21B3" w:rsidP="00EF21B3">
      <w:pPr>
        <w:rPr>
          <w:rFonts w:ascii="Arial" w:hAnsi="Arial" w:cs="Arial"/>
          <w:b/>
          <w:i/>
        </w:rPr>
      </w:pPr>
      <w:r>
        <w:rPr>
          <w:rFonts w:ascii="Arial" w:hAnsi="Arial" w:cs="Arial"/>
          <w:b/>
          <w:i/>
        </w:rPr>
        <w:t>Supplemental Information: Le et al.</w:t>
      </w:r>
    </w:p>
    <w:p w14:paraId="7F80FD6C" w14:textId="72CA34A3" w:rsidR="00BE658C" w:rsidRDefault="00BE658C" w:rsidP="00E076CA">
      <w:pPr>
        <w:tabs>
          <w:tab w:val="left" w:pos="5837"/>
        </w:tabs>
        <w:spacing w:line="360" w:lineRule="auto"/>
        <w:jc w:val="center"/>
        <w:rPr>
          <w:rFonts w:ascii="Arial" w:eastAsia="Arial" w:hAnsi="Arial" w:cs="Arial"/>
        </w:rPr>
      </w:pPr>
      <w:r>
        <w:rPr>
          <w:rFonts w:ascii="Arial" w:eastAsia="Arial" w:hAnsi="Arial" w:cs="Arial"/>
          <w:noProof/>
        </w:rPr>
        <w:drawing>
          <wp:inline distT="0" distB="0" distL="0" distR="0" wp14:anchorId="77789CC0" wp14:editId="187AF4A2">
            <wp:extent cx="4021016" cy="6677025"/>
            <wp:effectExtent l="0" t="0" r="0" b="0"/>
            <wp:docPr id="3" name="Picture 3" descr="X:\PubCentral\22. THC development\for Neurobiology and disease\Supplemental figures\Supplemental Figure_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ubCentral\22. THC development\for Neurobiology and disease\Supplemental figures\Supplemental Figure_2-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1016" cy="6677025"/>
                    </a:xfrm>
                    <a:prstGeom prst="rect">
                      <a:avLst/>
                    </a:prstGeom>
                    <a:noFill/>
                    <a:ln>
                      <a:noFill/>
                    </a:ln>
                  </pic:spPr>
                </pic:pic>
              </a:graphicData>
            </a:graphic>
          </wp:inline>
        </w:drawing>
      </w:r>
    </w:p>
    <w:p w14:paraId="4F797A34" w14:textId="7592BBD9" w:rsidR="00E076CA" w:rsidRDefault="00E076CA" w:rsidP="00E076CA">
      <w:pPr>
        <w:tabs>
          <w:tab w:val="left" w:pos="5837"/>
        </w:tabs>
        <w:rPr>
          <w:rFonts w:ascii="Arial" w:eastAsia="Arial" w:hAnsi="Arial" w:cs="Arial"/>
        </w:rPr>
      </w:pPr>
      <w:r>
        <w:rPr>
          <w:rFonts w:ascii="Arial" w:eastAsia="Arial" w:hAnsi="Arial" w:cs="Arial"/>
          <w:b/>
        </w:rPr>
        <w:t>Supplemental Figure 1. Adolescent THC exposure effects on frequency facilitation in male rats and mice: Raw values for data presented in text Figures 3-4.</w:t>
      </w:r>
      <w:r>
        <w:rPr>
          <w:rFonts w:ascii="Arial" w:eastAsia="Arial" w:hAnsi="Arial" w:cs="Arial"/>
        </w:rPr>
        <w:t xml:space="preserve"> (</w:t>
      </w:r>
      <w:r w:rsidR="003D0821">
        <w:rPr>
          <w:rFonts w:ascii="Arial" w:eastAsia="Arial" w:hAnsi="Arial" w:cs="Arial"/>
          <w:b/>
        </w:rPr>
        <w:t>A, B</w:t>
      </w:r>
      <w:r>
        <w:rPr>
          <w:rFonts w:ascii="Arial" w:eastAsia="Arial" w:hAnsi="Arial" w:cs="Arial"/>
        </w:rPr>
        <w:t>) Field CA1 responses (fEPSP slope) to 10 pulse Schaffer-commissural (S-C) stimulation at 10, 20, and 40 Hz all show frequency facilitation.</w:t>
      </w:r>
      <w:r>
        <w:rPr>
          <w:rFonts w:ascii="Arial" w:eastAsia="Arial" w:hAnsi="Arial" w:cs="Arial"/>
          <w:b/>
        </w:rPr>
        <w:t xml:space="preserve"> </w:t>
      </w:r>
      <w:r>
        <w:rPr>
          <w:rFonts w:ascii="Arial" w:eastAsia="Arial" w:hAnsi="Arial" w:cs="Arial"/>
        </w:rPr>
        <w:t>(</w:t>
      </w:r>
      <w:r>
        <w:rPr>
          <w:rFonts w:ascii="Arial" w:eastAsia="Arial" w:hAnsi="Arial" w:cs="Arial"/>
          <w:b/>
        </w:rPr>
        <w:t>A</w:t>
      </w:r>
      <w:r>
        <w:rPr>
          <w:rFonts w:ascii="Arial" w:eastAsia="Arial" w:hAnsi="Arial" w:cs="Arial"/>
        </w:rPr>
        <w:t>) Plot of raw values shows S-C frequency facilitation is comparable in THC-treated and vehicle-treated male rats (10 Hz: F</w:t>
      </w:r>
      <w:r>
        <w:rPr>
          <w:rFonts w:ascii="Arial" w:eastAsia="Arial" w:hAnsi="Arial" w:cs="Arial"/>
          <w:vertAlign w:val="subscript"/>
        </w:rPr>
        <w:t>9,135</w:t>
      </w:r>
      <w:r>
        <w:rPr>
          <w:rFonts w:ascii="Arial" w:eastAsia="Arial" w:hAnsi="Arial" w:cs="Arial"/>
        </w:rPr>
        <w:t xml:space="preserve">=0.48 P = 0.89; 20 Hz: </w:t>
      </w:r>
      <w:r>
        <w:rPr>
          <w:rFonts w:ascii="Arial" w:eastAsia="Arial" w:hAnsi="Arial" w:cs="Arial"/>
        </w:rPr>
        <w:lastRenderedPageBreak/>
        <w:t>F</w:t>
      </w:r>
      <w:r>
        <w:rPr>
          <w:rFonts w:ascii="Arial" w:eastAsia="Arial" w:hAnsi="Arial" w:cs="Arial"/>
          <w:vertAlign w:val="subscript"/>
        </w:rPr>
        <w:t>9,135</w:t>
      </w:r>
      <w:r>
        <w:rPr>
          <w:rFonts w:ascii="Arial" w:eastAsia="Arial" w:hAnsi="Arial" w:cs="Arial"/>
        </w:rPr>
        <w:t>=0.38 P=0.94, 40 Hz: F</w:t>
      </w:r>
      <w:r>
        <w:rPr>
          <w:rFonts w:ascii="Arial" w:eastAsia="Arial" w:hAnsi="Arial" w:cs="Arial"/>
          <w:vertAlign w:val="subscript"/>
        </w:rPr>
        <w:t>9,126</w:t>
      </w:r>
      <w:r>
        <w:rPr>
          <w:rFonts w:ascii="Arial" w:eastAsia="Arial" w:hAnsi="Arial" w:cs="Arial"/>
        </w:rPr>
        <w:t>= 0.11 P=0.99) (Vehicle N=10, THC N=7). (</w:t>
      </w:r>
      <w:r>
        <w:rPr>
          <w:rFonts w:ascii="Arial" w:eastAsia="Arial" w:hAnsi="Arial" w:cs="Arial"/>
          <w:b/>
        </w:rPr>
        <w:t>B</w:t>
      </w:r>
      <w:r>
        <w:rPr>
          <w:rFonts w:ascii="Arial" w:eastAsia="Arial" w:hAnsi="Arial" w:cs="Arial"/>
        </w:rPr>
        <w:t>) S-C frequency facilitation is slightly larger in THC- as compared to vehicle-treated male mice (10 Hz: F</w:t>
      </w:r>
      <w:r>
        <w:rPr>
          <w:rFonts w:ascii="Arial" w:eastAsia="Arial" w:hAnsi="Arial" w:cs="Arial"/>
          <w:vertAlign w:val="subscript"/>
        </w:rPr>
        <w:t>9,108</w:t>
      </w:r>
      <w:r>
        <w:rPr>
          <w:rFonts w:ascii="Arial" w:eastAsia="Arial" w:hAnsi="Arial" w:cs="Arial"/>
        </w:rPr>
        <w:t>=4.03 P=0.0002; 20 Hz: F</w:t>
      </w:r>
      <w:r>
        <w:rPr>
          <w:rFonts w:ascii="Arial" w:eastAsia="Arial" w:hAnsi="Arial" w:cs="Arial"/>
          <w:vertAlign w:val="subscript"/>
        </w:rPr>
        <w:t>9,108</w:t>
      </w:r>
      <w:r>
        <w:rPr>
          <w:rFonts w:ascii="Arial" w:eastAsia="Arial" w:hAnsi="Arial" w:cs="Arial"/>
        </w:rPr>
        <w:t>=5.92 P&lt;0.0001; 40 Hz</w:t>
      </w:r>
      <w:r w:rsidR="00DF1892">
        <w:rPr>
          <w:rFonts w:ascii="Arial" w:eastAsia="Arial" w:hAnsi="Arial" w:cs="Arial"/>
        </w:rPr>
        <w:t>:</w:t>
      </w:r>
      <w:bookmarkStart w:id="0" w:name="_GoBack"/>
      <w:bookmarkEnd w:id="0"/>
      <w:r>
        <w:rPr>
          <w:rFonts w:ascii="Arial" w:eastAsia="Arial" w:hAnsi="Arial" w:cs="Arial"/>
        </w:rPr>
        <w:t xml:space="preserve"> F</w:t>
      </w:r>
      <w:r>
        <w:rPr>
          <w:rFonts w:ascii="Arial" w:eastAsia="Arial" w:hAnsi="Arial" w:cs="Arial"/>
          <w:vertAlign w:val="subscript"/>
        </w:rPr>
        <w:t>9,108</w:t>
      </w:r>
      <w:r>
        <w:rPr>
          <w:rFonts w:ascii="Arial" w:eastAsia="Arial" w:hAnsi="Arial" w:cs="Arial"/>
        </w:rPr>
        <w:t>=10.02 P&lt;0.0001) (Vehicle N=7, THC N=7). (</w:t>
      </w:r>
      <w:r w:rsidR="003D0821">
        <w:rPr>
          <w:rFonts w:ascii="Arial" w:eastAsia="Arial" w:hAnsi="Arial" w:cs="Arial"/>
          <w:b/>
        </w:rPr>
        <w:t>C, D</w:t>
      </w:r>
      <w:r>
        <w:rPr>
          <w:rFonts w:ascii="Arial" w:eastAsia="Arial" w:hAnsi="Arial" w:cs="Arial"/>
        </w:rPr>
        <w:t>) Stimulation trains were applied to the lateral perforant path (LPP) and field EPSP responses were recorded from the dentate gyrus outer molecular layer.  (</w:t>
      </w:r>
      <w:r>
        <w:rPr>
          <w:rFonts w:ascii="Arial" w:eastAsia="Arial" w:hAnsi="Arial" w:cs="Arial"/>
          <w:b/>
        </w:rPr>
        <w:t>C</w:t>
      </w:r>
      <w:r>
        <w:rPr>
          <w:rFonts w:ascii="Arial" w:eastAsia="Arial" w:hAnsi="Arial" w:cs="Arial"/>
        </w:rPr>
        <w:t xml:space="preserve">) With </w:t>
      </w:r>
      <w:r w:rsidRPr="00434009">
        <w:rPr>
          <w:rFonts w:ascii="Arial" w:eastAsia="Arial" w:hAnsi="Arial" w:cs="Arial"/>
        </w:rPr>
        <w:t>stimulation at 20 and 40 Hz, frequency facilitation was smaller in slices from THC-treated as compared in vehicle-treated male rats (10 Hz: F</w:t>
      </w:r>
      <w:r w:rsidRPr="00434009">
        <w:rPr>
          <w:rFonts w:ascii="Arial" w:eastAsia="Arial" w:hAnsi="Arial" w:cs="Arial"/>
          <w:vertAlign w:val="subscript"/>
        </w:rPr>
        <w:t>9,117</w:t>
      </w:r>
      <w:r w:rsidRPr="00434009">
        <w:rPr>
          <w:rFonts w:ascii="Arial" w:eastAsia="Arial" w:hAnsi="Arial" w:cs="Arial"/>
        </w:rPr>
        <w:t>=1.26 P=0.</w:t>
      </w:r>
      <w:r>
        <w:rPr>
          <w:rFonts w:ascii="Arial" w:eastAsia="Arial" w:hAnsi="Arial" w:cs="Arial"/>
        </w:rPr>
        <w:t>27, 20 Hz: F</w:t>
      </w:r>
      <w:r>
        <w:rPr>
          <w:rFonts w:ascii="Arial" w:eastAsia="Arial" w:hAnsi="Arial" w:cs="Arial"/>
          <w:vertAlign w:val="subscript"/>
        </w:rPr>
        <w:t>9,117</w:t>
      </w:r>
      <w:r>
        <w:rPr>
          <w:rFonts w:ascii="Arial" w:eastAsia="Arial" w:hAnsi="Arial" w:cs="Arial"/>
        </w:rPr>
        <w:t>= 3.02</w:t>
      </w:r>
      <w:r w:rsidR="00E805A1" w:rsidRPr="00E805A1">
        <w:rPr>
          <w:rFonts w:ascii="Arial" w:eastAsia="Arial" w:hAnsi="Arial" w:cs="Arial"/>
        </w:rPr>
        <w:t xml:space="preserve"> </w:t>
      </w:r>
      <w:r w:rsidR="00E805A1">
        <w:rPr>
          <w:rFonts w:ascii="Arial" w:eastAsia="Arial" w:hAnsi="Arial" w:cs="Arial"/>
        </w:rPr>
        <w:t>P=0.0032</w:t>
      </w:r>
      <w:r>
        <w:rPr>
          <w:rFonts w:ascii="Arial" w:eastAsia="Arial" w:hAnsi="Arial" w:cs="Arial"/>
        </w:rPr>
        <w:t>, 40 Hz: F</w:t>
      </w:r>
      <w:r>
        <w:rPr>
          <w:rFonts w:ascii="Arial" w:eastAsia="Arial" w:hAnsi="Arial" w:cs="Arial"/>
          <w:vertAlign w:val="subscript"/>
        </w:rPr>
        <w:t>9,117</w:t>
      </w:r>
      <w:r>
        <w:rPr>
          <w:rFonts w:ascii="Arial" w:eastAsia="Arial" w:hAnsi="Arial" w:cs="Arial"/>
        </w:rPr>
        <w:t xml:space="preserve">= 2.97 </w:t>
      </w:r>
      <w:r w:rsidR="00E805A1">
        <w:rPr>
          <w:rFonts w:ascii="Arial" w:eastAsia="Arial" w:hAnsi="Arial" w:cs="Arial"/>
        </w:rPr>
        <w:t>P=0.0028</w:t>
      </w:r>
      <w:r>
        <w:rPr>
          <w:rFonts w:ascii="Arial" w:eastAsia="Arial" w:hAnsi="Arial" w:cs="Arial"/>
        </w:rPr>
        <w:t>) (Vehicle N=7, THC N=8). The effect is not significant when normalized to the first value (see Figure 3C) suggesting that differences in the first fEPSP slope give rise to the group effect. (</w:t>
      </w:r>
      <w:r>
        <w:rPr>
          <w:rFonts w:ascii="Arial" w:eastAsia="Arial" w:hAnsi="Arial" w:cs="Arial"/>
          <w:b/>
        </w:rPr>
        <w:t>D</w:t>
      </w:r>
      <w:r>
        <w:rPr>
          <w:rFonts w:ascii="Arial" w:eastAsia="Arial" w:hAnsi="Arial" w:cs="Arial"/>
        </w:rPr>
        <w:t>) LPP frequency facilitation did not differ between THC-treated and vehicle-treated male mice (10 Hz: F</w:t>
      </w:r>
      <w:r>
        <w:rPr>
          <w:rFonts w:ascii="Arial" w:eastAsia="Arial" w:hAnsi="Arial" w:cs="Arial"/>
          <w:vertAlign w:val="subscript"/>
        </w:rPr>
        <w:t>9,117</w:t>
      </w:r>
      <w:r>
        <w:rPr>
          <w:rFonts w:ascii="Arial" w:eastAsia="Arial" w:hAnsi="Arial" w:cs="Arial"/>
        </w:rPr>
        <w:t>=1.46 P=0.17; 20 Hz: F</w:t>
      </w:r>
      <w:r>
        <w:rPr>
          <w:rFonts w:ascii="Arial" w:eastAsia="Arial" w:hAnsi="Arial" w:cs="Arial"/>
          <w:vertAlign w:val="subscript"/>
        </w:rPr>
        <w:t>9,108</w:t>
      </w:r>
      <w:r>
        <w:rPr>
          <w:rFonts w:ascii="Arial" w:eastAsia="Arial" w:hAnsi="Arial" w:cs="Arial"/>
        </w:rPr>
        <w:t>=0.95 P=0.49; 40 Hz: F</w:t>
      </w:r>
      <w:r>
        <w:rPr>
          <w:rFonts w:ascii="Arial" w:eastAsia="Arial" w:hAnsi="Arial" w:cs="Arial"/>
          <w:vertAlign w:val="subscript"/>
        </w:rPr>
        <w:t>9,117</w:t>
      </w:r>
      <w:r>
        <w:rPr>
          <w:rFonts w:ascii="Arial" w:eastAsia="Arial" w:hAnsi="Arial" w:cs="Arial"/>
        </w:rPr>
        <w:t xml:space="preserve">=0.27 P=0.98) (Vehicle N=8, THC N=7). </w:t>
      </w:r>
      <w:bookmarkStart w:id="1" w:name="bookmark=id.gjdgxs" w:colFirst="0" w:colLast="0"/>
      <w:bookmarkEnd w:id="1"/>
      <w:r>
        <w:rPr>
          <w:rFonts w:ascii="Arial" w:eastAsia="Arial" w:hAnsi="Arial" w:cs="Arial"/>
        </w:rPr>
        <w:t>The 2-way ANOVA was used for statistical analysis with significance for Interaction presented. N represents the number of slices per group; group mean ± SEM values presented.</w:t>
      </w:r>
    </w:p>
    <w:p w14:paraId="0251EBF2" w14:textId="06D302FA" w:rsidR="00E076CA" w:rsidRDefault="00E076CA" w:rsidP="00E076CA">
      <w:pPr>
        <w:rPr>
          <w:rFonts w:ascii="Arial" w:eastAsia="Arial" w:hAnsi="Arial" w:cs="Arial"/>
        </w:rPr>
      </w:pPr>
    </w:p>
    <w:p w14:paraId="1BD5483B" w14:textId="77777777" w:rsidR="00E20867" w:rsidRDefault="00E076CA">
      <w:pPr>
        <w:tabs>
          <w:tab w:val="left" w:pos="5837"/>
        </w:tabs>
        <w:spacing w:line="360" w:lineRule="auto"/>
        <w:rPr>
          <w:rFonts w:ascii="Arial" w:eastAsia="Arial" w:hAnsi="Arial" w:cs="Arial"/>
          <w:b/>
        </w:rPr>
      </w:pPr>
      <w:r>
        <w:rPr>
          <w:noProof/>
        </w:rPr>
        <w:lastRenderedPageBreak/>
        <w:drawing>
          <wp:anchor distT="0" distB="0" distL="114300" distR="114300" simplePos="0" relativeHeight="251658240" behindDoc="0" locked="0" layoutInCell="1" hidden="0" allowOverlap="1" wp14:anchorId="5252204C" wp14:editId="3EF37124">
            <wp:simplePos x="0" y="0"/>
            <wp:positionH relativeFrom="column">
              <wp:posOffset>212090</wp:posOffset>
            </wp:positionH>
            <wp:positionV relativeFrom="paragraph">
              <wp:posOffset>1270</wp:posOffset>
            </wp:positionV>
            <wp:extent cx="5396865" cy="6833235"/>
            <wp:effectExtent l="0" t="0" r="0" b="5715"/>
            <wp:wrapTopAndBottom distT="0" distB="0"/>
            <wp:docPr id="9" name="image5.png" descr="X:\PubCentral\22. THC development\for Neurobiology and disease\resubmission figures\Supplemental Figure_1-01.png"/>
            <wp:cNvGraphicFramePr/>
            <a:graphic xmlns:a="http://schemas.openxmlformats.org/drawingml/2006/main">
              <a:graphicData uri="http://schemas.openxmlformats.org/drawingml/2006/picture">
                <pic:pic xmlns:pic="http://schemas.openxmlformats.org/drawingml/2006/picture">
                  <pic:nvPicPr>
                    <pic:cNvPr id="0" name="image5.png" descr="X:\PubCentral\22. THC development\for Neurobiology and disease\resubmission figures\Supplemental Figure_1-01.png"/>
                    <pic:cNvPicPr preferRelativeResize="0"/>
                  </pic:nvPicPr>
                  <pic:blipFill>
                    <a:blip r:embed="rId9"/>
                    <a:srcRect/>
                    <a:stretch>
                      <a:fillRect/>
                    </a:stretch>
                  </pic:blipFill>
                  <pic:spPr>
                    <a:xfrm>
                      <a:off x="0" y="0"/>
                      <a:ext cx="5396865" cy="6833235"/>
                    </a:xfrm>
                    <a:prstGeom prst="rect">
                      <a:avLst/>
                    </a:prstGeom>
                    <a:ln/>
                  </pic:spPr>
                </pic:pic>
              </a:graphicData>
            </a:graphic>
            <wp14:sizeRelH relativeFrom="margin">
              <wp14:pctWidth>0</wp14:pctWidth>
            </wp14:sizeRelH>
            <wp14:sizeRelV relativeFrom="margin">
              <wp14:pctHeight>0</wp14:pctHeight>
            </wp14:sizeRelV>
          </wp:anchor>
        </w:drawing>
      </w:r>
    </w:p>
    <w:p w14:paraId="2FBD1F0F" w14:textId="68B9192B" w:rsidR="00E20867" w:rsidRDefault="00E076CA" w:rsidP="00E076CA">
      <w:pPr>
        <w:tabs>
          <w:tab w:val="left" w:pos="5837"/>
        </w:tabs>
        <w:rPr>
          <w:rFonts w:ascii="Arial" w:eastAsia="Arial" w:hAnsi="Arial" w:cs="Arial"/>
        </w:rPr>
      </w:pPr>
      <w:r>
        <w:rPr>
          <w:rFonts w:ascii="Arial" w:eastAsia="Arial" w:hAnsi="Arial" w:cs="Arial"/>
          <w:b/>
        </w:rPr>
        <w:t>Supplemental Figure 2. Adolescent THC exposure effects on frequency facilitation in female rats and mice: Raw values and estrous stage breakdown for data presented in text Figures 3</w:t>
      </w:r>
      <w:r w:rsidR="003D0821">
        <w:rPr>
          <w:rFonts w:ascii="Arial" w:eastAsia="Arial" w:hAnsi="Arial" w:cs="Arial"/>
          <w:b/>
        </w:rPr>
        <w:t>C, D</w:t>
      </w:r>
      <w:r>
        <w:rPr>
          <w:rFonts w:ascii="Arial" w:eastAsia="Arial" w:hAnsi="Arial" w:cs="Arial"/>
          <w:b/>
        </w:rPr>
        <w:t xml:space="preserve"> and Figures 4</w:t>
      </w:r>
      <w:r w:rsidR="003D0821">
        <w:rPr>
          <w:rFonts w:ascii="Arial" w:eastAsia="Arial" w:hAnsi="Arial" w:cs="Arial"/>
          <w:b/>
        </w:rPr>
        <w:t>C, D.</w:t>
      </w:r>
      <w:r>
        <w:rPr>
          <w:rFonts w:ascii="Arial" w:eastAsia="Arial" w:hAnsi="Arial" w:cs="Arial"/>
        </w:rPr>
        <w:t xml:space="preserve"> (</w:t>
      </w:r>
      <w:r w:rsidR="003D0821">
        <w:rPr>
          <w:rFonts w:ascii="Arial" w:eastAsia="Arial" w:hAnsi="Arial" w:cs="Arial"/>
          <w:b/>
        </w:rPr>
        <w:t>A, B</w:t>
      </w:r>
      <w:r>
        <w:rPr>
          <w:rFonts w:ascii="Arial" w:eastAsia="Arial" w:hAnsi="Arial" w:cs="Arial"/>
        </w:rPr>
        <w:t>) Field CA1 responses (fEPSP slope) to 10 pulse Schaffer-commissural (S-C) stimulation at 10, 20, and 40 Hz show frequency facilitation.</w:t>
      </w:r>
      <w:r>
        <w:rPr>
          <w:rFonts w:ascii="Arial" w:eastAsia="Arial" w:hAnsi="Arial" w:cs="Arial"/>
          <w:b/>
        </w:rPr>
        <w:t xml:space="preserve"> </w:t>
      </w:r>
      <w:r>
        <w:rPr>
          <w:rFonts w:ascii="Arial" w:eastAsia="Arial" w:hAnsi="Arial" w:cs="Arial"/>
        </w:rPr>
        <w:t>(</w:t>
      </w:r>
      <w:r>
        <w:rPr>
          <w:rFonts w:ascii="Arial" w:eastAsia="Arial" w:hAnsi="Arial" w:cs="Arial"/>
          <w:b/>
        </w:rPr>
        <w:t>A</w:t>
      </w:r>
      <w:r>
        <w:rPr>
          <w:rFonts w:ascii="Arial" w:eastAsia="Arial" w:hAnsi="Arial" w:cs="Arial"/>
        </w:rPr>
        <w:t xml:space="preserve">) Raw values for the pooled data presented in text Figure 3C show responses in female rats </w:t>
      </w:r>
      <w:r>
        <w:rPr>
          <w:rFonts w:ascii="Arial" w:eastAsia="Arial" w:hAnsi="Arial" w:cs="Arial"/>
        </w:rPr>
        <w:lastRenderedPageBreak/>
        <w:t>given vehicle (left) or THC (right, green). The number of slices (N) evaluated are as follows (for veh,</w:t>
      </w:r>
      <w:r w:rsidR="003D0821">
        <w:rPr>
          <w:rFonts w:ascii="Arial" w:eastAsia="Arial" w:hAnsi="Arial" w:cs="Arial"/>
        </w:rPr>
        <w:t xml:space="preserve"> </w:t>
      </w:r>
      <w:r>
        <w:rPr>
          <w:rFonts w:ascii="Arial" w:eastAsia="Arial" w:hAnsi="Arial" w:cs="Arial"/>
        </w:rPr>
        <w:t>THC):  proestrus N=6,3; estrus N=2,4; metestrus N=3,3; diestrus N=3,4. (</w:t>
      </w:r>
      <w:r>
        <w:rPr>
          <w:rFonts w:ascii="Arial" w:eastAsia="Arial" w:hAnsi="Arial" w:cs="Arial"/>
          <w:b/>
        </w:rPr>
        <w:t>B</w:t>
      </w:r>
      <w:r>
        <w:rPr>
          <w:rFonts w:ascii="Arial" w:eastAsia="Arial" w:hAnsi="Arial" w:cs="Arial"/>
        </w:rPr>
        <w:t>) Raw values and estrous cycle breakdown for the data presented in text Figure 4C showing S-C responses in female mice: estrus N=4,1; metestrus N=3,6. (</w:t>
      </w:r>
      <w:r>
        <w:rPr>
          <w:rFonts w:ascii="Arial" w:eastAsia="Arial" w:hAnsi="Arial" w:cs="Arial"/>
          <w:b/>
        </w:rPr>
        <w:t>C,D</w:t>
      </w:r>
      <w:r>
        <w:rPr>
          <w:rFonts w:ascii="Arial" w:eastAsia="Arial" w:hAnsi="Arial" w:cs="Arial"/>
        </w:rPr>
        <w:t>) Dentate gyrus outer molecular layer responses (fEPSP slope) to 10 pulse stimulation of the LPP at 10, 20, and 40 Hz show initial frequency facilitation followed by a decline in response size that is most evident at higher frequencies.</w:t>
      </w:r>
      <w:r>
        <w:rPr>
          <w:rFonts w:ascii="Arial" w:eastAsia="Arial" w:hAnsi="Arial" w:cs="Arial"/>
          <w:b/>
        </w:rPr>
        <w:t xml:space="preserve"> </w:t>
      </w:r>
      <w:r>
        <w:rPr>
          <w:rFonts w:ascii="Arial" w:eastAsia="Arial" w:hAnsi="Arial" w:cs="Arial"/>
        </w:rPr>
        <w:t>(</w:t>
      </w:r>
      <w:r>
        <w:rPr>
          <w:rFonts w:ascii="Arial" w:eastAsia="Arial" w:hAnsi="Arial" w:cs="Arial"/>
          <w:b/>
        </w:rPr>
        <w:t>C</w:t>
      </w:r>
      <w:r>
        <w:rPr>
          <w:rFonts w:ascii="Arial" w:eastAsia="Arial" w:hAnsi="Arial" w:cs="Arial"/>
        </w:rPr>
        <w:t>) Raw values for female rat results presented in text Figure 3D (Numbers of slices per group (N): proestrus N=6,8; estrus N=2,0; metestrus N=2,2; diestrus N=6,6). (</w:t>
      </w:r>
      <w:r>
        <w:rPr>
          <w:rFonts w:ascii="Arial" w:eastAsia="Arial" w:hAnsi="Arial" w:cs="Arial"/>
          <w:b/>
        </w:rPr>
        <w:t>D</w:t>
      </w:r>
      <w:r>
        <w:rPr>
          <w:rFonts w:ascii="Arial" w:eastAsia="Arial" w:hAnsi="Arial" w:cs="Arial"/>
        </w:rPr>
        <w:t xml:space="preserve">) Raw values for female mouse results presented in text Figure 4D (estrus N=3,1; metestrus N=3,5). The N values represent number of slices per group; </w:t>
      </w:r>
      <w:r w:rsidR="00AD228F">
        <w:rPr>
          <w:rFonts w:ascii="Arial" w:eastAsia="Arial" w:hAnsi="Arial" w:cs="Arial"/>
        </w:rPr>
        <w:t xml:space="preserve">group </w:t>
      </w:r>
      <w:r>
        <w:rPr>
          <w:rFonts w:ascii="Arial" w:eastAsia="Arial" w:hAnsi="Arial" w:cs="Arial"/>
        </w:rPr>
        <w:t>mean ± SEM values shown.</w:t>
      </w:r>
    </w:p>
    <w:p w14:paraId="055D4D88" w14:textId="77777777" w:rsidR="00E20867" w:rsidRDefault="00E20867">
      <w:pPr>
        <w:tabs>
          <w:tab w:val="left" w:pos="5837"/>
        </w:tabs>
        <w:spacing w:line="360" w:lineRule="auto"/>
        <w:rPr>
          <w:rFonts w:ascii="Arial" w:eastAsia="Arial" w:hAnsi="Arial" w:cs="Arial"/>
        </w:rPr>
      </w:pPr>
    </w:p>
    <w:p w14:paraId="67740E08" w14:textId="77777777" w:rsidR="00E20867" w:rsidRDefault="00E076CA">
      <w:pPr>
        <w:rPr>
          <w:rFonts w:ascii="Arial" w:eastAsia="Arial" w:hAnsi="Arial" w:cs="Arial"/>
        </w:rPr>
      </w:pPr>
      <w:r>
        <w:br w:type="page"/>
      </w:r>
    </w:p>
    <w:p w14:paraId="6A4B2883" w14:textId="77777777" w:rsidR="00E20867" w:rsidRDefault="00E076CA">
      <w:pPr>
        <w:tabs>
          <w:tab w:val="left" w:pos="5837"/>
        </w:tabs>
        <w:spacing w:line="360" w:lineRule="auto"/>
        <w:jc w:val="center"/>
        <w:rPr>
          <w:rFonts w:ascii="Arial" w:eastAsia="Arial" w:hAnsi="Arial" w:cs="Arial"/>
        </w:rPr>
      </w:pPr>
      <w:r>
        <w:rPr>
          <w:rFonts w:ascii="Arial" w:eastAsia="Arial" w:hAnsi="Arial" w:cs="Arial"/>
          <w:noProof/>
        </w:rPr>
        <w:lastRenderedPageBreak/>
        <w:drawing>
          <wp:anchor distT="0" distB="0" distL="114300" distR="114300" simplePos="0" relativeHeight="251659264" behindDoc="0" locked="0" layoutInCell="1" hidden="0" allowOverlap="1" wp14:anchorId="325FBC11" wp14:editId="1DBEB4DD">
            <wp:simplePos x="0" y="0"/>
            <wp:positionH relativeFrom="margin">
              <wp:align>center</wp:align>
            </wp:positionH>
            <wp:positionV relativeFrom="margin">
              <wp:align>top</wp:align>
            </wp:positionV>
            <wp:extent cx="6109970" cy="6186805"/>
            <wp:effectExtent l="0" t="0" r="11430" b="10795"/>
            <wp:wrapSquare wrapText="bothSides" distT="0" distB="0" distL="114300" distR="114300"/>
            <wp:docPr id="8" name="image6.png" descr="X:\PubCentral\22. THC development\for Neurobiology and disease\resubmission figures\Supplemental Figure_3-01.png"/>
            <wp:cNvGraphicFramePr/>
            <a:graphic xmlns:a="http://schemas.openxmlformats.org/drawingml/2006/main">
              <a:graphicData uri="http://schemas.openxmlformats.org/drawingml/2006/picture">
                <pic:pic xmlns:pic="http://schemas.openxmlformats.org/drawingml/2006/picture">
                  <pic:nvPicPr>
                    <pic:cNvPr id="0" name="image6.png" descr="X:\PubCentral\22. THC development\for Neurobiology and disease\resubmission figures\Supplemental Figure_3-01.png"/>
                    <pic:cNvPicPr preferRelativeResize="0"/>
                  </pic:nvPicPr>
                  <pic:blipFill>
                    <a:blip r:embed="rId10"/>
                    <a:srcRect/>
                    <a:stretch>
                      <a:fillRect/>
                    </a:stretch>
                  </pic:blipFill>
                  <pic:spPr>
                    <a:xfrm>
                      <a:off x="0" y="0"/>
                      <a:ext cx="6110342" cy="6187466"/>
                    </a:xfrm>
                    <a:prstGeom prst="rect">
                      <a:avLst/>
                    </a:prstGeom>
                    <a:ln/>
                  </pic:spPr>
                </pic:pic>
              </a:graphicData>
            </a:graphic>
            <wp14:sizeRelH relativeFrom="margin">
              <wp14:pctWidth>0</wp14:pctWidth>
            </wp14:sizeRelH>
            <wp14:sizeRelV relativeFrom="margin">
              <wp14:pctHeight>0</wp14:pctHeight>
            </wp14:sizeRelV>
          </wp:anchor>
        </w:drawing>
      </w:r>
    </w:p>
    <w:p w14:paraId="605E2119" w14:textId="77777777" w:rsidR="00E20867" w:rsidRDefault="00E076CA" w:rsidP="00E076CA">
      <w:pPr>
        <w:tabs>
          <w:tab w:val="left" w:pos="5837"/>
        </w:tabs>
        <w:rPr>
          <w:rFonts w:ascii="Arial" w:eastAsia="Arial" w:hAnsi="Arial" w:cs="Arial"/>
          <w:color w:val="205968"/>
        </w:rPr>
      </w:pPr>
      <w:r>
        <w:rPr>
          <w:rFonts w:ascii="Arial" w:eastAsia="Arial" w:hAnsi="Arial" w:cs="Arial"/>
          <w:b/>
        </w:rPr>
        <w:t xml:space="preserve">Supplemental Figure 3. THC treatment effects on theta burst responses: Graphs show raw values for the size of theta burst responses and the breakdown of estrous cycle stage for female cases </w:t>
      </w:r>
      <w:r w:rsidR="00AD228F">
        <w:rPr>
          <w:rFonts w:ascii="Arial" w:eastAsia="Arial" w:hAnsi="Arial" w:cs="Arial"/>
          <w:b/>
        </w:rPr>
        <w:t xml:space="preserve">(that are shown </w:t>
      </w:r>
      <w:r>
        <w:rPr>
          <w:rFonts w:ascii="Arial" w:eastAsia="Arial" w:hAnsi="Arial" w:cs="Arial"/>
          <w:b/>
        </w:rPr>
        <w:t>pooled by treatment group in text Figures 5 and 6</w:t>
      </w:r>
      <w:r w:rsidR="00AD228F">
        <w:rPr>
          <w:rFonts w:ascii="Arial" w:eastAsia="Arial" w:hAnsi="Arial" w:cs="Arial"/>
          <w:b/>
        </w:rPr>
        <w:t>)</w:t>
      </w:r>
      <w:r>
        <w:rPr>
          <w:rFonts w:ascii="Arial" w:eastAsia="Arial" w:hAnsi="Arial" w:cs="Arial"/>
          <w:b/>
        </w:rPr>
        <w:t xml:space="preserve">. </w:t>
      </w:r>
      <w:r>
        <w:rPr>
          <w:rFonts w:ascii="Arial" w:eastAsia="Arial" w:hAnsi="Arial" w:cs="Arial"/>
        </w:rPr>
        <w:t>(</w:t>
      </w:r>
      <w:r>
        <w:rPr>
          <w:rFonts w:ascii="Arial" w:eastAsia="Arial" w:hAnsi="Arial" w:cs="Arial"/>
          <w:b/>
        </w:rPr>
        <w:t>A-G, I</w:t>
      </w:r>
      <w:r>
        <w:rPr>
          <w:rFonts w:ascii="Arial" w:eastAsia="Arial" w:hAnsi="Arial" w:cs="Arial"/>
        </w:rPr>
        <w:t>) Male and female rodents were given either THC or vehicle during adolescence and then tested for LTP of the Schaffer-collateral (S-C) CA1 projection using theta burst stimulation (TBS) (i.e., ten bursts delivered at 5 Hz with each burst consisting of four pulses at 100 Hz). (</w:t>
      </w:r>
      <w:r>
        <w:rPr>
          <w:rFonts w:ascii="Arial" w:eastAsia="Arial" w:hAnsi="Arial" w:cs="Arial"/>
          <w:b/>
        </w:rPr>
        <w:t>A</w:t>
      </w:r>
      <w:r>
        <w:rPr>
          <w:rFonts w:ascii="Arial" w:eastAsia="Arial" w:hAnsi="Arial" w:cs="Arial"/>
        </w:rPr>
        <w:t>) THC treatment did not influence the size (fEPSP slope) of CA1 responses to individual pulses within the first burst (2-way ANOVA Interaction: rat F</w:t>
      </w:r>
      <w:r>
        <w:rPr>
          <w:rFonts w:ascii="Arial" w:eastAsia="Arial" w:hAnsi="Arial" w:cs="Arial"/>
          <w:vertAlign w:val="subscript"/>
        </w:rPr>
        <w:t>3,36</w:t>
      </w:r>
      <w:r>
        <w:rPr>
          <w:rFonts w:ascii="Arial" w:eastAsia="Arial" w:hAnsi="Arial" w:cs="Arial"/>
        </w:rPr>
        <w:t>=0.67 P=0.58; mouse F</w:t>
      </w:r>
      <w:r>
        <w:rPr>
          <w:rFonts w:ascii="Arial" w:eastAsia="Arial" w:hAnsi="Arial" w:cs="Arial"/>
          <w:vertAlign w:val="subscript"/>
        </w:rPr>
        <w:t>3,30</w:t>
      </w:r>
      <w:r>
        <w:rPr>
          <w:rFonts w:ascii="Arial" w:eastAsia="Arial" w:hAnsi="Arial" w:cs="Arial"/>
        </w:rPr>
        <w:t>=0.92 P=0.45) (rat N=7/group, mouse N=6/group). (</w:t>
      </w:r>
      <w:r>
        <w:rPr>
          <w:rFonts w:ascii="Arial" w:eastAsia="Arial" w:hAnsi="Arial" w:cs="Arial"/>
          <w:b/>
        </w:rPr>
        <w:t>B,C</w:t>
      </w:r>
      <w:r>
        <w:rPr>
          <w:rFonts w:ascii="Arial" w:eastAsia="Arial" w:hAnsi="Arial" w:cs="Arial"/>
        </w:rPr>
        <w:t xml:space="preserve">) Measures of the area of individual burst responses </w:t>
      </w:r>
      <w:r>
        <w:rPr>
          <w:rFonts w:ascii="Arial" w:eastAsia="Arial" w:hAnsi="Arial" w:cs="Arial"/>
        </w:rPr>
        <w:lastRenderedPageBreak/>
        <w:t>during the 10 burst train show that adolescent THC treatment did not influence the overall response size in male rats (B; F</w:t>
      </w:r>
      <w:r>
        <w:rPr>
          <w:rFonts w:ascii="Arial" w:eastAsia="Arial" w:hAnsi="Arial" w:cs="Arial"/>
          <w:vertAlign w:val="subscript"/>
        </w:rPr>
        <w:t>9,108</w:t>
      </w:r>
      <w:r>
        <w:rPr>
          <w:rFonts w:ascii="Arial" w:eastAsia="Arial" w:hAnsi="Arial" w:cs="Arial"/>
        </w:rPr>
        <w:t>=0.37 P=0.95) but did enhance within-train facilitation of burst responses in male mice (C; F</w:t>
      </w:r>
      <w:r>
        <w:rPr>
          <w:rFonts w:ascii="Arial" w:eastAsia="Arial" w:hAnsi="Arial" w:cs="Arial"/>
          <w:vertAlign w:val="subscript"/>
        </w:rPr>
        <w:t>4,40</w:t>
      </w:r>
      <w:r>
        <w:rPr>
          <w:rFonts w:ascii="Arial" w:eastAsia="Arial" w:hAnsi="Arial" w:cs="Arial"/>
        </w:rPr>
        <w:t>=5.25 P=0.0017). (</w:t>
      </w:r>
      <w:r>
        <w:rPr>
          <w:rFonts w:ascii="Arial" w:eastAsia="Arial" w:hAnsi="Arial" w:cs="Arial"/>
          <w:b/>
        </w:rPr>
        <w:t>D-F</w:t>
      </w:r>
      <w:r>
        <w:rPr>
          <w:rFonts w:ascii="Arial" w:eastAsia="Arial" w:hAnsi="Arial" w:cs="Arial"/>
        </w:rPr>
        <w:t>) Plots show raw values for the size of single burst responses for the first burst (</w:t>
      </w:r>
      <w:r>
        <w:rPr>
          <w:rFonts w:ascii="Arial" w:eastAsia="Arial" w:hAnsi="Arial" w:cs="Arial"/>
          <w:b/>
        </w:rPr>
        <w:t>D</w:t>
      </w:r>
      <w:r>
        <w:rPr>
          <w:rFonts w:ascii="Arial" w:eastAsia="Arial" w:hAnsi="Arial" w:cs="Arial"/>
        </w:rPr>
        <w:t>) and for a 10 burst train (</w:t>
      </w:r>
      <w:r>
        <w:rPr>
          <w:rFonts w:ascii="Arial" w:eastAsia="Arial" w:hAnsi="Arial" w:cs="Arial"/>
          <w:b/>
        </w:rPr>
        <w:t>E,F</w:t>
      </w:r>
      <w:r>
        <w:rPr>
          <w:rFonts w:ascii="Arial" w:eastAsia="Arial" w:hAnsi="Arial" w:cs="Arial"/>
        </w:rPr>
        <w:t>) for females with values plotted by estrous stage (these show estrous breakdown for pooled data presented in text figures 5B-5F); E and F show within-train frequency facilitation in all groups.  The N values for data in D-F (vehicle, THC) are as follows. Rat: proestrus N=5,4; estrus N=1,4; metestrus N=3,3; diestrus N=2,2. Mouse: estrus N=21; metestrus N=4,4; diestrus N=1,2. The groups were not powered to determine the significance of estrous state among these low circulating estrogen stages (estrus, metestrus, diestrus), thus statistical comparisons of the stages were not performed. (</w:t>
      </w:r>
      <w:r>
        <w:rPr>
          <w:rFonts w:ascii="Arial" w:eastAsia="Arial" w:hAnsi="Arial" w:cs="Arial"/>
          <w:b/>
        </w:rPr>
        <w:t>G-J</w:t>
      </w:r>
      <w:r>
        <w:rPr>
          <w:rFonts w:ascii="Arial" w:eastAsia="Arial" w:hAnsi="Arial" w:cs="Arial"/>
        </w:rPr>
        <w:t xml:space="preserve">) A 10 burst train of TBS (for S-C) or HFS (for LPP) was used to induce LTP in female rodent slices; bar graphs summarize the mean ± SEM fEPSP slope for single pulse responses recorded from 55-60 minutes after induction. Plots show raw values with estrous cycle breakdown for female LTP data presented in text Figure 6C (G), text Figure 6H (H), text Figure </w:t>
      </w:r>
      <w:r w:rsidR="00AD228F">
        <w:rPr>
          <w:rFonts w:ascii="Arial" w:eastAsia="Arial" w:hAnsi="Arial" w:cs="Arial"/>
        </w:rPr>
        <w:t>6D (I) and text Figure 6I (J). Group m</w:t>
      </w:r>
      <w:r>
        <w:rPr>
          <w:rFonts w:ascii="Arial" w:eastAsia="Arial" w:hAnsi="Arial" w:cs="Arial"/>
        </w:rPr>
        <w:t xml:space="preserve">ean ± SEM values shown; the N represents the number of slices evaluated per group. </w:t>
      </w:r>
    </w:p>
    <w:p w14:paraId="1628B16C" w14:textId="77777777" w:rsidR="00E20867" w:rsidRDefault="00E20867">
      <w:pPr>
        <w:tabs>
          <w:tab w:val="left" w:pos="5837"/>
        </w:tabs>
        <w:spacing w:line="360" w:lineRule="auto"/>
        <w:rPr>
          <w:rFonts w:ascii="Arial" w:eastAsia="Arial" w:hAnsi="Arial" w:cs="Arial"/>
          <w:color w:val="205968"/>
        </w:rPr>
      </w:pPr>
    </w:p>
    <w:p w14:paraId="322B40F2" w14:textId="77777777" w:rsidR="00E20867" w:rsidRDefault="00E20867">
      <w:pPr>
        <w:tabs>
          <w:tab w:val="left" w:pos="5837"/>
        </w:tabs>
        <w:spacing w:line="360" w:lineRule="auto"/>
        <w:rPr>
          <w:rFonts w:ascii="Arial" w:eastAsia="Arial" w:hAnsi="Arial" w:cs="Arial"/>
          <w:color w:val="205968"/>
        </w:rPr>
      </w:pPr>
    </w:p>
    <w:p w14:paraId="40674D0B" w14:textId="77777777" w:rsidR="00E20867" w:rsidRDefault="00E20867">
      <w:pPr>
        <w:tabs>
          <w:tab w:val="left" w:pos="5837"/>
        </w:tabs>
        <w:spacing w:line="360" w:lineRule="auto"/>
        <w:rPr>
          <w:rFonts w:ascii="Arial" w:eastAsia="Arial" w:hAnsi="Arial" w:cs="Arial"/>
          <w:color w:val="205968"/>
        </w:rPr>
      </w:pPr>
    </w:p>
    <w:p w14:paraId="560383A0" w14:textId="77777777" w:rsidR="00E20867" w:rsidRDefault="00E20867">
      <w:pPr>
        <w:tabs>
          <w:tab w:val="left" w:pos="5837"/>
        </w:tabs>
        <w:spacing w:line="360" w:lineRule="auto"/>
        <w:rPr>
          <w:rFonts w:ascii="Arial" w:eastAsia="Arial" w:hAnsi="Arial" w:cs="Arial"/>
          <w:color w:val="205968"/>
        </w:rPr>
      </w:pPr>
    </w:p>
    <w:p w14:paraId="5FDD68CA" w14:textId="77777777" w:rsidR="00E20867" w:rsidRDefault="00E20867">
      <w:pPr>
        <w:tabs>
          <w:tab w:val="left" w:pos="5837"/>
        </w:tabs>
        <w:spacing w:line="360" w:lineRule="auto"/>
        <w:rPr>
          <w:rFonts w:ascii="Arial" w:eastAsia="Arial" w:hAnsi="Arial" w:cs="Arial"/>
          <w:color w:val="205968"/>
        </w:rPr>
      </w:pPr>
    </w:p>
    <w:p w14:paraId="4C09FB27" w14:textId="77777777" w:rsidR="00E20867" w:rsidRDefault="00E20867">
      <w:pPr>
        <w:tabs>
          <w:tab w:val="left" w:pos="5837"/>
        </w:tabs>
        <w:spacing w:line="360" w:lineRule="auto"/>
        <w:rPr>
          <w:rFonts w:ascii="Arial" w:eastAsia="Arial" w:hAnsi="Arial" w:cs="Arial"/>
          <w:color w:val="205968"/>
        </w:rPr>
      </w:pPr>
    </w:p>
    <w:p w14:paraId="35F4E4FB" w14:textId="77777777" w:rsidR="00E20867" w:rsidRDefault="00E076CA">
      <w:pPr>
        <w:tabs>
          <w:tab w:val="left" w:pos="5837"/>
        </w:tabs>
        <w:spacing w:line="360" w:lineRule="auto"/>
        <w:rPr>
          <w:rFonts w:ascii="Arial" w:eastAsia="Arial" w:hAnsi="Arial" w:cs="Arial"/>
          <w:color w:val="205968"/>
        </w:rPr>
      </w:pPr>
      <w:r>
        <w:rPr>
          <w:rFonts w:ascii="Arial" w:eastAsia="Arial" w:hAnsi="Arial" w:cs="Arial"/>
          <w:noProof/>
          <w:color w:val="205968"/>
        </w:rPr>
        <w:lastRenderedPageBreak/>
        <w:drawing>
          <wp:anchor distT="0" distB="0" distL="114300" distR="114300" simplePos="0" relativeHeight="251660288" behindDoc="0" locked="0" layoutInCell="1" hidden="0" allowOverlap="1" wp14:anchorId="382D5036" wp14:editId="3D6AFDDC">
            <wp:simplePos x="0" y="0"/>
            <wp:positionH relativeFrom="margin">
              <wp:align>center</wp:align>
            </wp:positionH>
            <wp:positionV relativeFrom="margin">
              <wp:align>top</wp:align>
            </wp:positionV>
            <wp:extent cx="5143500" cy="5991225"/>
            <wp:effectExtent l="0" t="0" r="0" b="0"/>
            <wp:wrapTopAndBottom distT="0" dist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143500" cy="5991225"/>
                    </a:xfrm>
                    <a:prstGeom prst="rect">
                      <a:avLst/>
                    </a:prstGeom>
                    <a:ln/>
                  </pic:spPr>
                </pic:pic>
              </a:graphicData>
            </a:graphic>
          </wp:anchor>
        </w:drawing>
      </w:r>
    </w:p>
    <w:p w14:paraId="0F01348C" w14:textId="2CA275DF" w:rsidR="00E20867" w:rsidRDefault="00E076CA" w:rsidP="00E076CA">
      <w:pPr>
        <w:rPr>
          <w:rFonts w:ascii="Arial" w:eastAsia="Arial" w:hAnsi="Arial" w:cs="Arial"/>
        </w:rPr>
      </w:pPr>
      <w:r>
        <w:rPr>
          <w:rFonts w:ascii="Arial" w:eastAsia="Arial" w:hAnsi="Arial" w:cs="Arial"/>
          <w:b/>
        </w:rPr>
        <w:t>Supplemental Figure 4. Raw sampling time measures for rat testing of ‘What’ and ‘Where’ components of episodic memory</w:t>
      </w:r>
      <w:r>
        <w:rPr>
          <w:rFonts w:ascii="Arial" w:eastAsia="Arial" w:hAnsi="Arial" w:cs="Arial"/>
        </w:rPr>
        <w:t xml:space="preserve">. </w:t>
      </w:r>
      <w:r w:rsidR="00434009">
        <w:rPr>
          <w:rFonts w:ascii="Arial" w:eastAsia="Arial" w:hAnsi="Arial" w:cs="Arial"/>
        </w:rPr>
        <w:t>(</w:t>
      </w:r>
      <w:r>
        <w:rPr>
          <w:rFonts w:ascii="Arial" w:eastAsia="Arial" w:hAnsi="Arial" w:cs="Arial"/>
          <w:b/>
        </w:rPr>
        <w:t>A</w:t>
      </w:r>
      <w:r w:rsidR="00434009">
        <w:rPr>
          <w:rFonts w:ascii="Arial" w:eastAsia="Arial" w:hAnsi="Arial" w:cs="Arial"/>
        </w:rPr>
        <w:t>)</w:t>
      </w:r>
      <w:r>
        <w:rPr>
          <w:rFonts w:ascii="Arial" w:eastAsia="Arial" w:hAnsi="Arial" w:cs="Arial"/>
        </w:rPr>
        <w:t xml:space="preserve"> The Serial ‘What’ behavioral paradigm entailed presentation of a sequence of four odor pairs (A:A - D:D) followed by a testing pair (A:E). </w:t>
      </w:r>
      <w:r w:rsidR="00434009">
        <w:rPr>
          <w:rFonts w:ascii="Arial" w:eastAsia="Arial" w:hAnsi="Arial" w:cs="Arial"/>
        </w:rPr>
        <w:t>(</w:t>
      </w:r>
      <w:r>
        <w:rPr>
          <w:rFonts w:ascii="Arial" w:eastAsia="Arial" w:hAnsi="Arial" w:cs="Arial"/>
          <w:b/>
        </w:rPr>
        <w:t>B</w:t>
      </w:r>
      <w:r w:rsidR="00434009">
        <w:rPr>
          <w:rFonts w:ascii="Arial" w:eastAsia="Arial" w:hAnsi="Arial" w:cs="Arial"/>
        </w:rPr>
        <w:t>)</w:t>
      </w:r>
      <w:r>
        <w:rPr>
          <w:rFonts w:ascii="Arial" w:eastAsia="Arial" w:hAnsi="Arial" w:cs="Arial"/>
        </w:rPr>
        <w:t xml:space="preserve"> Raw values for male rat testing on the serial ‘What’ task shown preferential exploration of the novel odor E compared to the familiar odor A in vehicle- and THC-treated groups thereby denoting learning by both (Veh: n= 9, t</w:t>
      </w:r>
      <w:r>
        <w:rPr>
          <w:rFonts w:ascii="Arial" w:eastAsia="Arial" w:hAnsi="Arial" w:cs="Arial"/>
          <w:vertAlign w:val="subscript"/>
        </w:rPr>
        <w:t>8</w:t>
      </w:r>
      <w:r>
        <w:rPr>
          <w:rFonts w:ascii="Arial" w:eastAsia="Arial" w:hAnsi="Arial" w:cs="Arial"/>
        </w:rPr>
        <w:t>= 3.43, **p=0.009; THC: n=10, t</w:t>
      </w:r>
      <w:r>
        <w:rPr>
          <w:rFonts w:ascii="Arial" w:eastAsia="Arial" w:hAnsi="Arial" w:cs="Arial"/>
          <w:vertAlign w:val="subscript"/>
        </w:rPr>
        <w:t>9</w:t>
      </w:r>
      <w:r>
        <w:rPr>
          <w:rFonts w:ascii="Arial" w:eastAsia="Arial" w:hAnsi="Arial" w:cs="Arial"/>
        </w:rPr>
        <w:t xml:space="preserve">=3.59, **p=0.006). In the plot, lines link the times sampling familiar odor A and novel odor E for the same animal. </w:t>
      </w:r>
      <w:r w:rsidR="00434009">
        <w:rPr>
          <w:rFonts w:ascii="Arial" w:eastAsia="Arial" w:hAnsi="Arial" w:cs="Arial"/>
        </w:rPr>
        <w:t>(</w:t>
      </w:r>
      <w:r>
        <w:rPr>
          <w:rFonts w:ascii="Arial" w:eastAsia="Arial" w:hAnsi="Arial" w:cs="Arial"/>
          <w:b/>
        </w:rPr>
        <w:t>C</w:t>
      </w:r>
      <w:r w:rsidR="00434009">
        <w:rPr>
          <w:rFonts w:ascii="Arial" w:eastAsia="Arial" w:hAnsi="Arial" w:cs="Arial"/>
        </w:rPr>
        <w:t>)</w:t>
      </w:r>
      <w:r>
        <w:rPr>
          <w:rFonts w:ascii="Arial" w:eastAsia="Arial" w:hAnsi="Arial" w:cs="Arial"/>
          <w:i/>
        </w:rPr>
        <w:t xml:space="preserve"> </w:t>
      </w:r>
      <w:r>
        <w:rPr>
          <w:rFonts w:ascii="Arial" w:eastAsia="Arial" w:hAnsi="Arial" w:cs="Arial"/>
        </w:rPr>
        <w:t xml:space="preserve"> Vehicle-treated female rats preferentially sampled novel odor E compared to familiar odor A whether in estrus or diestrus, whereas THC-treated females demonstrated no preference between the two odors whether in diestrus or estrus (Veh: n= 16, t</w:t>
      </w:r>
      <w:r>
        <w:rPr>
          <w:rFonts w:ascii="Arial" w:eastAsia="Arial" w:hAnsi="Arial" w:cs="Arial"/>
          <w:vertAlign w:val="subscript"/>
        </w:rPr>
        <w:t>15</w:t>
      </w:r>
      <w:r>
        <w:rPr>
          <w:rFonts w:ascii="Arial" w:eastAsia="Arial" w:hAnsi="Arial" w:cs="Arial"/>
        </w:rPr>
        <w:t xml:space="preserve">= 2.14, *p=0.04; THC: n=15, </w:t>
      </w:r>
      <w:r>
        <w:rPr>
          <w:rFonts w:ascii="Arial" w:eastAsia="Arial" w:hAnsi="Arial" w:cs="Arial"/>
        </w:rPr>
        <w:lastRenderedPageBreak/>
        <w:t>t</w:t>
      </w:r>
      <w:r>
        <w:rPr>
          <w:rFonts w:ascii="Arial" w:eastAsia="Arial" w:hAnsi="Arial" w:cs="Arial"/>
          <w:vertAlign w:val="subscript"/>
        </w:rPr>
        <w:t>14</w:t>
      </w:r>
      <w:r>
        <w:rPr>
          <w:rFonts w:ascii="Arial" w:eastAsia="Arial" w:hAnsi="Arial" w:cs="Arial"/>
        </w:rPr>
        <w:t>=0.50, p=0.62).</w:t>
      </w:r>
      <w:r w:rsidR="00434009">
        <w:rPr>
          <w:rFonts w:ascii="Arial" w:eastAsia="Arial" w:hAnsi="Arial" w:cs="Arial"/>
          <w:b/>
        </w:rPr>
        <w:t xml:space="preserve">  </w:t>
      </w:r>
      <w:r w:rsidR="00434009" w:rsidRPr="00434009">
        <w:rPr>
          <w:rFonts w:ascii="Arial" w:eastAsia="Arial" w:hAnsi="Arial" w:cs="Arial"/>
        </w:rPr>
        <w:t>(</w:t>
      </w:r>
      <w:r w:rsidR="00434009">
        <w:rPr>
          <w:rFonts w:ascii="Arial" w:eastAsia="Arial" w:hAnsi="Arial" w:cs="Arial"/>
          <w:b/>
        </w:rPr>
        <w:t>D</w:t>
      </w:r>
      <w:r w:rsidR="00434009" w:rsidRPr="00434009">
        <w:rPr>
          <w:rFonts w:ascii="Arial" w:eastAsia="Arial" w:hAnsi="Arial" w:cs="Arial"/>
        </w:rPr>
        <w:t>)</w:t>
      </w:r>
      <w:r>
        <w:rPr>
          <w:rFonts w:ascii="Arial" w:eastAsia="Arial" w:hAnsi="Arial" w:cs="Arial"/>
          <w:b/>
        </w:rPr>
        <w:t xml:space="preserve"> </w:t>
      </w:r>
      <w:r>
        <w:rPr>
          <w:rFonts w:ascii="Arial" w:eastAsia="Arial" w:hAnsi="Arial" w:cs="Arial"/>
        </w:rPr>
        <w:t xml:space="preserve">2-odor discrimination paradigm schematic. </w:t>
      </w:r>
      <w:r w:rsidR="00434009">
        <w:rPr>
          <w:rFonts w:ascii="Arial" w:eastAsia="Arial" w:hAnsi="Arial" w:cs="Arial"/>
        </w:rPr>
        <w:t>(</w:t>
      </w:r>
      <w:r>
        <w:rPr>
          <w:rFonts w:ascii="Arial" w:eastAsia="Arial" w:hAnsi="Arial" w:cs="Arial"/>
          <w:b/>
        </w:rPr>
        <w:t>E-F</w:t>
      </w:r>
      <w:r w:rsidR="00434009" w:rsidRPr="00434009">
        <w:rPr>
          <w:rFonts w:ascii="Arial" w:eastAsia="Arial" w:hAnsi="Arial" w:cs="Arial"/>
        </w:rPr>
        <w:t>)</w:t>
      </w:r>
      <w:r>
        <w:rPr>
          <w:rFonts w:ascii="Arial" w:eastAsia="Arial" w:hAnsi="Arial" w:cs="Arial"/>
          <w:b/>
        </w:rPr>
        <w:t xml:space="preserve"> </w:t>
      </w:r>
      <w:r>
        <w:rPr>
          <w:rFonts w:ascii="Arial" w:eastAsia="Arial" w:hAnsi="Arial" w:cs="Arial"/>
        </w:rPr>
        <w:t>In the 2-odor discrimination, all rat groups, regardless of treatment and sex (and for females estrous stage) spent more time exploring novel odor G than familiar odor F (Male: Veh: n=8 , t</w:t>
      </w:r>
      <w:r>
        <w:rPr>
          <w:rFonts w:ascii="Arial" w:eastAsia="Arial" w:hAnsi="Arial" w:cs="Arial"/>
          <w:vertAlign w:val="subscript"/>
        </w:rPr>
        <w:t>7</w:t>
      </w:r>
      <w:r>
        <w:rPr>
          <w:rFonts w:ascii="Arial" w:eastAsia="Arial" w:hAnsi="Arial" w:cs="Arial"/>
        </w:rPr>
        <w:t>=5.75 , ***p&lt;0.001 ; THC n=8 , t</w:t>
      </w:r>
      <w:r>
        <w:rPr>
          <w:rFonts w:ascii="Arial" w:eastAsia="Arial" w:hAnsi="Arial" w:cs="Arial"/>
          <w:vertAlign w:val="subscript"/>
        </w:rPr>
        <w:t>7</w:t>
      </w:r>
      <w:r>
        <w:rPr>
          <w:rFonts w:ascii="Arial" w:eastAsia="Arial" w:hAnsi="Arial" w:cs="Arial"/>
        </w:rPr>
        <w:t>=3.56 , **p&lt;0.01; Female: Veh: n=8 , t</w:t>
      </w:r>
      <w:r>
        <w:rPr>
          <w:rFonts w:ascii="Arial" w:eastAsia="Arial" w:hAnsi="Arial" w:cs="Arial"/>
          <w:vertAlign w:val="subscript"/>
        </w:rPr>
        <w:t>7</w:t>
      </w:r>
      <w:r>
        <w:rPr>
          <w:rFonts w:ascii="Arial" w:eastAsia="Arial" w:hAnsi="Arial" w:cs="Arial"/>
        </w:rPr>
        <w:t>=5.04 , **p=0.001 ; THC n=6 , t</w:t>
      </w:r>
      <w:r>
        <w:rPr>
          <w:rFonts w:ascii="Arial" w:eastAsia="Arial" w:hAnsi="Arial" w:cs="Arial"/>
          <w:vertAlign w:val="subscript"/>
        </w:rPr>
        <w:t>5</w:t>
      </w:r>
      <w:r>
        <w:rPr>
          <w:rFonts w:ascii="Arial" w:eastAsia="Arial" w:hAnsi="Arial" w:cs="Arial"/>
        </w:rPr>
        <w:t xml:space="preserve">=4.76 , **p=0.005). </w:t>
      </w:r>
      <w:r w:rsidR="00434009">
        <w:rPr>
          <w:rFonts w:ascii="Arial" w:eastAsia="Arial" w:hAnsi="Arial" w:cs="Arial"/>
        </w:rPr>
        <w:t>(</w:t>
      </w:r>
      <w:r>
        <w:rPr>
          <w:rFonts w:ascii="Arial" w:eastAsia="Arial" w:hAnsi="Arial" w:cs="Arial"/>
          <w:b/>
        </w:rPr>
        <w:t>G</w:t>
      </w:r>
      <w:r w:rsidR="00434009" w:rsidRPr="00434009">
        <w:rPr>
          <w:rFonts w:ascii="Arial" w:eastAsia="Arial" w:hAnsi="Arial" w:cs="Arial"/>
        </w:rPr>
        <w:t>)</w:t>
      </w:r>
      <w:r>
        <w:rPr>
          <w:rFonts w:ascii="Arial" w:eastAsia="Arial" w:hAnsi="Arial" w:cs="Arial"/>
          <w:b/>
        </w:rPr>
        <w:t xml:space="preserve"> </w:t>
      </w:r>
      <w:r>
        <w:rPr>
          <w:rFonts w:ascii="Arial" w:eastAsia="Arial" w:hAnsi="Arial" w:cs="Arial"/>
        </w:rPr>
        <w:t xml:space="preserve">Object Location Memory (OLM) task schematic. </w:t>
      </w:r>
      <w:r w:rsidR="00434009">
        <w:rPr>
          <w:rFonts w:ascii="Arial" w:eastAsia="Arial" w:hAnsi="Arial" w:cs="Arial"/>
        </w:rPr>
        <w:t>(</w:t>
      </w:r>
      <w:r>
        <w:rPr>
          <w:rFonts w:ascii="Arial" w:eastAsia="Arial" w:hAnsi="Arial" w:cs="Arial"/>
          <w:b/>
        </w:rPr>
        <w:t>H</w:t>
      </w:r>
      <w:r w:rsidR="00434009">
        <w:rPr>
          <w:rFonts w:ascii="Arial" w:eastAsia="Arial" w:hAnsi="Arial" w:cs="Arial"/>
        </w:rPr>
        <w:t>)</w:t>
      </w:r>
      <w:r>
        <w:rPr>
          <w:rFonts w:ascii="Arial" w:eastAsia="Arial" w:hAnsi="Arial" w:cs="Arial"/>
        </w:rPr>
        <w:t xml:space="preserve"> In the OLM task, vehicle- and THC-treated male rats spent more time interacting with a novel-location (Moved) object than the familiar location object (Male: Veh: n=14 , t</w:t>
      </w:r>
      <w:r>
        <w:rPr>
          <w:rFonts w:ascii="Arial" w:eastAsia="Arial" w:hAnsi="Arial" w:cs="Arial"/>
          <w:vertAlign w:val="subscript"/>
        </w:rPr>
        <w:t>13</w:t>
      </w:r>
      <w:r>
        <w:rPr>
          <w:rFonts w:ascii="Arial" w:eastAsia="Arial" w:hAnsi="Arial" w:cs="Arial"/>
        </w:rPr>
        <w:t>=2.73, *p=0.017 ; THC n=18 , t</w:t>
      </w:r>
      <w:r>
        <w:rPr>
          <w:rFonts w:ascii="Arial" w:eastAsia="Arial" w:hAnsi="Arial" w:cs="Arial"/>
          <w:vertAlign w:val="subscript"/>
        </w:rPr>
        <w:t>17</w:t>
      </w:r>
      <w:r>
        <w:rPr>
          <w:rFonts w:ascii="Arial" w:eastAsia="Arial" w:hAnsi="Arial" w:cs="Arial"/>
        </w:rPr>
        <w:t xml:space="preserve">=2.50 , *p=0.023; paired t-test). </w:t>
      </w:r>
      <w:r w:rsidR="00434009">
        <w:rPr>
          <w:rFonts w:ascii="Arial" w:eastAsia="Arial" w:hAnsi="Arial" w:cs="Arial"/>
        </w:rPr>
        <w:t>(</w:t>
      </w:r>
      <w:r>
        <w:rPr>
          <w:rFonts w:ascii="Arial" w:eastAsia="Arial" w:hAnsi="Arial" w:cs="Arial"/>
          <w:b/>
        </w:rPr>
        <w:t>I</w:t>
      </w:r>
      <w:r w:rsidR="00434009">
        <w:rPr>
          <w:rFonts w:ascii="Arial" w:eastAsia="Arial" w:hAnsi="Arial" w:cs="Arial"/>
        </w:rPr>
        <w:t>)</w:t>
      </w:r>
      <w:r>
        <w:rPr>
          <w:rFonts w:ascii="Arial" w:eastAsia="Arial" w:hAnsi="Arial" w:cs="Arial"/>
        </w:rPr>
        <w:t xml:space="preserve"> In the OLM task, vehicle-treated female rats spent more time exploring the moved object compared to the familiar-location object at testing regardless of estrous stage whereas females exposed to THC during adolescence did not preferentially exp</w:t>
      </w:r>
      <w:r w:rsidR="00AD228F">
        <w:rPr>
          <w:rFonts w:ascii="Arial" w:eastAsia="Arial" w:hAnsi="Arial" w:cs="Arial"/>
        </w:rPr>
        <w:t>l</w:t>
      </w:r>
      <w:r>
        <w:rPr>
          <w:rFonts w:ascii="Arial" w:eastAsia="Arial" w:hAnsi="Arial" w:cs="Arial"/>
        </w:rPr>
        <w:t>ore the moved objec</w:t>
      </w:r>
      <w:r w:rsidR="00434009">
        <w:rPr>
          <w:rFonts w:ascii="Arial" w:eastAsia="Arial" w:hAnsi="Arial" w:cs="Arial"/>
        </w:rPr>
        <w:t>t at testing (Female: Veh: n=12</w:t>
      </w:r>
      <w:r>
        <w:rPr>
          <w:rFonts w:ascii="Arial" w:eastAsia="Arial" w:hAnsi="Arial" w:cs="Arial"/>
        </w:rPr>
        <w:t>, t</w:t>
      </w:r>
      <w:r>
        <w:rPr>
          <w:rFonts w:ascii="Arial" w:eastAsia="Arial" w:hAnsi="Arial" w:cs="Arial"/>
          <w:vertAlign w:val="subscript"/>
        </w:rPr>
        <w:t>11</w:t>
      </w:r>
      <w:r w:rsidR="00434009">
        <w:rPr>
          <w:rFonts w:ascii="Arial" w:eastAsia="Arial" w:hAnsi="Arial" w:cs="Arial"/>
        </w:rPr>
        <w:t>=5.37, ***p=0.002</w:t>
      </w:r>
      <w:r w:rsidR="00167484">
        <w:rPr>
          <w:rFonts w:ascii="Arial" w:eastAsia="Arial" w:hAnsi="Arial" w:cs="Arial"/>
        </w:rPr>
        <w:t>; THC n=10</w:t>
      </w:r>
      <w:r>
        <w:rPr>
          <w:rFonts w:ascii="Arial" w:eastAsia="Arial" w:hAnsi="Arial" w:cs="Arial"/>
        </w:rPr>
        <w:t>, t</w:t>
      </w:r>
      <w:r>
        <w:rPr>
          <w:rFonts w:ascii="Arial" w:eastAsia="Arial" w:hAnsi="Arial" w:cs="Arial"/>
          <w:vertAlign w:val="subscript"/>
        </w:rPr>
        <w:t>9</w:t>
      </w:r>
      <w:r>
        <w:rPr>
          <w:rFonts w:ascii="Arial" w:eastAsia="Arial" w:hAnsi="Arial" w:cs="Arial"/>
        </w:rPr>
        <w:t>=0.529, p=0.61; paired t-test within each group). In all panels, individual animal values are shown.</w:t>
      </w:r>
    </w:p>
    <w:p w14:paraId="3C499DA6" w14:textId="77777777" w:rsidR="00E20867" w:rsidRDefault="00E20867">
      <w:pPr>
        <w:tabs>
          <w:tab w:val="left" w:pos="5837"/>
        </w:tabs>
        <w:spacing w:line="360" w:lineRule="auto"/>
        <w:rPr>
          <w:rFonts w:ascii="Arial" w:eastAsia="Arial" w:hAnsi="Arial" w:cs="Arial"/>
          <w:color w:val="205968"/>
        </w:rPr>
      </w:pPr>
    </w:p>
    <w:p w14:paraId="6F31CB62" w14:textId="77777777" w:rsidR="00E20867" w:rsidRDefault="00E20867">
      <w:pPr>
        <w:tabs>
          <w:tab w:val="left" w:pos="5837"/>
        </w:tabs>
        <w:spacing w:line="360" w:lineRule="auto"/>
        <w:rPr>
          <w:rFonts w:ascii="Arial" w:eastAsia="Arial" w:hAnsi="Arial" w:cs="Arial"/>
          <w:color w:val="205968"/>
        </w:rPr>
      </w:pPr>
    </w:p>
    <w:p w14:paraId="645465E3" w14:textId="77777777" w:rsidR="00E20867" w:rsidRDefault="00E20867">
      <w:pPr>
        <w:tabs>
          <w:tab w:val="left" w:pos="5837"/>
        </w:tabs>
        <w:spacing w:line="360" w:lineRule="auto"/>
        <w:rPr>
          <w:rFonts w:ascii="Arial" w:eastAsia="Arial" w:hAnsi="Arial" w:cs="Arial"/>
          <w:color w:val="205968"/>
        </w:rPr>
      </w:pPr>
    </w:p>
    <w:p w14:paraId="14D595E7" w14:textId="77777777" w:rsidR="00E20867" w:rsidRDefault="00E20867">
      <w:pPr>
        <w:tabs>
          <w:tab w:val="left" w:pos="5837"/>
        </w:tabs>
        <w:spacing w:line="360" w:lineRule="auto"/>
        <w:rPr>
          <w:rFonts w:ascii="Arial" w:eastAsia="Arial" w:hAnsi="Arial" w:cs="Arial"/>
          <w:color w:val="205968"/>
        </w:rPr>
      </w:pPr>
    </w:p>
    <w:p w14:paraId="60E469A0" w14:textId="77777777" w:rsidR="00E20867" w:rsidRDefault="00E20867">
      <w:pPr>
        <w:tabs>
          <w:tab w:val="left" w:pos="5837"/>
        </w:tabs>
        <w:spacing w:line="360" w:lineRule="auto"/>
        <w:rPr>
          <w:rFonts w:ascii="Arial" w:eastAsia="Arial" w:hAnsi="Arial" w:cs="Arial"/>
          <w:color w:val="205968"/>
        </w:rPr>
      </w:pPr>
    </w:p>
    <w:p w14:paraId="35B50D7F" w14:textId="77777777" w:rsidR="00E20867" w:rsidRDefault="00E20867">
      <w:pPr>
        <w:tabs>
          <w:tab w:val="left" w:pos="5837"/>
        </w:tabs>
        <w:spacing w:line="360" w:lineRule="auto"/>
        <w:rPr>
          <w:rFonts w:ascii="Arial" w:eastAsia="Arial" w:hAnsi="Arial" w:cs="Arial"/>
          <w:color w:val="205968"/>
        </w:rPr>
      </w:pPr>
    </w:p>
    <w:p w14:paraId="7DD389F7" w14:textId="77777777" w:rsidR="00E20867" w:rsidRDefault="00E20867">
      <w:pPr>
        <w:tabs>
          <w:tab w:val="left" w:pos="5837"/>
        </w:tabs>
        <w:spacing w:line="360" w:lineRule="auto"/>
        <w:rPr>
          <w:rFonts w:ascii="Arial" w:eastAsia="Arial" w:hAnsi="Arial" w:cs="Arial"/>
          <w:color w:val="205968"/>
        </w:rPr>
      </w:pPr>
    </w:p>
    <w:p w14:paraId="3760B7DA" w14:textId="77777777" w:rsidR="00E20867" w:rsidRDefault="00E20867">
      <w:pPr>
        <w:tabs>
          <w:tab w:val="left" w:pos="5837"/>
        </w:tabs>
        <w:spacing w:line="360" w:lineRule="auto"/>
        <w:rPr>
          <w:rFonts w:ascii="Arial" w:eastAsia="Arial" w:hAnsi="Arial" w:cs="Arial"/>
          <w:color w:val="205968"/>
        </w:rPr>
      </w:pPr>
    </w:p>
    <w:p w14:paraId="1479E80F" w14:textId="77777777" w:rsidR="00E20867" w:rsidRDefault="00E20867">
      <w:pPr>
        <w:tabs>
          <w:tab w:val="left" w:pos="5837"/>
        </w:tabs>
        <w:spacing w:line="360" w:lineRule="auto"/>
        <w:rPr>
          <w:rFonts w:ascii="Arial" w:eastAsia="Arial" w:hAnsi="Arial" w:cs="Arial"/>
          <w:color w:val="205968"/>
        </w:rPr>
      </w:pPr>
    </w:p>
    <w:p w14:paraId="23C85454" w14:textId="77777777" w:rsidR="00E20867" w:rsidRDefault="00E20867">
      <w:pPr>
        <w:tabs>
          <w:tab w:val="left" w:pos="5837"/>
        </w:tabs>
        <w:spacing w:line="360" w:lineRule="auto"/>
        <w:rPr>
          <w:rFonts w:ascii="Arial" w:eastAsia="Arial" w:hAnsi="Arial" w:cs="Arial"/>
          <w:color w:val="205968"/>
        </w:rPr>
      </w:pPr>
    </w:p>
    <w:p w14:paraId="5757DBED" w14:textId="77777777" w:rsidR="00E20867" w:rsidRDefault="00E20867">
      <w:pPr>
        <w:tabs>
          <w:tab w:val="left" w:pos="5837"/>
        </w:tabs>
        <w:spacing w:line="360" w:lineRule="auto"/>
        <w:rPr>
          <w:rFonts w:ascii="Arial" w:eastAsia="Arial" w:hAnsi="Arial" w:cs="Arial"/>
          <w:color w:val="205968"/>
        </w:rPr>
      </w:pPr>
    </w:p>
    <w:p w14:paraId="609D02E4" w14:textId="77777777" w:rsidR="00E20867" w:rsidRDefault="00E20867">
      <w:pPr>
        <w:tabs>
          <w:tab w:val="left" w:pos="5837"/>
        </w:tabs>
        <w:spacing w:line="360" w:lineRule="auto"/>
        <w:rPr>
          <w:rFonts w:ascii="Arial" w:eastAsia="Arial" w:hAnsi="Arial" w:cs="Arial"/>
          <w:color w:val="205968"/>
        </w:rPr>
      </w:pPr>
    </w:p>
    <w:p w14:paraId="0284BEF9" w14:textId="2DE3BFE3" w:rsidR="00E20867" w:rsidRDefault="00CC6A59" w:rsidP="00CC6A59">
      <w:pPr>
        <w:tabs>
          <w:tab w:val="left" w:pos="5837"/>
        </w:tabs>
        <w:spacing w:line="360" w:lineRule="auto"/>
        <w:jc w:val="center"/>
        <w:rPr>
          <w:rFonts w:ascii="Arial" w:eastAsia="Arial" w:hAnsi="Arial" w:cs="Arial"/>
          <w:color w:val="205968"/>
        </w:rPr>
      </w:pPr>
      <w:r>
        <w:rPr>
          <w:rFonts w:ascii="Arial" w:eastAsia="Arial" w:hAnsi="Arial" w:cs="Arial"/>
          <w:noProof/>
          <w:color w:val="205968"/>
        </w:rPr>
        <w:lastRenderedPageBreak/>
        <w:drawing>
          <wp:inline distT="0" distB="0" distL="0" distR="0" wp14:anchorId="68A25F83" wp14:editId="562393A3">
            <wp:extent cx="5023485" cy="5902325"/>
            <wp:effectExtent l="0" t="0" r="5715" b="0"/>
            <wp:docPr id="2" name="Picture 2" descr="X:\PubCentral\22. THC development\for Neurobiology and disease\Supplemental figures\Supplemental Figur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ubCentral\22. THC development\for Neurobiology and disease\Supplemental figures\Supplemental Figure_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3485" cy="5902325"/>
                    </a:xfrm>
                    <a:prstGeom prst="rect">
                      <a:avLst/>
                    </a:prstGeom>
                    <a:noFill/>
                    <a:ln>
                      <a:noFill/>
                    </a:ln>
                  </pic:spPr>
                </pic:pic>
              </a:graphicData>
            </a:graphic>
          </wp:inline>
        </w:drawing>
      </w:r>
    </w:p>
    <w:p w14:paraId="399EF747" w14:textId="199FA4CA" w:rsidR="00E20867" w:rsidRDefault="00E076CA" w:rsidP="00E076CA">
      <w:pPr>
        <w:rPr>
          <w:rFonts w:ascii="Arial" w:eastAsia="Arial" w:hAnsi="Arial" w:cs="Arial"/>
        </w:rPr>
      </w:pPr>
      <w:r>
        <w:rPr>
          <w:rFonts w:ascii="Arial" w:eastAsia="Arial" w:hAnsi="Arial" w:cs="Arial"/>
          <w:b/>
        </w:rPr>
        <w:t xml:space="preserve">Supplemental Figure 5. Raw sampling time measures for </w:t>
      </w:r>
      <w:r w:rsidR="00AD228F">
        <w:rPr>
          <w:rFonts w:ascii="Arial" w:eastAsia="Arial" w:hAnsi="Arial" w:cs="Arial"/>
          <w:b/>
        </w:rPr>
        <w:t xml:space="preserve">mouse testing the encoding </w:t>
      </w:r>
      <w:r w:rsidR="003D0821">
        <w:rPr>
          <w:rFonts w:ascii="Arial" w:eastAsia="Arial" w:hAnsi="Arial" w:cs="Arial"/>
          <w:b/>
        </w:rPr>
        <w:t>of ‘</w:t>
      </w:r>
      <w:r>
        <w:rPr>
          <w:rFonts w:ascii="Arial" w:eastAsia="Arial" w:hAnsi="Arial" w:cs="Arial"/>
          <w:b/>
        </w:rPr>
        <w:t>What’ and ‘Where’ components of episodic memory</w:t>
      </w:r>
      <w:r>
        <w:rPr>
          <w:rFonts w:ascii="Arial" w:eastAsia="Arial" w:hAnsi="Arial" w:cs="Arial"/>
        </w:rPr>
        <w:t xml:space="preserve">. </w:t>
      </w:r>
      <w:r w:rsidR="00434009">
        <w:rPr>
          <w:rFonts w:ascii="Arial" w:eastAsia="Arial" w:hAnsi="Arial" w:cs="Arial"/>
        </w:rPr>
        <w:t>(</w:t>
      </w:r>
      <w:r>
        <w:rPr>
          <w:rFonts w:ascii="Arial" w:eastAsia="Arial" w:hAnsi="Arial" w:cs="Arial"/>
          <w:b/>
        </w:rPr>
        <w:t>A</w:t>
      </w:r>
      <w:r w:rsidR="00434009">
        <w:rPr>
          <w:rFonts w:ascii="Arial" w:eastAsia="Arial" w:hAnsi="Arial" w:cs="Arial"/>
        </w:rPr>
        <w:t>)</w:t>
      </w:r>
      <w:r>
        <w:rPr>
          <w:rFonts w:ascii="Arial" w:eastAsia="Arial" w:hAnsi="Arial" w:cs="Arial"/>
        </w:rPr>
        <w:t xml:space="preserve"> The Serial ‘What’ behavioral paradigm used a sequence of </w:t>
      </w:r>
      <w:r w:rsidR="00523B38">
        <w:rPr>
          <w:rFonts w:ascii="Arial" w:eastAsia="Arial" w:hAnsi="Arial" w:cs="Arial"/>
        </w:rPr>
        <w:t>three</w:t>
      </w:r>
      <w:r>
        <w:rPr>
          <w:rFonts w:ascii="Arial" w:eastAsia="Arial" w:hAnsi="Arial" w:cs="Arial"/>
        </w:rPr>
        <w:t xml:space="preserve"> odor pairs (A:A-C:C) followed by a testing pair containing famil</w:t>
      </w:r>
      <w:r w:rsidR="00AD228F">
        <w:rPr>
          <w:rFonts w:ascii="Arial" w:eastAsia="Arial" w:hAnsi="Arial" w:cs="Arial"/>
        </w:rPr>
        <w:t>i</w:t>
      </w:r>
      <w:r>
        <w:rPr>
          <w:rFonts w:ascii="Arial" w:eastAsia="Arial" w:hAnsi="Arial" w:cs="Arial"/>
        </w:rPr>
        <w:t xml:space="preserve">ar odor A and novel odor D. </w:t>
      </w:r>
      <w:r w:rsidR="00434009">
        <w:rPr>
          <w:rFonts w:ascii="Arial" w:eastAsia="Arial" w:hAnsi="Arial" w:cs="Arial"/>
        </w:rPr>
        <w:t>(</w:t>
      </w:r>
      <w:r>
        <w:rPr>
          <w:rFonts w:ascii="Arial" w:eastAsia="Arial" w:hAnsi="Arial" w:cs="Arial"/>
          <w:b/>
        </w:rPr>
        <w:t>B</w:t>
      </w:r>
      <w:r w:rsidR="00434009">
        <w:rPr>
          <w:rFonts w:ascii="Arial" w:eastAsia="Arial" w:hAnsi="Arial" w:cs="Arial"/>
        </w:rPr>
        <w:t>)</w:t>
      </w:r>
      <w:r>
        <w:rPr>
          <w:rFonts w:ascii="Arial" w:eastAsia="Arial" w:hAnsi="Arial" w:cs="Arial"/>
        </w:rPr>
        <w:t xml:space="preserve"> When tested on the serial ‘What’ task, vehicle-treated male mice preferentially explored novel odor D compared to the familiar odor A; in contrast, THC-treated male mice spent the same amount of time with each odor (Veh: n= 15, t</w:t>
      </w:r>
      <w:r>
        <w:rPr>
          <w:rFonts w:ascii="Arial" w:eastAsia="Arial" w:hAnsi="Arial" w:cs="Arial"/>
          <w:vertAlign w:val="subscript"/>
        </w:rPr>
        <w:t>14</w:t>
      </w:r>
      <w:r>
        <w:rPr>
          <w:rFonts w:ascii="Arial" w:eastAsia="Arial" w:hAnsi="Arial" w:cs="Arial"/>
        </w:rPr>
        <w:t>= 3.83, **p=0.001; THC: n=12, t</w:t>
      </w:r>
      <w:r>
        <w:rPr>
          <w:rFonts w:ascii="Arial" w:eastAsia="Arial" w:hAnsi="Arial" w:cs="Arial"/>
          <w:vertAlign w:val="subscript"/>
        </w:rPr>
        <w:t>11</w:t>
      </w:r>
      <w:r>
        <w:rPr>
          <w:rFonts w:ascii="Arial" w:eastAsia="Arial" w:hAnsi="Arial" w:cs="Arial"/>
        </w:rPr>
        <w:t xml:space="preserve">=0.38, p=0.72; paired t-test within groups). </w:t>
      </w:r>
      <w:r w:rsidR="00434009">
        <w:rPr>
          <w:rFonts w:ascii="Arial" w:eastAsia="Arial" w:hAnsi="Arial" w:cs="Arial"/>
        </w:rPr>
        <w:t>(</w:t>
      </w:r>
      <w:r>
        <w:rPr>
          <w:rFonts w:ascii="Arial" w:eastAsia="Arial" w:hAnsi="Arial" w:cs="Arial"/>
          <w:b/>
        </w:rPr>
        <w:t>C</w:t>
      </w:r>
      <w:r w:rsidR="00434009">
        <w:rPr>
          <w:rFonts w:ascii="Arial" w:eastAsia="Arial" w:hAnsi="Arial" w:cs="Arial"/>
        </w:rPr>
        <w:t>)</w:t>
      </w:r>
      <w:r w:rsidR="00AE3893" w:rsidRPr="00AE3893">
        <w:rPr>
          <w:rFonts w:ascii="Arial" w:eastAsia="Arial" w:hAnsi="Arial" w:cs="Arial"/>
        </w:rPr>
        <w:t xml:space="preserve"> </w:t>
      </w:r>
      <w:r w:rsidR="00AE3893">
        <w:rPr>
          <w:rFonts w:ascii="Arial" w:eastAsia="Arial" w:hAnsi="Arial" w:cs="Arial"/>
        </w:rPr>
        <w:t>Raw sampling times recorded for vehicle-treated females preferentially sampled novel odor D compared to familiar odor A whereas THC-treated females showed no discrimination between the two odors (Veh: n= 11, t</w:t>
      </w:r>
      <w:r w:rsidR="00AE3893">
        <w:rPr>
          <w:rFonts w:ascii="Arial" w:eastAsia="Arial" w:hAnsi="Arial" w:cs="Arial"/>
          <w:vertAlign w:val="subscript"/>
        </w:rPr>
        <w:t>10</w:t>
      </w:r>
      <w:r w:rsidR="00AE3893">
        <w:rPr>
          <w:rFonts w:ascii="Arial" w:eastAsia="Arial" w:hAnsi="Arial" w:cs="Arial"/>
        </w:rPr>
        <w:t>= 4.51, **p=0.011; THC: n=11, t</w:t>
      </w:r>
      <w:r w:rsidR="00AE3893">
        <w:rPr>
          <w:rFonts w:ascii="Arial" w:eastAsia="Arial" w:hAnsi="Arial" w:cs="Arial"/>
          <w:vertAlign w:val="subscript"/>
        </w:rPr>
        <w:t>10</w:t>
      </w:r>
      <w:r w:rsidR="00AE3893">
        <w:rPr>
          <w:rFonts w:ascii="Arial" w:eastAsia="Arial" w:hAnsi="Arial" w:cs="Arial"/>
        </w:rPr>
        <w:t>=1.24, p=0.24).</w:t>
      </w:r>
      <w:r>
        <w:rPr>
          <w:rFonts w:ascii="Arial" w:eastAsia="Arial" w:hAnsi="Arial" w:cs="Arial"/>
          <w:i/>
        </w:rPr>
        <w:t xml:space="preserve"> </w:t>
      </w:r>
      <w:r>
        <w:rPr>
          <w:rFonts w:ascii="Arial" w:eastAsia="Arial" w:hAnsi="Arial" w:cs="Arial"/>
        </w:rPr>
        <w:t xml:space="preserve">Female mice </w:t>
      </w:r>
      <w:r w:rsidR="00BE769E">
        <w:rPr>
          <w:rFonts w:ascii="Arial" w:eastAsia="Arial" w:hAnsi="Arial" w:cs="Arial"/>
        </w:rPr>
        <w:t>in either diestrus</w:t>
      </w:r>
      <w:r w:rsidR="00167484">
        <w:rPr>
          <w:rFonts w:ascii="Arial" w:eastAsia="Arial" w:hAnsi="Arial" w:cs="Arial"/>
        </w:rPr>
        <w:t xml:space="preserve"> (gray)</w:t>
      </w:r>
      <w:r w:rsidR="00BE769E">
        <w:rPr>
          <w:rFonts w:ascii="Arial" w:eastAsia="Arial" w:hAnsi="Arial" w:cs="Arial"/>
        </w:rPr>
        <w:t xml:space="preserve"> or estrus</w:t>
      </w:r>
      <w:r w:rsidR="00167484">
        <w:rPr>
          <w:rFonts w:ascii="Arial" w:eastAsia="Arial" w:hAnsi="Arial" w:cs="Arial"/>
        </w:rPr>
        <w:t xml:space="preserve"> (red)</w:t>
      </w:r>
      <w:r w:rsidR="00BE769E">
        <w:rPr>
          <w:rFonts w:ascii="Arial" w:eastAsia="Arial" w:hAnsi="Arial" w:cs="Arial"/>
        </w:rPr>
        <w:t xml:space="preserve"> were pooled together and animals in proestrus were dropped from analysis. </w:t>
      </w:r>
      <w:r w:rsidR="00434009">
        <w:rPr>
          <w:rFonts w:ascii="Arial" w:eastAsia="Arial" w:hAnsi="Arial" w:cs="Arial"/>
        </w:rPr>
        <w:t>(</w:t>
      </w:r>
      <w:r>
        <w:rPr>
          <w:rFonts w:ascii="Arial" w:eastAsia="Arial" w:hAnsi="Arial" w:cs="Arial"/>
          <w:b/>
        </w:rPr>
        <w:t>D</w:t>
      </w:r>
      <w:r w:rsidR="00434009">
        <w:rPr>
          <w:rFonts w:ascii="Arial" w:eastAsia="Arial" w:hAnsi="Arial" w:cs="Arial"/>
        </w:rPr>
        <w:t>)</w:t>
      </w:r>
      <w:r>
        <w:rPr>
          <w:rFonts w:ascii="Arial" w:eastAsia="Arial" w:hAnsi="Arial" w:cs="Arial"/>
          <w:b/>
        </w:rPr>
        <w:t xml:space="preserve"> </w:t>
      </w:r>
      <w:r>
        <w:rPr>
          <w:rFonts w:ascii="Arial" w:eastAsia="Arial" w:hAnsi="Arial" w:cs="Arial"/>
        </w:rPr>
        <w:lastRenderedPageBreak/>
        <w:t xml:space="preserve">Schematic of the mouse 2-odor task conducted to ensure simple discrimination was present in both groups. </w:t>
      </w:r>
      <w:r w:rsidR="00434009">
        <w:rPr>
          <w:rFonts w:ascii="Arial" w:eastAsia="Arial" w:hAnsi="Arial" w:cs="Arial"/>
        </w:rPr>
        <w:t>(</w:t>
      </w:r>
      <w:r>
        <w:rPr>
          <w:rFonts w:ascii="Arial" w:eastAsia="Arial" w:hAnsi="Arial" w:cs="Arial"/>
          <w:b/>
        </w:rPr>
        <w:t>E-F</w:t>
      </w:r>
      <w:r w:rsidR="00434009" w:rsidRPr="00434009">
        <w:rPr>
          <w:rFonts w:ascii="Arial" w:eastAsia="Arial" w:hAnsi="Arial" w:cs="Arial"/>
        </w:rPr>
        <w:t>)</w:t>
      </w:r>
      <w:r>
        <w:rPr>
          <w:rFonts w:ascii="Arial" w:eastAsia="Arial" w:hAnsi="Arial" w:cs="Arial"/>
          <w:b/>
        </w:rPr>
        <w:t xml:space="preserve"> </w:t>
      </w:r>
      <w:r>
        <w:rPr>
          <w:rFonts w:ascii="Arial" w:eastAsia="Arial" w:hAnsi="Arial" w:cs="Arial"/>
        </w:rPr>
        <w:t>In the 2-odor task, all mouse groups, regardless of treatment and sex spent more time with a novel odor F than familiar E (Male: Veh: n=12, t</w:t>
      </w:r>
      <w:r>
        <w:rPr>
          <w:rFonts w:ascii="Arial" w:eastAsia="Arial" w:hAnsi="Arial" w:cs="Arial"/>
          <w:vertAlign w:val="subscript"/>
        </w:rPr>
        <w:t>11</w:t>
      </w:r>
      <w:r>
        <w:rPr>
          <w:rFonts w:ascii="Arial" w:eastAsia="Arial" w:hAnsi="Arial" w:cs="Arial"/>
        </w:rPr>
        <w:t>=4.25, **p=0.001 ; THC: n=12, t</w:t>
      </w:r>
      <w:r>
        <w:rPr>
          <w:rFonts w:ascii="Arial" w:eastAsia="Arial" w:hAnsi="Arial" w:cs="Arial"/>
          <w:vertAlign w:val="subscript"/>
        </w:rPr>
        <w:t>11</w:t>
      </w:r>
      <w:r>
        <w:rPr>
          <w:rFonts w:ascii="Arial" w:eastAsia="Arial" w:hAnsi="Arial" w:cs="Arial"/>
        </w:rPr>
        <w:t>=4.93, ***p&lt;0.001; Female: Veh: n=13 , t</w:t>
      </w:r>
      <w:r>
        <w:rPr>
          <w:rFonts w:ascii="Arial" w:eastAsia="Arial" w:hAnsi="Arial" w:cs="Arial"/>
          <w:vertAlign w:val="subscript"/>
        </w:rPr>
        <w:t>12</w:t>
      </w:r>
      <w:r>
        <w:rPr>
          <w:rFonts w:ascii="Arial" w:eastAsia="Arial" w:hAnsi="Arial" w:cs="Arial"/>
        </w:rPr>
        <w:t>=3.13, **p=0.009 ; THC n=12 , t</w:t>
      </w:r>
      <w:r>
        <w:rPr>
          <w:rFonts w:ascii="Arial" w:eastAsia="Arial" w:hAnsi="Arial" w:cs="Arial"/>
          <w:vertAlign w:val="subscript"/>
        </w:rPr>
        <w:t>5</w:t>
      </w:r>
      <w:r>
        <w:rPr>
          <w:rFonts w:ascii="Arial" w:eastAsia="Arial" w:hAnsi="Arial" w:cs="Arial"/>
        </w:rPr>
        <w:t xml:space="preserve">=3.40 , **p=0.006; paired t-test within groups). </w:t>
      </w:r>
      <w:r w:rsidR="00434009">
        <w:rPr>
          <w:rFonts w:ascii="Arial" w:eastAsia="Arial" w:hAnsi="Arial" w:cs="Arial"/>
        </w:rPr>
        <w:t>(</w:t>
      </w:r>
      <w:r w:rsidR="00EA343E">
        <w:rPr>
          <w:rFonts w:ascii="Arial" w:eastAsia="Arial" w:hAnsi="Arial" w:cs="Arial"/>
          <w:b/>
        </w:rPr>
        <w:t>G</w:t>
      </w:r>
      <w:r w:rsidR="00434009" w:rsidRPr="00434009">
        <w:rPr>
          <w:rFonts w:ascii="Arial" w:eastAsia="Arial" w:hAnsi="Arial" w:cs="Arial"/>
        </w:rPr>
        <w:t>)</w:t>
      </w:r>
      <w:r>
        <w:rPr>
          <w:rFonts w:ascii="Arial" w:eastAsia="Arial" w:hAnsi="Arial" w:cs="Arial"/>
          <w:b/>
        </w:rPr>
        <w:t xml:space="preserve"> </w:t>
      </w:r>
      <w:r>
        <w:rPr>
          <w:rFonts w:ascii="Arial" w:eastAsia="Arial" w:hAnsi="Arial" w:cs="Arial"/>
        </w:rPr>
        <w:t xml:space="preserve">Testing on the Object Location Memory (OLM) task was conducted 24 hrs after training (Males 5 min training, females 10min training; near threshold for each sex). </w:t>
      </w:r>
      <w:r w:rsidR="00434009">
        <w:rPr>
          <w:rFonts w:ascii="Arial" w:eastAsia="Arial" w:hAnsi="Arial" w:cs="Arial"/>
        </w:rPr>
        <w:t>(</w:t>
      </w:r>
      <w:r w:rsidR="00EA343E">
        <w:rPr>
          <w:rFonts w:ascii="Arial" w:eastAsia="Arial" w:hAnsi="Arial" w:cs="Arial"/>
          <w:b/>
        </w:rPr>
        <w:t>H</w:t>
      </w:r>
      <w:r w:rsidR="00434009">
        <w:rPr>
          <w:rFonts w:ascii="Arial" w:eastAsia="Arial" w:hAnsi="Arial" w:cs="Arial"/>
        </w:rPr>
        <w:t>)</w:t>
      </w:r>
      <w:r>
        <w:rPr>
          <w:rFonts w:ascii="Arial" w:eastAsia="Arial" w:hAnsi="Arial" w:cs="Arial"/>
        </w:rPr>
        <w:t xml:space="preserve"> In the OLM task, both vehicle- and THC-treated males</w:t>
      </w:r>
      <w:r w:rsidR="00AD228F">
        <w:rPr>
          <w:rFonts w:ascii="Arial" w:eastAsia="Arial" w:hAnsi="Arial" w:cs="Arial"/>
        </w:rPr>
        <w:t xml:space="preserve"> preferentially explored the mov</w:t>
      </w:r>
      <w:r>
        <w:rPr>
          <w:rFonts w:ascii="Arial" w:eastAsia="Arial" w:hAnsi="Arial" w:cs="Arial"/>
        </w:rPr>
        <w:t>ed object (Male: Veh: n=12, t</w:t>
      </w:r>
      <w:r>
        <w:rPr>
          <w:rFonts w:ascii="Arial" w:eastAsia="Arial" w:hAnsi="Arial" w:cs="Arial"/>
          <w:vertAlign w:val="subscript"/>
        </w:rPr>
        <w:t>11</w:t>
      </w:r>
      <w:r>
        <w:rPr>
          <w:rFonts w:ascii="Arial" w:eastAsia="Arial" w:hAnsi="Arial" w:cs="Arial"/>
        </w:rPr>
        <w:t>=6.24, ****p&lt;0.0001; THC n=12, t</w:t>
      </w:r>
      <w:r>
        <w:rPr>
          <w:rFonts w:ascii="Arial" w:eastAsia="Arial" w:hAnsi="Arial" w:cs="Arial"/>
          <w:vertAlign w:val="subscript"/>
        </w:rPr>
        <w:t>11</w:t>
      </w:r>
      <w:r>
        <w:rPr>
          <w:rFonts w:ascii="Arial" w:eastAsia="Arial" w:hAnsi="Arial" w:cs="Arial"/>
        </w:rPr>
        <w:t xml:space="preserve">=4.94, ***p=0.0004; paired t-test within groups). </w:t>
      </w:r>
      <w:r w:rsidR="00EA343E">
        <w:rPr>
          <w:rFonts w:ascii="Arial" w:eastAsia="Arial" w:hAnsi="Arial" w:cs="Arial"/>
        </w:rPr>
        <w:t>(</w:t>
      </w:r>
      <w:r w:rsidR="00EA343E">
        <w:rPr>
          <w:rFonts w:ascii="Arial" w:eastAsia="Arial" w:hAnsi="Arial" w:cs="Arial"/>
          <w:b/>
        </w:rPr>
        <w:t>I</w:t>
      </w:r>
      <w:r w:rsidR="00EA343E">
        <w:rPr>
          <w:rFonts w:ascii="Arial" w:eastAsia="Arial" w:hAnsi="Arial" w:cs="Arial"/>
        </w:rPr>
        <w:t>)</w:t>
      </w:r>
      <w:r>
        <w:rPr>
          <w:rFonts w:ascii="Arial" w:eastAsia="Arial" w:hAnsi="Arial" w:cs="Arial"/>
        </w:rPr>
        <w:t xml:space="preserve"> In the OLM task, vehicle treated female </w:t>
      </w:r>
      <w:r w:rsidR="00523B38">
        <w:rPr>
          <w:rFonts w:ascii="Arial" w:eastAsia="Arial" w:hAnsi="Arial" w:cs="Arial"/>
        </w:rPr>
        <w:t>mice</w:t>
      </w:r>
      <w:r>
        <w:rPr>
          <w:rFonts w:ascii="Arial" w:eastAsia="Arial" w:hAnsi="Arial" w:cs="Arial"/>
        </w:rPr>
        <w:t xml:space="preserve"> also spent more time with the move object than the familiar location object whereas those treated with THC exhibited no difference in their interactions with the objects (Female: Veh: n=9, t</w:t>
      </w:r>
      <w:r>
        <w:rPr>
          <w:rFonts w:ascii="Arial" w:eastAsia="Arial" w:hAnsi="Arial" w:cs="Arial"/>
          <w:vertAlign w:val="subscript"/>
        </w:rPr>
        <w:t>8</w:t>
      </w:r>
      <w:r>
        <w:rPr>
          <w:rFonts w:ascii="Arial" w:eastAsia="Arial" w:hAnsi="Arial" w:cs="Arial"/>
        </w:rPr>
        <w:t>=4.10, **p=0.003 ; THC n=9, t</w:t>
      </w:r>
      <w:r>
        <w:rPr>
          <w:rFonts w:ascii="Arial" w:eastAsia="Arial" w:hAnsi="Arial" w:cs="Arial"/>
          <w:vertAlign w:val="subscript"/>
        </w:rPr>
        <w:t>8</w:t>
      </w:r>
      <w:r>
        <w:rPr>
          <w:rFonts w:ascii="Arial" w:eastAsia="Arial" w:hAnsi="Arial" w:cs="Arial"/>
        </w:rPr>
        <w:t xml:space="preserve">=0.71, p=0.49; paired t-test within each group). </w:t>
      </w:r>
      <w:r w:rsidR="00523B38">
        <w:rPr>
          <w:rFonts w:ascii="Arial" w:eastAsia="Arial" w:hAnsi="Arial" w:cs="Arial"/>
        </w:rPr>
        <w:t>In all panels, individual animal values are shown.</w:t>
      </w:r>
    </w:p>
    <w:p w14:paraId="7962C5CF" w14:textId="2FBE03C0" w:rsidR="00E20867" w:rsidRDefault="00E20867">
      <w:pPr>
        <w:tabs>
          <w:tab w:val="left" w:pos="5837"/>
        </w:tabs>
        <w:spacing w:line="360" w:lineRule="auto"/>
        <w:rPr>
          <w:rFonts w:ascii="Arial" w:eastAsia="Arial" w:hAnsi="Arial" w:cs="Arial"/>
          <w:color w:val="205968"/>
        </w:rPr>
      </w:pPr>
    </w:p>
    <w:p w14:paraId="27A2A728" w14:textId="25F36B2C" w:rsidR="00AE3893" w:rsidRDefault="00AE3893">
      <w:pPr>
        <w:tabs>
          <w:tab w:val="left" w:pos="5837"/>
        </w:tabs>
        <w:spacing w:line="360" w:lineRule="auto"/>
        <w:rPr>
          <w:rFonts w:ascii="Arial" w:eastAsia="Arial" w:hAnsi="Arial" w:cs="Arial"/>
          <w:color w:val="205968"/>
        </w:rPr>
      </w:pPr>
    </w:p>
    <w:p w14:paraId="06632EF6" w14:textId="260D3AC8" w:rsidR="00AE3893" w:rsidRDefault="00AE3893">
      <w:pPr>
        <w:tabs>
          <w:tab w:val="left" w:pos="5837"/>
        </w:tabs>
        <w:spacing w:line="360" w:lineRule="auto"/>
        <w:rPr>
          <w:rFonts w:ascii="Arial" w:eastAsia="Arial" w:hAnsi="Arial" w:cs="Arial"/>
          <w:color w:val="205968"/>
        </w:rPr>
      </w:pPr>
    </w:p>
    <w:p w14:paraId="6494D2F6" w14:textId="3C6E0C12" w:rsidR="00AE3893" w:rsidRDefault="00AE3893">
      <w:pPr>
        <w:tabs>
          <w:tab w:val="left" w:pos="5837"/>
        </w:tabs>
        <w:spacing w:line="360" w:lineRule="auto"/>
        <w:rPr>
          <w:rFonts w:ascii="Arial" w:eastAsia="Arial" w:hAnsi="Arial" w:cs="Arial"/>
          <w:color w:val="205968"/>
        </w:rPr>
      </w:pPr>
    </w:p>
    <w:p w14:paraId="64D1ED2C" w14:textId="64849AA2" w:rsidR="00AE3893" w:rsidRDefault="00AE3893">
      <w:pPr>
        <w:tabs>
          <w:tab w:val="left" w:pos="5837"/>
        </w:tabs>
        <w:spacing w:line="360" w:lineRule="auto"/>
        <w:rPr>
          <w:rFonts w:ascii="Arial" w:eastAsia="Arial" w:hAnsi="Arial" w:cs="Arial"/>
          <w:color w:val="205968"/>
        </w:rPr>
      </w:pPr>
    </w:p>
    <w:p w14:paraId="4E2D1709" w14:textId="32D99A79" w:rsidR="00AE3893" w:rsidRDefault="00AE3893">
      <w:pPr>
        <w:tabs>
          <w:tab w:val="left" w:pos="5837"/>
        </w:tabs>
        <w:spacing w:line="360" w:lineRule="auto"/>
        <w:rPr>
          <w:rFonts w:ascii="Arial" w:eastAsia="Arial" w:hAnsi="Arial" w:cs="Arial"/>
          <w:color w:val="205968"/>
        </w:rPr>
      </w:pPr>
    </w:p>
    <w:p w14:paraId="6107E481" w14:textId="06D60CD2" w:rsidR="00AE3893" w:rsidRDefault="00AE3893">
      <w:pPr>
        <w:tabs>
          <w:tab w:val="left" w:pos="5837"/>
        </w:tabs>
        <w:spacing w:line="360" w:lineRule="auto"/>
        <w:rPr>
          <w:rFonts w:ascii="Arial" w:eastAsia="Arial" w:hAnsi="Arial" w:cs="Arial"/>
          <w:color w:val="205968"/>
        </w:rPr>
      </w:pPr>
    </w:p>
    <w:p w14:paraId="5CB6939A" w14:textId="63496771" w:rsidR="00AE3893" w:rsidRDefault="00AE3893">
      <w:pPr>
        <w:tabs>
          <w:tab w:val="left" w:pos="5837"/>
        </w:tabs>
        <w:spacing w:line="360" w:lineRule="auto"/>
        <w:rPr>
          <w:rFonts w:ascii="Arial" w:eastAsia="Arial" w:hAnsi="Arial" w:cs="Arial"/>
          <w:color w:val="205968"/>
        </w:rPr>
      </w:pPr>
    </w:p>
    <w:p w14:paraId="1212347E" w14:textId="5F748277" w:rsidR="00AE3893" w:rsidRDefault="00AE3893">
      <w:pPr>
        <w:tabs>
          <w:tab w:val="left" w:pos="5837"/>
        </w:tabs>
        <w:spacing w:line="360" w:lineRule="auto"/>
        <w:rPr>
          <w:rFonts w:ascii="Arial" w:eastAsia="Arial" w:hAnsi="Arial" w:cs="Arial"/>
          <w:color w:val="205968"/>
        </w:rPr>
      </w:pPr>
    </w:p>
    <w:p w14:paraId="13BDEE05" w14:textId="7860E0AC" w:rsidR="00AE3893" w:rsidRDefault="00AE3893">
      <w:pPr>
        <w:tabs>
          <w:tab w:val="left" w:pos="5837"/>
        </w:tabs>
        <w:spacing w:line="360" w:lineRule="auto"/>
        <w:rPr>
          <w:rFonts w:ascii="Arial" w:eastAsia="Arial" w:hAnsi="Arial" w:cs="Arial"/>
          <w:color w:val="205968"/>
        </w:rPr>
      </w:pPr>
    </w:p>
    <w:p w14:paraId="379822CB" w14:textId="627B8668" w:rsidR="00AE3893" w:rsidRDefault="00AE3893">
      <w:pPr>
        <w:tabs>
          <w:tab w:val="left" w:pos="5837"/>
        </w:tabs>
        <w:spacing w:line="360" w:lineRule="auto"/>
        <w:rPr>
          <w:rFonts w:ascii="Arial" w:eastAsia="Arial" w:hAnsi="Arial" w:cs="Arial"/>
          <w:color w:val="205968"/>
        </w:rPr>
      </w:pPr>
    </w:p>
    <w:p w14:paraId="37E03A9E" w14:textId="30359C63" w:rsidR="00AE3893" w:rsidRDefault="00AE3893">
      <w:pPr>
        <w:tabs>
          <w:tab w:val="left" w:pos="5837"/>
        </w:tabs>
        <w:spacing w:line="360" w:lineRule="auto"/>
        <w:rPr>
          <w:rFonts w:ascii="Arial" w:eastAsia="Arial" w:hAnsi="Arial" w:cs="Arial"/>
          <w:color w:val="205968"/>
        </w:rPr>
      </w:pPr>
    </w:p>
    <w:p w14:paraId="13BD4567" w14:textId="5F1C462D" w:rsidR="00AE3893" w:rsidRDefault="00AE3893">
      <w:pPr>
        <w:tabs>
          <w:tab w:val="left" w:pos="5837"/>
        </w:tabs>
        <w:spacing w:line="360" w:lineRule="auto"/>
        <w:rPr>
          <w:rFonts w:ascii="Arial" w:eastAsia="Arial" w:hAnsi="Arial" w:cs="Arial"/>
          <w:color w:val="205968"/>
        </w:rPr>
      </w:pPr>
    </w:p>
    <w:p w14:paraId="5ABD0A4E" w14:textId="21414A00" w:rsidR="00AE3893" w:rsidRDefault="00AE3893">
      <w:pPr>
        <w:tabs>
          <w:tab w:val="left" w:pos="5837"/>
        </w:tabs>
        <w:spacing w:line="360" w:lineRule="auto"/>
        <w:rPr>
          <w:rFonts w:ascii="Arial" w:eastAsia="Arial" w:hAnsi="Arial" w:cs="Arial"/>
          <w:color w:val="205968"/>
        </w:rPr>
      </w:pPr>
    </w:p>
    <w:p w14:paraId="60C0988C" w14:textId="57A915B0" w:rsidR="00AE3893" w:rsidRDefault="00AE3893">
      <w:pPr>
        <w:tabs>
          <w:tab w:val="left" w:pos="5837"/>
        </w:tabs>
        <w:spacing w:line="360" w:lineRule="auto"/>
        <w:rPr>
          <w:rFonts w:ascii="Arial" w:eastAsia="Arial" w:hAnsi="Arial" w:cs="Arial"/>
          <w:color w:val="205968"/>
        </w:rPr>
      </w:pPr>
    </w:p>
    <w:p w14:paraId="0CB1F12F" w14:textId="217E4F4C" w:rsidR="00AE3893" w:rsidRDefault="00AE3893">
      <w:pPr>
        <w:tabs>
          <w:tab w:val="left" w:pos="5837"/>
        </w:tabs>
        <w:spacing w:line="360" w:lineRule="auto"/>
        <w:rPr>
          <w:rFonts w:ascii="Arial" w:eastAsia="Arial" w:hAnsi="Arial" w:cs="Arial"/>
          <w:color w:val="205968"/>
        </w:rPr>
      </w:pPr>
    </w:p>
    <w:p w14:paraId="05B4EB6F" w14:textId="08B8A61E" w:rsidR="00AE3893" w:rsidRDefault="00AE3893">
      <w:pPr>
        <w:tabs>
          <w:tab w:val="left" w:pos="5837"/>
        </w:tabs>
        <w:spacing w:line="360" w:lineRule="auto"/>
        <w:rPr>
          <w:rFonts w:ascii="Arial" w:eastAsia="Arial" w:hAnsi="Arial" w:cs="Arial"/>
          <w:color w:val="205968"/>
        </w:rPr>
      </w:pPr>
    </w:p>
    <w:p w14:paraId="7D02B692" w14:textId="77777777" w:rsidR="00AE3893" w:rsidRDefault="00AE3893" w:rsidP="00AE3893">
      <w:pPr>
        <w:rPr>
          <w:rFonts w:ascii="Arial" w:hAnsi="Arial" w:cs="Arial"/>
        </w:rPr>
      </w:pPr>
    </w:p>
    <w:p w14:paraId="1675B5F6" w14:textId="77777777" w:rsidR="00AE3893" w:rsidRDefault="00AE3893" w:rsidP="00AE3893">
      <w:pPr>
        <w:rPr>
          <w:rFonts w:ascii="Arial" w:hAnsi="Arial" w:cs="Arial"/>
          <w:b/>
          <w:i/>
        </w:rPr>
      </w:pPr>
    </w:p>
    <w:p w14:paraId="3CD262A1" w14:textId="77777777" w:rsidR="00AE3893" w:rsidRPr="00437533" w:rsidRDefault="00AE3893" w:rsidP="00AE3893">
      <w:pPr>
        <w:rPr>
          <w:rFonts w:ascii="Arial" w:hAnsi="Arial" w:cs="Arial"/>
          <w:b/>
        </w:rPr>
      </w:pPr>
      <w:r>
        <w:rPr>
          <w:rFonts w:ascii="Arial" w:hAnsi="Arial" w:cs="Arial"/>
          <w:b/>
          <w:i/>
        </w:rPr>
        <w:t>Supplemental Table 1</w:t>
      </w:r>
      <w:r w:rsidRPr="00C9215C">
        <w:rPr>
          <w:rFonts w:ascii="Arial" w:hAnsi="Arial" w:cs="Arial"/>
          <w:b/>
          <w:i/>
        </w:rPr>
        <w:t>.</w:t>
      </w:r>
      <w:r w:rsidRPr="00C9215C">
        <w:rPr>
          <w:rFonts w:ascii="Arial" w:hAnsi="Arial" w:cs="Arial"/>
          <w:b/>
        </w:rPr>
        <w:t xml:space="preserve">  Relative times spent exploring the displaced object in the object location memory (OLM) task indicates that females given THC during adolescence did not learn object location.</w:t>
      </w:r>
    </w:p>
    <w:tbl>
      <w:tblPr>
        <w:tblStyle w:val="TableGrid"/>
        <w:tblW w:w="17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1080"/>
        <w:gridCol w:w="630"/>
        <w:gridCol w:w="3240"/>
        <w:gridCol w:w="180"/>
        <w:gridCol w:w="3866"/>
        <w:gridCol w:w="8006"/>
      </w:tblGrid>
      <w:tr w:rsidR="00AE3893" w:rsidRPr="009F4D08" w14:paraId="5988F924" w14:textId="77777777" w:rsidTr="006A75A3">
        <w:trPr>
          <w:gridAfter w:val="1"/>
          <w:wAfter w:w="8006" w:type="dxa"/>
          <w:trHeight w:val="444"/>
        </w:trPr>
        <w:tc>
          <w:tcPr>
            <w:tcW w:w="1458" w:type="dxa"/>
            <w:gridSpan w:val="2"/>
            <w:tcBorders>
              <w:top w:val="single" w:sz="6" w:space="0" w:color="auto"/>
              <w:bottom w:val="single" w:sz="6" w:space="0" w:color="auto"/>
            </w:tcBorders>
            <w:shd w:val="clear" w:color="auto" w:fill="auto"/>
            <w:vAlign w:val="center"/>
          </w:tcPr>
          <w:p w14:paraId="2327EEFA" w14:textId="77777777" w:rsidR="00AE3893" w:rsidRPr="005635B0" w:rsidRDefault="00AE3893" w:rsidP="006A75A3">
            <w:pPr>
              <w:jc w:val="center"/>
              <w:rPr>
                <w:rFonts w:ascii="Arial" w:hAnsi="Arial" w:cs="Arial"/>
                <w:b/>
                <w:bCs/>
                <w:sz w:val="20"/>
                <w:szCs w:val="26"/>
              </w:rPr>
            </w:pPr>
            <w:r w:rsidRPr="005635B0">
              <w:rPr>
                <w:rFonts w:ascii="Arial" w:hAnsi="Arial" w:cs="Arial"/>
                <w:b/>
                <w:bCs/>
                <w:sz w:val="22"/>
                <w:szCs w:val="26"/>
              </w:rPr>
              <w:t>Rat</w:t>
            </w:r>
          </w:p>
        </w:tc>
        <w:tc>
          <w:tcPr>
            <w:tcW w:w="630" w:type="dxa"/>
            <w:tcBorders>
              <w:top w:val="single" w:sz="6" w:space="0" w:color="auto"/>
              <w:bottom w:val="single" w:sz="6" w:space="0" w:color="auto"/>
            </w:tcBorders>
            <w:shd w:val="clear" w:color="auto" w:fill="auto"/>
            <w:vAlign w:val="center"/>
          </w:tcPr>
          <w:p w14:paraId="4E07C250" w14:textId="77777777" w:rsidR="00AE3893" w:rsidRPr="00FB766E" w:rsidRDefault="00AE3893" w:rsidP="006A75A3">
            <w:pPr>
              <w:jc w:val="center"/>
              <w:rPr>
                <w:rFonts w:ascii="Arial" w:hAnsi="Arial" w:cs="Arial"/>
                <w:b/>
                <w:bCs/>
                <w:sz w:val="18"/>
                <w:szCs w:val="26"/>
              </w:rPr>
            </w:pPr>
            <w:r w:rsidRPr="00FB766E">
              <w:rPr>
                <w:rFonts w:ascii="Arial" w:hAnsi="Arial" w:cs="Arial"/>
                <w:b/>
                <w:bCs/>
                <w:sz w:val="18"/>
                <w:szCs w:val="26"/>
              </w:rPr>
              <w:t>N</w:t>
            </w:r>
          </w:p>
        </w:tc>
        <w:tc>
          <w:tcPr>
            <w:tcW w:w="3240" w:type="dxa"/>
            <w:tcBorders>
              <w:top w:val="single" w:sz="6" w:space="0" w:color="auto"/>
              <w:bottom w:val="single" w:sz="6" w:space="0" w:color="auto"/>
            </w:tcBorders>
            <w:shd w:val="clear" w:color="auto" w:fill="auto"/>
            <w:vAlign w:val="center"/>
          </w:tcPr>
          <w:p w14:paraId="1AB65A92" w14:textId="77777777" w:rsidR="00AE3893" w:rsidRPr="00FB766E" w:rsidRDefault="00AE3893" w:rsidP="006A75A3">
            <w:pPr>
              <w:jc w:val="center"/>
              <w:rPr>
                <w:rFonts w:ascii="Arial" w:hAnsi="Arial" w:cs="Arial"/>
                <w:b/>
                <w:bCs/>
                <w:sz w:val="18"/>
                <w:szCs w:val="26"/>
              </w:rPr>
            </w:pPr>
            <w:r w:rsidRPr="00FB766E">
              <w:rPr>
                <w:rFonts w:ascii="Arial" w:hAnsi="Arial" w:cs="Arial"/>
                <w:b/>
                <w:bCs/>
                <w:sz w:val="18"/>
                <w:szCs w:val="26"/>
              </w:rPr>
              <w:t>% displaced object sampling</w:t>
            </w:r>
          </w:p>
        </w:tc>
        <w:tc>
          <w:tcPr>
            <w:tcW w:w="4046" w:type="dxa"/>
            <w:gridSpan w:val="2"/>
            <w:tcBorders>
              <w:top w:val="single" w:sz="6" w:space="0" w:color="auto"/>
              <w:bottom w:val="single" w:sz="6" w:space="0" w:color="auto"/>
            </w:tcBorders>
            <w:shd w:val="clear" w:color="auto" w:fill="auto"/>
            <w:vAlign w:val="center"/>
          </w:tcPr>
          <w:p w14:paraId="60BD4EE8" w14:textId="77777777" w:rsidR="00AE3893" w:rsidRPr="00FB766E" w:rsidRDefault="00AE3893" w:rsidP="006A75A3">
            <w:pPr>
              <w:jc w:val="center"/>
              <w:rPr>
                <w:rFonts w:ascii="Arial" w:hAnsi="Arial" w:cs="Arial"/>
                <w:b/>
                <w:bCs/>
                <w:sz w:val="18"/>
                <w:szCs w:val="26"/>
              </w:rPr>
            </w:pPr>
            <w:r w:rsidRPr="00FB766E">
              <w:rPr>
                <w:rFonts w:ascii="Arial" w:hAnsi="Arial" w:cs="Arial"/>
                <w:b/>
                <w:bCs/>
                <w:sz w:val="18"/>
                <w:szCs w:val="26"/>
              </w:rPr>
              <w:t>Statistics (</w:t>
            </w:r>
            <w:r w:rsidRPr="00FB766E">
              <w:rPr>
                <w:rFonts w:ascii="Arial" w:hAnsi="Arial" w:cs="Arial"/>
                <w:b/>
                <w:sz w:val="18"/>
                <w:szCs w:val="26"/>
              </w:rPr>
              <w:t>paired t-test vs % stationary)</w:t>
            </w:r>
          </w:p>
        </w:tc>
      </w:tr>
      <w:tr w:rsidR="00AE3893" w:rsidRPr="00C21BE3" w14:paraId="13423C70" w14:textId="77777777" w:rsidTr="006A75A3">
        <w:trPr>
          <w:trHeight w:val="444"/>
        </w:trPr>
        <w:tc>
          <w:tcPr>
            <w:tcW w:w="378" w:type="dxa"/>
            <w:tcBorders>
              <w:top w:val="single" w:sz="6" w:space="0" w:color="auto"/>
            </w:tcBorders>
            <w:shd w:val="clear" w:color="auto" w:fill="auto"/>
            <w:vAlign w:val="center"/>
          </w:tcPr>
          <w:p w14:paraId="76CAB244" w14:textId="77777777" w:rsidR="00AE3893" w:rsidRPr="00FB766E" w:rsidRDefault="00AE3893" w:rsidP="006A75A3">
            <w:pPr>
              <w:rPr>
                <w:rFonts w:ascii="Arial" w:hAnsi="Arial" w:cs="Arial"/>
                <w:b/>
                <w:i/>
                <w:sz w:val="18"/>
                <w:szCs w:val="22"/>
              </w:rPr>
            </w:pPr>
          </w:p>
        </w:tc>
        <w:tc>
          <w:tcPr>
            <w:tcW w:w="1710" w:type="dxa"/>
            <w:gridSpan w:val="2"/>
            <w:tcBorders>
              <w:top w:val="single" w:sz="6" w:space="0" w:color="auto"/>
              <w:bottom w:val="single" w:sz="4" w:space="0" w:color="auto"/>
            </w:tcBorders>
            <w:shd w:val="clear" w:color="auto" w:fill="auto"/>
            <w:vAlign w:val="center"/>
          </w:tcPr>
          <w:p w14:paraId="5925D2E3" w14:textId="77777777" w:rsidR="00AE3893" w:rsidRPr="00FB766E" w:rsidRDefault="00AE3893" w:rsidP="006A75A3">
            <w:pPr>
              <w:jc w:val="center"/>
              <w:rPr>
                <w:rFonts w:ascii="Arial" w:hAnsi="Arial" w:cs="Arial"/>
                <w:b/>
                <w:i/>
                <w:sz w:val="18"/>
                <w:szCs w:val="22"/>
              </w:rPr>
            </w:pPr>
            <w:r w:rsidRPr="00FB766E">
              <w:rPr>
                <w:rFonts w:ascii="Arial" w:hAnsi="Arial" w:cs="Arial"/>
                <w:b/>
                <w:i/>
                <w:sz w:val="18"/>
                <w:szCs w:val="22"/>
              </w:rPr>
              <w:t>Male</w:t>
            </w:r>
          </w:p>
        </w:tc>
        <w:tc>
          <w:tcPr>
            <w:tcW w:w="7286" w:type="dxa"/>
            <w:gridSpan w:val="3"/>
            <w:tcBorders>
              <w:top w:val="single" w:sz="6" w:space="0" w:color="auto"/>
            </w:tcBorders>
            <w:shd w:val="clear" w:color="auto" w:fill="auto"/>
            <w:vAlign w:val="center"/>
          </w:tcPr>
          <w:p w14:paraId="1B1835CB" w14:textId="77777777" w:rsidR="00AE3893" w:rsidRPr="0069196A" w:rsidRDefault="00AE3893" w:rsidP="006A75A3">
            <w:pPr>
              <w:rPr>
                <w:rFonts w:ascii="Arial" w:hAnsi="Arial" w:cs="Arial"/>
                <w:b/>
                <w:i/>
                <w:sz w:val="18"/>
                <w:szCs w:val="22"/>
              </w:rPr>
            </w:pPr>
          </w:p>
        </w:tc>
        <w:tc>
          <w:tcPr>
            <w:tcW w:w="8006" w:type="dxa"/>
            <w:vAlign w:val="center"/>
          </w:tcPr>
          <w:p w14:paraId="0AD472BC" w14:textId="77777777" w:rsidR="00AE3893" w:rsidRPr="00C21BE3" w:rsidRDefault="00AE3893" w:rsidP="006A75A3">
            <w:pPr>
              <w:spacing w:after="200" w:line="276" w:lineRule="auto"/>
            </w:pPr>
          </w:p>
        </w:tc>
      </w:tr>
      <w:tr w:rsidR="00AE3893" w:rsidRPr="00C21BE3" w14:paraId="61A78DDA" w14:textId="77777777" w:rsidTr="006A75A3">
        <w:trPr>
          <w:gridAfter w:val="1"/>
          <w:wAfter w:w="8006" w:type="dxa"/>
          <w:trHeight w:val="440"/>
        </w:trPr>
        <w:tc>
          <w:tcPr>
            <w:tcW w:w="1458" w:type="dxa"/>
            <w:gridSpan w:val="2"/>
            <w:vAlign w:val="center"/>
          </w:tcPr>
          <w:p w14:paraId="6F15599E"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Veh</w:t>
            </w:r>
            <w:r>
              <w:rPr>
                <w:rFonts w:ascii="Arial" w:hAnsi="Arial" w:cs="Arial"/>
                <w:sz w:val="18"/>
                <w:szCs w:val="22"/>
              </w:rPr>
              <w:t>icle</w:t>
            </w:r>
          </w:p>
        </w:tc>
        <w:tc>
          <w:tcPr>
            <w:tcW w:w="630" w:type="dxa"/>
            <w:vAlign w:val="center"/>
          </w:tcPr>
          <w:p w14:paraId="211C06CD"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14</w:t>
            </w:r>
          </w:p>
        </w:tc>
        <w:tc>
          <w:tcPr>
            <w:tcW w:w="3420" w:type="dxa"/>
            <w:gridSpan w:val="2"/>
            <w:vAlign w:val="center"/>
          </w:tcPr>
          <w:p w14:paraId="4B3D9873" w14:textId="30018903" w:rsidR="00AE3893" w:rsidRPr="005635B0" w:rsidRDefault="00AE3893" w:rsidP="006A75A3">
            <w:pPr>
              <w:jc w:val="center"/>
              <w:rPr>
                <w:rFonts w:ascii="Arial" w:hAnsi="Arial" w:cs="Arial"/>
                <w:sz w:val="18"/>
                <w:szCs w:val="22"/>
              </w:rPr>
            </w:pPr>
            <w:r w:rsidRPr="005635B0">
              <w:rPr>
                <w:rFonts w:ascii="Arial" w:hAnsi="Arial" w:cs="Arial"/>
                <w:sz w:val="18"/>
                <w:szCs w:val="22"/>
              </w:rPr>
              <w:t>61.2</w:t>
            </w:r>
            <w:r w:rsidR="003D0821" w:rsidRPr="005635B0">
              <w:rPr>
                <w:rFonts w:ascii="Arial" w:hAnsi="Arial" w:cs="Arial"/>
                <w:sz w:val="18"/>
                <w:szCs w:val="22"/>
              </w:rPr>
              <w:t>% *</w:t>
            </w:r>
          </w:p>
        </w:tc>
        <w:tc>
          <w:tcPr>
            <w:tcW w:w="3866" w:type="dxa"/>
            <w:vAlign w:val="center"/>
          </w:tcPr>
          <w:p w14:paraId="150E538A" w14:textId="77777777" w:rsidR="00AE3893" w:rsidRPr="005635B0" w:rsidRDefault="00AE3893" w:rsidP="006A75A3">
            <w:pPr>
              <w:rPr>
                <w:rFonts w:ascii="Arial" w:hAnsi="Arial" w:cs="Arial"/>
                <w:sz w:val="18"/>
                <w:szCs w:val="22"/>
              </w:rPr>
            </w:pPr>
            <w:r>
              <w:rPr>
                <w:rFonts w:ascii="Arial" w:hAnsi="Arial" w:cs="Arial"/>
                <w:sz w:val="18"/>
                <w:szCs w:val="22"/>
              </w:rPr>
              <w:t xml:space="preserve">    </w:t>
            </w:r>
            <w:r w:rsidRPr="005635B0">
              <w:rPr>
                <w:rFonts w:ascii="Arial" w:hAnsi="Arial" w:cs="Arial"/>
                <w:sz w:val="18"/>
                <w:szCs w:val="22"/>
              </w:rPr>
              <w:t>t</w:t>
            </w:r>
            <w:r w:rsidRPr="005635B0">
              <w:rPr>
                <w:rFonts w:ascii="Arial" w:hAnsi="Arial" w:cs="Arial"/>
                <w:sz w:val="18"/>
                <w:szCs w:val="22"/>
                <w:vertAlign w:val="subscript"/>
              </w:rPr>
              <w:t>13</w:t>
            </w:r>
            <w:r w:rsidRPr="005635B0">
              <w:rPr>
                <w:rFonts w:ascii="Arial" w:hAnsi="Arial" w:cs="Arial"/>
                <w:sz w:val="18"/>
                <w:szCs w:val="22"/>
              </w:rPr>
              <w:t xml:space="preserve">= 2.85, *p=0.014 </w:t>
            </w:r>
          </w:p>
        </w:tc>
      </w:tr>
      <w:tr w:rsidR="00AE3893" w:rsidRPr="00C21BE3" w14:paraId="4838BA3C" w14:textId="77777777" w:rsidTr="006A75A3">
        <w:trPr>
          <w:gridAfter w:val="1"/>
          <w:wAfter w:w="8006" w:type="dxa"/>
          <w:trHeight w:val="360"/>
        </w:trPr>
        <w:tc>
          <w:tcPr>
            <w:tcW w:w="1458" w:type="dxa"/>
            <w:gridSpan w:val="2"/>
            <w:shd w:val="clear" w:color="auto" w:fill="auto"/>
            <w:vAlign w:val="center"/>
          </w:tcPr>
          <w:p w14:paraId="73F9D14A"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THC</w:t>
            </w:r>
          </w:p>
        </w:tc>
        <w:tc>
          <w:tcPr>
            <w:tcW w:w="630" w:type="dxa"/>
            <w:shd w:val="clear" w:color="auto" w:fill="auto"/>
            <w:vAlign w:val="center"/>
          </w:tcPr>
          <w:p w14:paraId="51DEEFB4"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16</w:t>
            </w:r>
          </w:p>
        </w:tc>
        <w:tc>
          <w:tcPr>
            <w:tcW w:w="3420" w:type="dxa"/>
            <w:gridSpan w:val="2"/>
            <w:shd w:val="clear" w:color="auto" w:fill="auto"/>
            <w:vAlign w:val="center"/>
          </w:tcPr>
          <w:p w14:paraId="709EB4EA" w14:textId="30316E0D" w:rsidR="00AE3893" w:rsidRPr="005635B0" w:rsidRDefault="00AE3893" w:rsidP="006A75A3">
            <w:pPr>
              <w:jc w:val="center"/>
              <w:rPr>
                <w:rFonts w:ascii="Arial" w:hAnsi="Arial" w:cs="Arial"/>
                <w:sz w:val="18"/>
                <w:szCs w:val="22"/>
              </w:rPr>
            </w:pPr>
            <w:r w:rsidRPr="005635B0">
              <w:rPr>
                <w:rFonts w:ascii="Arial" w:hAnsi="Arial" w:cs="Arial"/>
                <w:sz w:val="18"/>
                <w:szCs w:val="22"/>
              </w:rPr>
              <w:t>56.8</w:t>
            </w:r>
            <w:r w:rsidR="003D0821" w:rsidRPr="005635B0">
              <w:rPr>
                <w:rFonts w:ascii="Arial" w:hAnsi="Arial" w:cs="Arial"/>
                <w:sz w:val="18"/>
                <w:szCs w:val="22"/>
              </w:rPr>
              <w:t xml:space="preserve">% </w:t>
            </w:r>
            <w:r w:rsidR="003D0821" w:rsidRPr="005635B0">
              <w:rPr>
                <w:rFonts w:ascii="Arial" w:hAnsi="Arial" w:cs="Arial"/>
                <w:b/>
                <w:bCs/>
                <w:sz w:val="18"/>
              </w:rPr>
              <w:t>*</w:t>
            </w:r>
          </w:p>
        </w:tc>
        <w:tc>
          <w:tcPr>
            <w:tcW w:w="3866" w:type="dxa"/>
            <w:shd w:val="clear" w:color="auto" w:fill="auto"/>
            <w:vAlign w:val="center"/>
          </w:tcPr>
          <w:p w14:paraId="138F5DC3" w14:textId="77777777" w:rsidR="00AE3893" w:rsidRDefault="00AE3893" w:rsidP="006A75A3">
            <w:pPr>
              <w:rPr>
                <w:rFonts w:ascii="Arial" w:hAnsi="Arial" w:cs="Arial"/>
                <w:sz w:val="18"/>
                <w:szCs w:val="22"/>
              </w:rPr>
            </w:pPr>
            <w:r>
              <w:rPr>
                <w:rFonts w:ascii="Arial" w:hAnsi="Arial" w:cs="Arial"/>
                <w:sz w:val="18"/>
                <w:szCs w:val="22"/>
              </w:rPr>
              <w:t xml:space="preserve">    </w:t>
            </w:r>
            <w:r w:rsidRPr="005635B0">
              <w:rPr>
                <w:rFonts w:ascii="Arial" w:hAnsi="Arial" w:cs="Arial"/>
                <w:sz w:val="18"/>
                <w:szCs w:val="22"/>
              </w:rPr>
              <w:t>t</w:t>
            </w:r>
            <w:r w:rsidRPr="005635B0">
              <w:rPr>
                <w:rFonts w:ascii="Arial" w:hAnsi="Arial" w:cs="Arial"/>
                <w:sz w:val="18"/>
                <w:szCs w:val="22"/>
                <w:vertAlign w:val="subscript"/>
              </w:rPr>
              <w:t>17</w:t>
            </w:r>
            <w:r w:rsidRPr="005635B0">
              <w:rPr>
                <w:rFonts w:ascii="Arial" w:hAnsi="Arial" w:cs="Arial"/>
                <w:sz w:val="18"/>
                <w:szCs w:val="22"/>
              </w:rPr>
              <w:t>=2.80, *p=0.012</w:t>
            </w:r>
          </w:p>
          <w:p w14:paraId="7E0CB2EA" w14:textId="77777777" w:rsidR="00AE3893" w:rsidRPr="005635B0" w:rsidRDefault="00AE3893" w:rsidP="006A75A3">
            <w:pPr>
              <w:rPr>
                <w:rFonts w:ascii="Arial" w:hAnsi="Arial" w:cs="Arial"/>
                <w:sz w:val="18"/>
                <w:szCs w:val="22"/>
              </w:rPr>
            </w:pPr>
          </w:p>
        </w:tc>
      </w:tr>
      <w:tr w:rsidR="00AE3893" w:rsidRPr="00C21BE3" w14:paraId="2C259065" w14:textId="77777777" w:rsidTr="006A75A3">
        <w:trPr>
          <w:gridAfter w:val="1"/>
          <w:wAfter w:w="8006" w:type="dxa"/>
          <w:trHeight w:val="376"/>
        </w:trPr>
        <w:tc>
          <w:tcPr>
            <w:tcW w:w="378" w:type="dxa"/>
            <w:shd w:val="clear" w:color="auto" w:fill="auto"/>
            <w:vAlign w:val="center"/>
          </w:tcPr>
          <w:p w14:paraId="434D7A1F" w14:textId="77777777" w:rsidR="00AE3893" w:rsidRDefault="00AE3893" w:rsidP="006A75A3">
            <w:pPr>
              <w:jc w:val="center"/>
              <w:rPr>
                <w:rFonts w:ascii="Arial" w:hAnsi="Arial" w:cs="Arial"/>
                <w:b/>
                <w:i/>
                <w:sz w:val="28"/>
                <w:szCs w:val="22"/>
              </w:rPr>
            </w:pPr>
          </w:p>
        </w:tc>
        <w:tc>
          <w:tcPr>
            <w:tcW w:w="1710" w:type="dxa"/>
            <w:gridSpan w:val="2"/>
            <w:tcBorders>
              <w:top w:val="single" w:sz="8" w:space="0" w:color="auto"/>
              <w:bottom w:val="single" w:sz="4" w:space="0" w:color="auto"/>
            </w:tcBorders>
            <w:shd w:val="clear" w:color="auto" w:fill="auto"/>
            <w:vAlign w:val="center"/>
          </w:tcPr>
          <w:p w14:paraId="0E52C770" w14:textId="77777777" w:rsidR="00AE3893" w:rsidRDefault="00AE3893" w:rsidP="006A75A3">
            <w:pPr>
              <w:jc w:val="center"/>
              <w:rPr>
                <w:rFonts w:ascii="Arial" w:hAnsi="Arial" w:cs="Arial"/>
                <w:b/>
                <w:i/>
                <w:sz w:val="28"/>
                <w:szCs w:val="22"/>
              </w:rPr>
            </w:pPr>
            <w:r w:rsidRPr="0069196A">
              <w:rPr>
                <w:rFonts w:ascii="Arial" w:hAnsi="Arial" w:cs="Arial"/>
                <w:b/>
                <w:i/>
                <w:sz w:val="18"/>
                <w:szCs w:val="22"/>
              </w:rPr>
              <w:t>Female</w:t>
            </w:r>
          </w:p>
        </w:tc>
        <w:tc>
          <w:tcPr>
            <w:tcW w:w="7286" w:type="dxa"/>
            <w:gridSpan w:val="3"/>
            <w:tcBorders>
              <w:top w:val="single" w:sz="8" w:space="0" w:color="auto"/>
            </w:tcBorders>
            <w:shd w:val="clear" w:color="auto" w:fill="auto"/>
            <w:vAlign w:val="center"/>
          </w:tcPr>
          <w:p w14:paraId="18B9D4CE" w14:textId="77777777" w:rsidR="00AE3893" w:rsidRPr="009F4D08" w:rsidRDefault="00AE3893" w:rsidP="006A75A3">
            <w:pPr>
              <w:rPr>
                <w:rFonts w:ascii="Arial" w:hAnsi="Arial" w:cs="Arial"/>
                <w:b/>
                <w:i/>
                <w:sz w:val="22"/>
                <w:szCs w:val="22"/>
              </w:rPr>
            </w:pPr>
          </w:p>
        </w:tc>
      </w:tr>
      <w:tr w:rsidR="00AE3893" w:rsidRPr="00C21BE3" w14:paraId="795F1753" w14:textId="77777777" w:rsidTr="006A75A3">
        <w:trPr>
          <w:gridAfter w:val="1"/>
          <w:wAfter w:w="8006" w:type="dxa"/>
          <w:trHeight w:val="341"/>
        </w:trPr>
        <w:tc>
          <w:tcPr>
            <w:tcW w:w="1458" w:type="dxa"/>
            <w:gridSpan w:val="2"/>
            <w:vAlign w:val="center"/>
          </w:tcPr>
          <w:p w14:paraId="382136F4"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Veh</w:t>
            </w:r>
            <w:r>
              <w:rPr>
                <w:rFonts w:ascii="Arial" w:hAnsi="Arial" w:cs="Arial"/>
                <w:sz w:val="18"/>
                <w:szCs w:val="22"/>
              </w:rPr>
              <w:t>icle</w:t>
            </w:r>
          </w:p>
        </w:tc>
        <w:tc>
          <w:tcPr>
            <w:tcW w:w="630" w:type="dxa"/>
            <w:vAlign w:val="center"/>
          </w:tcPr>
          <w:p w14:paraId="6D45F452"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12</w:t>
            </w:r>
          </w:p>
        </w:tc>
        <w:tc>
          <w:tcPr>
            <w:tcW w:w="3420" w:type="dxa"/>
            <w:gridSpan w:val="2"/>
            <w:vAlign w:val="center"/>
          </w:tcPr>
          <w:p w14:paraId="2FBAEB25" w14:textId="04F8CC38" w:rsidR="00AE3893" w:rsidRPr="005635B0" w:rsidRDefault="00AE3893" w:rsidP="006A75A3">
            <w:pPr>
              <w:jc w:val="center"/>
              <w:rPr>
                <w:rFonts w:ascii="Arial" w:hAnsi="Arial" w:cs="Arial"/>
                <w:sz w:val="18"/>
                <w:szCs w:val="22"/>
              </w:rPr>
            </w:pPr>
            <w:r w:rsidRPr="005635B0">
              <w:rPr>
                <w:rFonts w:ascii="Arial" w:hAnsi="Arial" w:cs="Arial"/>
                <w:sz w:val="18"/>
                <w:szCs w:val="22"/>
              </w:rPr>
              <w:t>64.5</w:t>
            </w:r>
            <w:r w:rsidR="003D0821" w:rsidRPr="005635B0">
              <w:rPr>
                <w:rFonts w:ascii="Arial" w:hAnsi="Arial" w:cs="Arial"/>
                <w:sz w:val="18"/>
                <w:szCs w:val="22"/>
              </w:rPr>
              <w:t>% *</w:t>
            </w:r>
            <w:r w:rsidRPr="005635B0">
              <w:rPr>
                <w:rFonts w:ascii="Arial" w:hAnsi="Arial" w:cs="Arial"/>
                <w:b/>
                <w:bCs/>
                <w:sz w:val="18"/>
              </w:rPr>
              <w:t>**</w:t>
            </w:r>
          </w:p>
        </w:tc>
        <w:tc>
          <w:tcPr>
            <w:tcW w:w="3866" w:type="dxa"/>
            <w:vAlign w:val="center"/>
          </w:tcPr>
          <w:p w14:paraId="30DBBFF0" w14:textId="77777777" w:rsidR="00AE3893" w:rsidRPr="005635B0" w:rsidRDefault="00AE3893" w:rsidP="006A75A3">
            <w:pPr>
              <w:rPr>
                <w:rFonts w:ascii="Arial" w:hAnsi="Arial" w:cs="Arial"/>
                <w:sz w:val="18"/>
                <w:szCs w:val="22"/>
              </w:rPr>
            </w:pPr>
            <w:r>
              <w:rPr>
                <w:rFonts w:ascii="Arial" w:hAnsi="Arial" w:cs="Arial"/>
                <w:sz w:val="18"/>
                <w:szCs w:val="22"/>
              </w:rPr>
              <w:t xml:space="preserve">    </w:t>
            </w:r>
            <w:r w:rsidRPr="005635B0">
              <w:rPr>
                <w:rFonts w:ascii="Arial" w:hAnsi="Arial" w:cs="Arial"/>
                <w:sz w:val="18"/>
                <w:szCs w:val="22"/>
              </w:rPr>
              <w:t>t</w:t>
            </w:r>
            <w:r w:rsidRPr="005635B0">
              <w:rPr>
                <w:rFonts w:ascii="Arial" w:hAnsi="Arial" w:cs="Arial"/>
                <w:sz w:val="18"/>
                <w:szCs w:val="22"/>
                <w:vertAlign w:val="subscript"/>
              </w:rPr>
              <w:t>11</w:t>
            </w:r>
            <w:r w:rsidRPr="005635B0">
              <w:rPr>
                <w:rFonts w:ascii="Arial" w:hAnsi="Arial" w:cs="Arial"/>
                <w:sz w:val="18"/>
                <w:szCs w:val="22"/>
              </w:rPr>
              <w:t>=7.0, ***p&lt;0.0001</w:t>
            </w:r>
          </w:p>
        </w:tc>
      </w:tr>
      <w:tr w:rsidR="00AE3893" w:rsidRPr="00C21BE3" w14:paraId="5E9D2924" w14:textId="77777777" w:rsidTr="006A75A3">
        <w:trPr>
          <w:gridAfter w:val="1"/>
          <w:wAfter w:w="8006" w:type="dxa"/>
          <w:trHeight w:val="266"/>
        </w:trPr>
        <w:tc>
          <w:tcPr>
            <w:tcW w:w="1458" w:type="dxa"/>
            <w:gridSpan w:val="2"/>
            <w:shd w:val="clear" w:color="auto" w:fill="auto"/>
            <w:vAlign w:val="center"/>
          </w:tcPr>
          <w:p w14:paraId="500ED3BF"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THC</w:t>
            </w:r>
          </w:p>
        </w:tc>
        <w:tc>
          <w:tcPr>
            <w:tcW w:w="630" w:type="dxa"/>
            <w:shd w:val="clear" w:color="auto" w:fill="auto"/>
            <w:vAlign w:val="center"/>
          </w:tcPr>
          <w:p w14:paraId="63DE2552"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10</w:t>
            </w:r>
          </w:p>
        </w:tc>
        <w:tc>
          <w:tcPr>
            <w:tcW w:w="3420" w:type="dxa"/>
            <w:gridSpan w:val="2"/>
            <w:shd w:val="clear" w:color="auto" w:fill="auto"/>
            <w:vAlign w:val="center"/>
          </w:tcPr>
          <w:p w14:paraId="5C4A99F2"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 xml:space="preserve">52.8% n.s.     </w:t>
            </w:r>
          </w:p>
        </w:tc>
        <w:tc>
          <w:tcPr>
            <w:tcW w:w="3866" w:type="dxa"/>
            <w:shd w:val="clear" w:color="auto" w:fill="auto"/>
            <w:vAlign w:val="center"/>
          </w:tcPr>
          <w:p w14:paraId="3500CCFB" w14:textId="77777777" w:rsidR="00AE3893" w:rsidRDefault="00AE3893" w:rsidP="006A75A3">
            <w:pPr>
              <w:rPr>
                <w:rFonts w:ascii="Arial" w:hAnsi="Arial" w:cs="Arial"/>
                <w:sz w:val="18"/>
                <w:szCs w:val="22"/>
              </w:rPr>
            </w:pPr>
            <w:r>
              <w:rPr>
                <w:rFonts w:ascii="Arial" w:hAnsi="Arial" w:cs="Arial"/>
                <w:sz w:val="18"/>
                <w:szCs w:val="22"/>
              </w:rPr>
              <w:t xml:space="preserve">    </w:t>
            </w:r>
            <w:r w:rsidRPr="005635B0">
              <w:rPr>
                <w:rFonts w:ascii="Arial" w:hAnsi="Arial" w:cs="Arial"/>
                <w:sz w:val="18"/>
                <w:szCs w:val="22"/>
              </w:rPr>
              <w:t>t</w:t>
            </w:r>
            <w:r w:rsidRPr="005635B0">
              <w:rPr>
                <w:rFonts w:ascii="Arial" w:hAnsi="Arial" w:cs="Arial"/>
                <w:sz w:val="18"/>
                <w:szCs w:val="22"/>
                <w:vertAlign w:val="subscript"/>
              </w:rPr>
              <w:t>9</w:t>
            </w:r>
            <w:r w:rsidRPr="005635B0">
              <w:rPr>
                <w:rFonts w:ascii="Arial" w:hAnsi="Arial" w:cs="Arial"/>
                <w:sz w:val="18"/>
                <w:szCs w:val="22"/>
              </w:rPr>
              <w:t>=0.66, n.s. p=0.527</w:t>
            </w:r>
          </w:p>
          <w:p w14:paraId="7AC47A85" w14:textId="77777777" w:rsidR="00AE3893" w:rsidRPr="005635B0" w:rsidRDefault="00AE3893" w:rsidP="006A75A3">
            <w:pPr>
              <w:rPr>
                <w:rFonts w:ascii="Arial" w:hAnsi="Arial" w:cs="Arial"/>
                <w:sz w:val="18"/>
                <w:szCs w:val="22"/>
              </w:rPr>
            </w:pPr>
          </w:p>
        </w:tc>
      </w:tr>
    </w:tbl>
    <w:p w14:paraId="4E40286A" w14:textId="77777777" w:rsidR="00AE3893" w:rsidRPr="00C21BE3" w:rsidRDefault="00AE3893" w:rsidP="00AE3893">
      <w:pPr>
        <w:tabs>
          <w:tab w:val="left" w:pos="3133"/>
        </w:tabs>
        <w:rPr>
          <w:rFonts w:ascii="Arial" w:hAnsi="Arial" w:cs="Arial"/>
        </w:rPr>
      </w:pPr>
      <w:r>
        <w:rPr>
          <w:rFonts w:ascii="Arial" w:hAnsi="Arial" w:cs="Arial"/>
        </w:rPr>
        <w:tab/>
      </w:r>
    </w:p>
    <w:tbl>
      <w:tblPr>
        <w:tblStyle w:val="TableGrid"/>
        <w:tblW w:w="9689" w:type="dxa"/>
        <w:tblLook w:val="04A0" w:firstRow="1" w:lastRow="0" w:firstColumn="1" w:lastColumn="0" w:noHBand="0" w:noVBand="1"/>
      </w:tblPr>
      <w:tblGrid>
        <w:gridCol w:w="378"/>
        <w:gridCol w:w="1080"/>
        <w:gridCol w:w="630"/>
        <w:gridCol w:w="3330"/>
        <w:gridCol w:w="3968"/>
        <w:gridCol w:w="303"/>
      </w:tblGrid>
      <w:tr w:rsidR="00AE3893" w:rsidRPr="00C21BE3" w14:paraId="75CF77F2" w14:textId="77777777" w:rsidTr="006A75A3">
        <w:trPr>
          <w:gridAfter w:val="1"/>
          <w:wAfter w:w="303" w:type="dxa"/>
          <w:trHeight w:val="435"/>
        </w:trPr>
        <w:tc>
          <w:tcPr>
            <w:tcW w:w="1458" w:type="dxa"/>
            <w:gridSpan w:val="2"/>
            <w:tcBorders>
              <w:top w:val="single" w:sz="6" w:space="0" w:color="auto"/>
              <w:left w:val="nil"/>
              <w:bottom w:val="single" w:sz="6" w:space="0" w:color="auto"/>
              <w:right w:val="nil"/>
            </w:tcBorders>
            <w:shd w:val="clear" w:color="auto" w:fill="auto"/>
            <w:vAlign w:val="center"/>
          </w:tcPr>
          <w:p w14:paraId="0E5B3849" w14:textId="77777777" w:rsidR="00AE3893" w:rsidRPr="00CF580C" w:rsidRDefault="00AE3893" w:rsidP="006A75A3">
            <w:pPr>
              <w:jc w:val="center"/>
              <w:rPr>
                <w:rFonts w:ascii="Arial" w:hAnsi="Arial" w:cs="Arial"/>
                <w:b/>
                <w:bCs/>
                <w:sz w:val="20"/>
                <w:szCs w:val="22"/>
              </w:rPr>
            </w:pPr>
            <w:r w:rsidRPr="00CF580C">
              <w:rPr>
                <w:rFonts w:ascii="Arial" w:hAnsi="Arial" w:cs="Arial"/>
                <w:b/>
                <w:bCs/>
                <w:sz w:val="20"/>
                <w:szCs w:val="22"/>
              </w:rPr>
              <w:t>Mouse</w:t>
            </w:r>
          </w:p>
        </w:tc>
        <w:tc>
          <w:tcPr>
            <w:tcW w:w="630" w:type="dxa"/>
            <w:tcBorders>
              <w:top w:val="single" w:sz="6" w:space="0" w:color="auto"/>
              <w:left w:val="nil"/>
              <w:bottom w:val="single" w:sz="6" w:space="0" w:color="auto"/>
              <w:right w:val="nil"/>
            </w:tcBorders>
            <w:shd w:val="clear" w:color="auto" w:fill="auto"/>
            <w:vAlign w:val="center"/>
          </w:tcPr>
          <w:p w14:paraId="5C8B10D3" w14:textId="77777777" w:rsidR="00AE3893" w:rsidRPr="00FB766E" w:rsidRDefault="00AE3893" w:rsidP="006A75A3">
            <w:pPr>
              <w:jc w:val="center"/>
              <w:rPr>
                <w:rFonts w:ascii="Arial" w:hAnsi="Arial" w:cs="Arial"/>
                <w:b/>
                <w:bCs/>
                <w:sz w:val="18"/>
                <w:szCs w:val="22"/>
              </w:rPr>
            </w:pPr>
            <w:r w:rsidRPr="00FB766E">
              <w:rPr>
                <w:rFonts w:ascii="Arial" w:hAnsi="Arial" w:cs="Arial"/>
                <w:b/>
                <w:bCs/>
                <w:sz w:val="18"/>
                <w:szCs w:val="22"/>
              </w:rPr>
              <w:t>N</w:t>
            </w:r>
          </w:p>
        </w:tc>
        <w:tc>
          <w:tcPr>
            <w:tcW w:w="3330" w:type="dxa"/>
            <w:tcBorders>
              <w:top w:val="single" w:sz="6" w:space="0" w:color="auto"/>
              <w:left w:val="nil"/>
              <w:bottom w:val="single" w:sz="6" w:space="0" w:color="auto"/>
              <w:right w:val="nil"/>
            </w:tcBorders>
            <w:shd w:val="clear" w:color="auto" w:fill="auto"/>
            <w:vAlign w:val="center"/>
          </w:tcPr>
          <w:p w14:paraId="5E11535B" w14:textId="77777777" w:rsidR="00AE3893" w:rsidRPr="00FB766E" w:rsidRDefault="00AE3893" w:rsidP="006A75A3">
            <w:pPr>
              <w:jc w:val="center"/>
              <w:rPr>
                <w:rFonts w:ascii="Arial" w:hAnsi="Arial" w:cs="Arial"/>
                <w:b/>
                <w:bCs/>
                <w:sz w:val="18"/>
                <w:szCs w:val="22"/>
              </w:rPr>
            </w:pPr>
            <w:r w:rsidRPr="00FB766E">
              <w:rPr>
                <w:rFonts w:ascii="Arial" w:hAnsi="Arial" w:cs="Arial"/>
                <w:b/>
                <w:bCs/>
                <w:sz w:val="18"/>
                <w:szCs w:val="22"/>
              </w:rPr>
              <w:t>% displaced object sampling</w:t>
            </w:r>
          </w:p>
        </w:tc>
        <w:tc>
          <w:tcPr>
            <w:tcW w:w="3968" w:type="dxa"/>
            <w:tcBorders>
              <w:top w:val="single" w:sz="6" w:space="0" w:color="auto"/>
              <w:left w:val="nil"/>
              <w:bottom w:val="single" w:sz="6" w:space="0" w:color="auto"/>
              <w:right w:val="nil"/>
            </w:tcBorders>
            <w:shd w:val="clear" w:color="auto" w:fill="auto"/>
            <w:vAlign w:val="center"/>
          </w:tcPr>
          <w:p w14:paraId="59B7A8B1" w14:textId="77777777" w:rsidR="00AE3893" w:rsidRPr="00FB766E" w:rsidRDefault="00AE3893" w:rsidP="006A75A3">
            <w:pPr>
              <w:jc w:val="center"/>
              <w:rPr>
                <w:rFonts w:ascii="Arial" w:hAnsi="Arial" w:cs="Arial"/>
                <w:b/>
                <w:bCs/>
                <w:sz w:val="18"/>
                <w:szCs w:val="22"/>
              </w:rPr>
            </w:pPr>
            <w:r w:rsidRPr="00FB766E">
              <w:rPr>
                <w:rFonts w:ascii="Arial" w:hAnsi="Arial" w:cs="Arial"/>
                <w:b/>
                <w:bCs/>
                <w:sz w:val="18"/>
                <w:szCs w:val="26"/>
              </w:rPr>
              <w:t>Statistics (</w:t>
            </w:r>
            <w:r w:rsidRPr="00FB766E">
              <w:rPr>
                <w:rFonts w:ascii="Arial" w:hAnsi="Arial" w:cs="Arial"/>
                <w:b/>
                <w:sz w:val="18"/>
                <w:szCs w:val="26"/>
              </w:rPr>
              <w:t xml:space="preserve">paired </w:t>
            </w:r>
            <w:r w:rsidRPr="00FB766E">
              <w:rPr>
                <w:rFonts w:ascii="Arial" w:hAnsi="Arial" w:cs="Arial"/>
                <w:b/>
                <w:i/>
                <w:sz w:val="18"/>
                <w:szCs w:val="26"/>
              </w:rPr>
              <w:t>t-test</w:t>
            </w:r>
            <w:r w:rsidRPr="00FB766E">
              <w:rPr>
                <w:rFonts w:ascii="Arial" w:hAnsi="Arial" w:cs="Arial"/>
                <w:b/>
                <w:sz w:val="18"/>
                <w:szCs w:val="26"/>
              </w:rPr>
              <w:t xml:space="preserve"> vs % stationary)</w:t>
            </w:r>
          </w:p>
        </w:tc>
      </w:tr>
      <w:tr w:rsidR="00AE3893" w:rsidRPr="00C21BE3" w14:paraId="1CE6BCD7" w14:textId="77777777" w:rsidTr="006A75A3">
        <w:trPr>
          <w:gridAfter w:val="1"/>
          <w:wAfter w:w="303" w:type="dxa"/>
          <w:trHeight w:val="431"/>
        </w:trPr>
        <w:tc>
          <w:tcPr>
            <w:tcW w:w="378" w:type="dxa"/>
            <w:tcBorders>
              <w:top w:val="single" w:sz="6" w:space="0" w:color="auto"/>
              <w:left w:val="nil"/>
              <w:bottom w:val="nil"/>
              <w:right w:val="nil"/>
            </w:tcBorders>
            <w:shd w:val="clear" w:color="auto" w:fill="auto"/>
            <w:vAlign w:val="center"/>
          </w:tcPr>
          <w:p w14:paraId="33398377" w14:textId="77777777" w:rsidR="00AE3893" w:rsidRPr="009F4D08" w:rsidRDefault="00AE3893" w:rsidP="006A75A3">
            <w:pPr>
              <w:jc w:val="center"/>
              <w:rPr>
                <w:rFonts w:ascii="Arial" w:hAnsi="Arial" w:cs="Arial"/>
                <w:b/>
                <w:i/>
                <w:sz w:val="22"/>
                <w:szCs w:val="22"/>
              </w:rPr>
            </w:pPr>
          </w:p>
        </w:tc>
        <w:tc>
          <w:tcPr>
            <w:tcW w:w="1710" w:type="dxa"/>
            <w:gridSpan w:val="2"/>
            <w:tcBorders>
              <w:top w:val="single" w:sz="6" w:space="0" w:color="auto"/>
              <w:left w:val="nil"/>
              <w:bottom w:val="single" w:sz="4" w:space="0" w:color="7F7F7F" w:themeColor="text1" w:themeTint="80"/>
              <w:right w:val="nil"/>
            </w:tcBorders>
            <w:shd w:val="clear" w:color="auto" w:fill="auto"/>
            <w:vAlign w:val="center"/>
          </w:tcPr>
          <w:p w14:paraId="40752C25" w14:textId="77777777" w:rsidR="00AE3893" w:rsidRPr="009F4D08" w:rsidRDefault="00AE3893" w:rsidP="006A75A3">
            <w:pPr>
              <w:jc w:val="center"/>
              <w:rPr>
                <w:rFonts w:ascii="Arial" w:hAnsi="Arial" w:cs="Arial"/>
                <w:b/>
                <w:i/>
                <w:sz w:val="22"/>
                <w:szCs w:val="22"/>
              </w:rPr>
            </w:pPr>
            <w:r w:rsidRPr="0069196A">
              <w:rPr>
                <w:rFonts w:ascii="Arial" w:hAnsi="Arial" w:cs="Arial"/>
                <w:b/>
                <w:i/>
                <w:sz w:val="18"/>
                <w:szCs w:val="22"/>
              </w:rPr>
              <w:t>Male</w:t>
            </w:r>
          </w:p>
        </w:tc>
        <w:tc>
          <w:tcPr>
            <w:tcW w:w="7298" w:type="dxa"/>
            <w:gridSpan w:val="2"/>
            <w:tcBorders>
              <w:top w:val="single" w:sz="6" w:space="0" w:color="auto"/>
              <w:left w:val="nil"/>
              <w:bottom w:val="nil"/>
              <w:right w:val="nil"/>
            </w:tcBorders>
            <w:shd w:val="clear" w:color="auto" w:fill="auto"/>
            <w:vAlign w:val="center"/>
          </w:tcPr>
          <w:p w14:paraId="6A2B5EF5" w14:textId="77777777" w:rsidR="00AE3893" w:rsidRPr="009F4D08" w:rsidRDefault="00AE3893" w:rsidP="006A75A3">
            <w:pPr>
              <w:rPr>
                <w:rFonts w:ascii="Arial" w:hAnsi="Arial" w:cs="Arial"/>
                <w:b/>
                <w:i/>
                <w:sz w:val="22"/>
                <w:szCs w:val="22"/>
              </w:rPr>
            </w:pPr>
          </w:p>
        </w:tc>
      </w:tr>
      <w:tr w:rsidR="00AE3893" w:rsidRPr="00C21BE3" w14:paraId="4BFEC37D" w14:textId="77777777" w:rsidTr="006A75A3">
        <w:trPr>
          <w:trHeight w:val="350"/>
        </w:trPr>
        <w:tc>
          <w:tcPr>
            <w:tcW w:w="1458" w:type="dxa"/>
            <w:gridSpan w:val="2"/>
            <w:tcBorders>
              <w:top w:val="nil"/>
              <w:left w:val="nil"/>
              <w:bottom w:val="nil"/>
              <w:right w:val="nil"/>
            </w:tcBorders>
            <w:vAlign w:val="center"/>
          </w:tcPr>
          <w:p w14:paraId="5AE743CB"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Veh</w:t>
            </w:r>
            <w:r>
              <w:rPr>
                <w:rFonts w:ascii="Arial" w:hAnsi="Arial" w:cs="Arial"/>
                <w:sz w:val="18"/>
                <w:szCs w:val="22"/>
              </w:rPr>
              <w:t>icle</w:t>
            </w:r>
          </w:p>
        </w:tc>
        <w:tc>
          <w:tcPr>
            <w:tcW w:w="630" w:type="dxa"/>
            <w:tcBorders>
              <w:top w:val="nil"/>
              <w:left w:val="nil"/>
              <w:bottom w:val="nil"/>
              <w:right w:val="nil"/>
            </w:tcBorders>
            <w:vAlign w:val="center"/>
          </w:tcPr>
          <w:p w14:paraId="7520ABB8"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12</w:t>
            </w:r>
          </w:p>
        </w:tc>
        <w:tc>
          <w:tcPr>
            <w:tcW w:w="3330" w:type="dxa"/>
            <w:tcBorders>
              <w:top w:val="nil"/>
              <w:left w:val="nil"/>
              <w:bottom w:val="nil"/>
              <w:right w:val="nil"/>
            </w:tcBorders>
            <w:vAlign w:val="center"/>
          </w:tcPr>
          <w:p w14:paraId="01689E0B" w14:textId="5BA16311" w:rsidR="00AE3893" w:rsidRPr="005635B0" w:rsidRDefault="00AE3893" w:rsidP="006A75A3">
            <w:pPr>
              <w:jc w:val="center"/>
              <w:rPr>
                <w:rFonts w:ascii="Arial" w:hAnsi="Arial" w:cs="Arial"/>
                <w:sz w:val="18"/>
                <w:szCs w:val="22"/>
              </w:rPr>
            </w:pPr>
            <w:r w:rsidRPr="005635B0">
              <w:rPr>
                <w:rFonts w:ascii="Arial" w:hAnsi="Arial" w:cs="Arial"/>
                <w:sz w:val="18"/>
                <w:szCs w:val="22"/>
              </w:rPr>
              <w:t>66.6</w:t>
            </w:r>
            <w:r w:rsidR="003D0821" w:rsidRPr="005635B0">
              <w:rPr>
                <w:rFonts w:ascii="Arial" w:hAnsi="Arial" w:cs="Arial"/>
                <w:sz w:val="18"/>
                <w:szCs w:val="22"/>
              </w:rPr>
              <w:t>% *</w:t>
            </w:r>
            <w:r w:rsidRPr="005635B0">
              <w:rPr>
                <w:rFonts w:ascii="Arial" w:hAnsi="Arial" w:cs="Arial"/>
                <w:b/>
                <w:bCs/>
                <w:sz w:val="18"/>
              </w:rPr>
              <w:t>***</w:t>
            </w:r>
          </w:p>
        </w:tc>
        <w:tc>
          <w:tcPr>
            <w:tcW w:w="4271" w:type="dxa"/>
            <w:gridSpan w:val="2"/>
            <w:tcBorders>
              <w:top w:val="nil"/>
              <w:left w:val="nil"/>
              <w:bottom w:val="nil"/>
              <w:right w:val="nil"/>
            </w:tcBorders>
            <w:vAlign w:val="center"/>
          </w:tcPr>
          <w:p w14:paraId="2583CA90" w14:textId="77777777" w:rsidR="00AE3893" w:rsidRPr="005635B0" w:rsidRDefault="00AE3893" w:rsidP="006A75A3">
            <w:pPr>
              <w:rPr>
                <w:rFonts w:ascii="Arial" w:hAnsi="Arial" w:cs="Arial"/>
                <w:sz w:val="18"/>
                <w:szCs w:val="22"/>
              </w:rPr>
            </w:pPr>
            <w:r>
              <w:rPr>
                <w:rFonts w:ascii="Arial" w:hAnsi="Arial" w:cs="Arial"/>
                <w:sz w:val="18"/>
                <w:szCs w:val="22"/>
              </w:rPr>
              <w:t xml:space="preserve">    </w:t>
            </w:r>
            <w:r w:rsidRPr="005635B0">
              <w:rPr>
                <w:rFonts w:ascii="Arial" w:hAnsi="Arial" w:cs="Arial"/>
                <w:sz w:val="18"/>
                <w:szCs w:val="22"/>
              </w:rPr>
              <w:t>t</w:t>
            </w:r>
            <w:r w:rsidRPr="005635B0">
              <w:rPr>
                <w:rFonts w:ascii="Arial" w:hAnsi="Arial" w:cs="Arial"/>
                <w:sz w:val="18"/>
                <w:szCs w:val="22"/>
                <w:vertAlign w:val="subscript"/>
              </w:rPr>
              <w:t>11</w:t>
            </w:r>
            <w:r w:rsidRPr="005635B0">
              <w:rPr>
                <w:rFonts w:ascii="Arial" w:hAnsi="Arial" w:cs="Arial"/>
                <w:sz w:val="18"/>
                <w:szCs w:val="22"/>
              </w:rPr>
              <w:t>=6.8, ****p&lt;0.0001</w:t>
            </w:r>
          </w:p>
        </w:tc>
      </w:tr>
      <w:tr w:rsidR="00AE3893" w:rsidRPr="00C21BE3" w14:paraId="2A366D2A" w14:textId="77777777" w:rsidTr="006A75A3">
        <w:trPr>
          <w:gridAfter w:val="1"/>
          <w:wAfter w:w="303" w:type="dxa"/>
          <w:trHeight w:val="441"/>
        </w:trPr>
        <w:tc>
          <w:tcPr>
            <w:tcW w:w="1458" w:type="dxa"/>
            <w:gridSpan w:val="2"/>
            <w:tcBorders>
              <w:top w:val="nil"/>
              <w:left w:val="nil"/>
              <w:bottom w:val="nil"/>
              <w:right w:val="nil"/>
            </w:tcBorders>
            <w:shd w:val="clear" w:color="auto" w:fill="auto"/>
            <w:vAlign w:val="center"/>
          </w:tcPr>
          <w:p w14:paraId="079E7B33"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THC</w:t>
            </w:r>
          </w:p>
        </w:tc>
        <w:tc>
          <w:tcPr>
            <w:tcW w:w="630" w:type="dxa"/>
            <w:tcBorders>
              <w:top w:val="nil"/>
              <w:left w:val="nil"/>
              <w:bottom w:val="nil"/>
              <w:right w:val="nil"/>
            </w:tcBorders>
            <w:shd w:val="clear" w:color="auto" w:fill="auto"/>
            <w:vAlign w:val="center"/>
          </w:tcPr>
          <w:p w14:paraId="65E91B28"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12</w:t>
            </w:r>
          </w:p>
        </w:tc>
        <w:tc>
          <w:tcPr>
            <w:tcW w:w="3330" w:type="dxa"/>
            <w:tcBorders>
              <w:top w:val="nil"/>
              <w:left w:val="nil"/>
              <w:bottom w:val="nil"/>
              <w:right w:val="nil"/>
            </w:tcBorders>
            <w:shd w:val="clear" w:color="auto" w:fill="auto"/>
            <w:vAlign w:val="center"/>
          </w:tcPr>
          <w:p w14:paraId="3AC3C03F"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 xml:space="preserve">61.6%   </w:t>
            </w:r>
            <w:r w:rsidRPr="005635B0">
              <w:rPr>
                <w:rFonts w:ascii="Arial" w:hAnsi="Arial" w:cs="Arial"/>
                <w:b/>
                <w:bCs/>
                <w:sz w:val="18"/>
              </w:rPr>
              <w:t>***</w:t>
            </w:r>
          </w:p>
        </w:tc>
        <w:tc>
          <w:tcPr>
            <w:tcW w:w="3968" w:type="dxa"/>
            <w:tcBorders>
              <w:top w:val="nil"/>
              <w:left w:val="nil"/>
              <w:bottom w:val="nil"/>
              <w:right w:val="nil"/>
            </w:tcBorders>
            <w:shd w:val="clear" w:color="auto" w:fill="auto"/>
            <w:vAlign w:val="center"/>
          </w:tcPr>
          <w:p w14:paraId="02B30E40" w14:textId="77777777" w:rsidR="00AE3893" w:rsidRPr="005635B0" w:rsidRDefault="00AE3893" w:rsidP="006A75A3">
            <w:pPr>
              <w:rPr>
                <w:rFonts w:ascii="Arial" w:hAnsi="Arial" w:cs="Arial"/>
                <w:sz w:val="18"/>
                <w:szCs w:val="22"/>
              </w:rPr>
            </w:pPr>
            <w:r>
              <w:rPr>
                <w:rFonts w:ascii="Arial" w:hAnsi="Arial" w:cs="Arial"/>
                <w:sz w:val="18"/>
                <w:szCs w:val="22"/>
              </w:rPr>
              <w:t xml:space="preserve">    </w:t>
            </w:r>
            <w:r w:rsidRPr="005635B0">
              <w:rPr>
                <w:rFonts w:ascii="Arial" w:hAnsi="Arial" w:cs="Arial"/>
                <w:sz w:val="18"/>
                <w:szCs w:val="22"/>
              </w:rPr>
              <w:t>t</w:t>
            </w:r>
            <w:r w:rsidRPr="005635B0">
              <w:rPr>
                <w:rFonts w:ascii="Arial" w:hAnsi="Arial" w:cs="Arial"/>
                <w:sz w:val="18"/>
                <w:szCs w:val="22"/>
                <w:vertAlign w:val="subscript"/>
              </w:rPr>
              <w:t>11</w:t>
            </w:r>
            <w:r w:rsidRPr="005635B0">
              <w:rPr>
                <w:rFonts w:ascii="Arial" w:hAnsi="Arial" w:cs="Arial"/>
                <w:sz w:val="18"/>
                <w:szCs w:val="22"/>
              </w:rPr>
              <w:t>=5.01, ***p&lt;0.001</w:t>
            </w:r>
          </w:p>
        </w:tc>
      </w:tr>
      <w:tr w:rsidR="00AE3893" w:rsidRPr="00C21BE3" w14:paraId="66A0C04F" w14:textId="77777777" w:rsidTr="006A75A3">
        <w:trPr>
          <w:gridAfter w:val="1"/>
          <w:wAfter w:w="303" w:type="dxa"/>
          <w:trHeight w:val="378"/>
        </w:trPr>
        <w:tc>
          <w:tcPr>
            <w:tcW w:w="378" w:type="dxa"/>
            <w:tcBorders>
              <w:top w:val="nil"/>
              <w:left w:val="nil"/>
              <w:bottom w:val="nil"/>
              <w:right w:val="nil"/>
            </w:tcBorders>
            <w:shd w:val="clear" w:color="auto" w:fill="auto"/>
            <w:vAlign w:val="center"/>
          </w:tcPr>
          <w:p w14:paraId="0506BBC8" w14:textId="77777777" w:rsidR="00AE3893" w:rsidRPr="009F4D08" w:rsidRDefault="00AE3893" w:rsidP="006A75A3">
            <w:pPr>
              <w:jc w:val="center"/>
              <w:rPr>
                <w:rFonts w:ascii="Arial" w:hAnsi="Arial" w:cs="Arial"/>
                <w:b/>
                <w:i/>
                <w:sz w:val="22"/>
                <w:szCs w:val="22"/>
              </w:rPr>
            </w:pPr>
          </w:p>
        </w:tc>
        <w:tc>
          <w:tcPr>
            <w:tcW w:w="1710" w:type="dxa"/>
            <w:gridSpan w:val="2"/>
            <w:tcBorders>
              <w:top w:val="single" w:sz="8" w:space="0" w:color="auto"/>
              <w:left w:val="nil"/>
              <w:bottom w:val="single" w:sz="4" w:space="0" w:color="7F7F7F" w:themeColor="text1" w:themeTint="80"/>
              <w:right w:val="nil"/>
            </w:tcBorders>
            <w:shd w:val="clear" w:color="auto" w:fill="auto"/>
            <w:vAlign w:val="center"/>
          </w:tcPr>
          <w:p w14:paraId="6E5E91C3" w14:textId="77777777" w:rsidR="00AE3893" w:rsidRPr="009F4D08" w:rsidRDefault="00AE3893" w:rsidP="006A75A3">
            <w:pPr>
              <w:jc w:val="center"/>
              <w:rPr>
                <w:rFonts w:ascii="Arial" w:hAnsi="Arial" w:cs="Arial"/>
                <w:b/>
                <w:i/>
                <w:sz w:val="22"/>
                <w:szCs w:val="22"/>
              </w:rPr>
            </w:pPr>
            <w:r w:rsidRPr="0069196A">
              <w:rPr>
                <w:rFonts w:ascii="Arial" w:hAnsi="Arial" w:cs="Arial"/>
                <w:b/>
                <w:i/>
                <w:sz w:val="18"/>
                <w:szCs w:val="22"/>
              </w:rPr>
              <w:t>Female</w:t>
            </w:r>
          </w:p>
        </w:tc>
        <w:tc>
          <w:tcPr>
            <w:tcW w:w="7298" w:type="dxa"/>
            <w:gridSpan w:val="2"/>
            <w:tcBorders>
              <w:top w:val="single" w:sz="8" w:space="0" w:color="auto"/>
              <w:left w:val="nil"/>
              <w:bottom w:val="nil"/>
              <w:right w:val="nil"/>
            </w:tcBorders>
            <w:shd w:val="clear" w:color="auto" w:fill="auto"/>
            <w:vAlign w:val="center"/>
          </w:tcPr>
          <w:p w14:paraId="3D0AE931" w14:textId="77777777" w:rsidR="00AE3893" w:rsidRPr="009F4D08" w:rsidRDefault="00AE3893" w:rsidP="006A75A3">
            <w:pPr>
              <w:rPr>
                <w:rFonts w:ascii="Arial" w:hAnsi="Arial" w:cs="Arial"/>
                <w:b/>
                <w:i/>
                <w:sz w:val="22"/>
                <w:szCs w:val="22"/>
              </w:rPr>
            </w:pPr>
          </w:p>
        </w:tc>
      </w:tr>
      <w:tr w:rsidR="00AE3893" w:rsidRPr="00C21BE3" w14:paraId="3E5138B7" w14:textId="77777777" w:rsidTr="006A75A3">
        <w:trPr>
          <w:gridAfter w:val="1"/>
          <w:wAfter w:w="303" w:type="dxa"/>
          <w:trHeight w:val="431"/>
        </w:trPr>
        <w:tc>
          <w:tcPr>
            <w:tcW w:w="1458" w:type="dxa"/>
            <w:gridSpan w:val="2"/>
            <w:tcBorders>
              <w:top w:val="nil"/>
              <w:left w:val="nil"/>
              <w:bottom w:val="nil"/>
              <w:right w:val="nil"/>
            </w:tcBorders>
            <w:vAlign w:val="center"/>
          </w:tcPr>
          <w:p w14:paraId="3FFE89CA"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Veh</w:t>
            </w:r>
            <w:r>
              <w:rPr>
                <w:rFonts w:ascii="Arial" w:hAnsi="Arial" w:cs="Arial"/>
                <w:sz w:val="18"/>
                <w:szCs w:val="22"/>
              </w:rPr>
              <w:t>icle</w:t>
            </w:r>
          </w:p>
        </w:tc>
        <w:tc>
          <w:tcPr>
            <w:tcW w:w="630" w:type="dxa"/>
            <w:tcBorders>
              <w:top w:val="nil"/>
              <w:left w:val="nil"/>
              <w:bottom w:val="nil"/>
              <w:right w:val="nil"/>
            </w:tcBorders>
            <w:vAlign w:val="center"/>
          </w:tcPr>
          <w:p w14:paraId="22F8E439"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9</w:t>
            </w:r>
          </w:p>
        </w:tc>
        <w:tc>
          <w:tcPr>
            <w:tcW w:w="3330" w:type="dxa"/>
            <w:tcBorders>
              <w:top w:val="nil"/>
              <w:left w:val="nil"/>
              <w:bottom w:val="nil"/>
              <w:right w:val="nil"/>
            </w:tcBorders>
            <w:vAlign w:val="center"/>
          </w:tcPr>
          <w:p w14:paraId="41583061"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 xml:space="preserve">62.2% </w:t>
            </w:r>
            <w:r w:rsidRPr="005635B0">
              <w:rPr>
                <w:rFonts w:ascii="Arial" w:hAnsi="Arial" w:cs="Arial"/>
                <w:b/>
                <w:bCs/>
                <w:sz w:val="18"/>
              </w:rPr>
              <w:t>**</w:t>
            </w:r>
          </w:p>
        </w:tc>
        <w:tc>
          <w:tcPr>
            <w:tcW w:w="3968" w:type="dxa"/>
            <w:tcBorders>
              <w:top w:val="nil"/>
              <w:left w:val="nil"/>
              <w:bottom w:val="nil"/>
              <w:right w:val="nil"/>
            </w:tcBorders>
            <w:vAlign w:val="center"/>
          </w:tcPr>
          <w:p w14:paraId="6F44D2A0" w14:textId="77777777" w:rsidR="00AE3893" w:rsidRPr="005635B0" w:rsidRDefault="00AE3893" w:rsidP="006A75A3">
            <w:pPr>
              <w:rPr>
                <w:rFonts w:ascii="Arial" w:hAnsi="Arial" w:cs="Arial"/>
                <w:sz w:val="18"/>
                <w:szCs w:val="22"/>
              </w:rPr>
            </w:pPr>
            <w:r>
              <w:rPr>
                <w:rFonts w:ascii="Arial" w:hAnsi="Arial" w:cs="Arial"/>
                <w:sz w:val="18"/>
                <w:szCs w:val="22"/>
              </w:rPr>
              <w:t xml:space="preserve">    </w:t>
            </w:r>
            <w:r w:rsidRPr="005635B0">
              <w:rPr>
                <w:rFonts w:ascii="Arial" w:hAnsi="Arial" w:cs="Arial"/>
                <w:sz w:val="18"/>
                <w:szCs w:val="22"/>
              </w:rPr>
              <w:t>t</w:t>
            </w:r>
            <w:r w:rsidRPr="005635B0">
              <w:rPr>
                <w:rFonts w:ascii="Arial" w:hAnsi="Arial" w:cs="Arial"/>
                <w:sz w:val="18"/>
                <w:szCs w:val="22"/>
                <w:vertAlign w:val="subscript"/>
              </w:rPr>
              <w:t>8</w:t>
            </w:r>
            <w:r w:rsidRPr="005635B0">
              <w:rPr>
                <w:rFonts w:ascii="Arial" w:hAnsi="Arial" w:cs="Arial"/>
                <w:sz w:val="18"/>
                <w:szCs w:val="22"/>
              </w:rPr>
              <w:t>=4.4, **p=0.002</w:t>
            </w:r>
          </w:p>
        </w:tc>
      </w:tr>
      <w:tr w:rsidR="00AE3893" w:rsidRPr="00C21BE3" w14:paraId="2BF36446" w14:textId="77777777" w:rsidTr="006A75A3">
        <w:trPr>
          <w:gridAfter w:val="1"/>
          <w:wAfter w:w="303" w:type="dxa"/>
          <w:trHeight w:val="246"/>
        </w:trPr>
        <w:tc>
          <w:tcPr>
            <w:tcW w:w="1458" w:type="dxa"/>
            <w:gridSpan w:val="2"/>
            <w:tcBorders>
              <w:top w:val="nil"/>
              <w:left w:val="nil"/>
              <w:bottom w:val="nil"/>
              <w:right w:val="nil"/>
            </w:tcBorders>
            <w:shd w:val="clear" w:color="auto" w:fill="auto"/>
            <w:vAlign w:val="center"/>
          </w:tcPr>
          <w:p w14:paraId="4CF9903C"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THC</w:t>
            </w:r>
          </w:p>
        </w:tc>
        <w:tc>
          <w:tcPr>
            <w:tcW w:w="630" w:type="dxa"/>
            <w:tcBorders>
              <w:top w:val="nil"/>
              <w:left w:val="nil"/>
              <w:bottom w:val="nil"/>
              <w:right w:val="nil"/>
            </w:tcBorders>
            <w:shd w:val="clear" w:color="auto" w:fill="auto"/>
            <w:vAlign w:val="center"/>
          </w:tcPr>
          <w:p w14:paraId="1D1F19C7"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9</w:t>
            </w:r>
          </w:p>
        </w:tc>
        <w:tc>
          <w:tcPr>
            <w:tcW w:w="3330" w:type="dxa"/>
            <w:tcBorders>
              <w:top w:val="nil"/>
              <w:left w:val="nil"/>
              <w:bottom w:val="nil"/>
              <w:right w:val="nil"/>
            </w:tcBorders>
            <w:shd w:val="clear" w:color="auto" w:fill="auto"/>
            <w:vAlign w:val="center"/>
          </w:tcPr>
          <w:p w14:paraId="4D2CA1D0" w14:textId="77777777" w:rsidR="00AE3893" w:rsidRPr="005635B0" w:rsidRDefault="00AE3893" w:rsidP="006A75A3">
            <w:pPr>
              <w:jc w:val="center"/>
              <w:rPr>
                <w:rFonts w:ascii="Arial" w:hAnsi="Arial" w:cs="Arial"/>
                <w:sz w:val="18"/>
                <w:szCs w:val="22"/>
              </w:rPr>
            </w:pPr>
            <w:r w:rsidRPr="005635B0">
              <w:rPr>
                <w:rFonts w:ascii="Arial" w:hAnsi="Arial" w:cs="Arial"/>
                <w:sz w:val="18"/>
                <w:szCs w:val="22"/>
              </w:rPr>
              <w:t>48.8% n.s.</w:t>
            </w:r>
          </w:p>
        </w:tc>
        <w:tc>
          <w:tcPr>
            <w:tcW w:w="3968" w:type="dxa"/>
            <w:tcBorders>
              <w:top w:val="nil"/>
              <w:left w:val="nil"/>
              <w:bottom w:val="nil"/>
              <w:right w:val="nil"/>
            </w:tcBorders>
            <w:shd w:val="clear" w:color="auto" w:fill="auto"/>
            <w:vAlign w:val="center"/>
          </w:tcPr>
          <w:p w14:paraId="44487D15" w14:textId="77777777" w:rsidR="00AE3893" w:rsidRPr="005635B0" w:rsidRDefault="00AE3893" w:rsidP="006A75A3">
            <w:pPr>
              <w:rPr>
                <w:rFonts w:ascii="Arial" w:hAnsi="Arial" w:cs="Arial"/>
                <w:sz w:val="18"/>
                <w:szCs w:val="22"/>
              </w:rPr>
            </w:pPr>
            <w:r>
              <w:rPr>
                <w:rFonts w:ascii="Arial" w:hAnsi="Arial" w:cs="Arial"/>
                <w:sz w:val="18"/>
                <w:szCs w:val="22"/>
              </w:rPr>
              <w:t xml:space="preserve">    </w:t>
            </w:r>
            <w:r w:rsidRPr="005635B0">
              <w:rPr>
                <w:rFonts w:ascii="Arial" w:hAnsi="Arial" w:cs="Arial"/>
                <w:sz w:val="18"/>
                <w:szCs w:val="22"/>
              </w:rPr>
              <w:t>t</w:t>
            </w:r>
            <w:r w:rsidRPr="005635B0">
              <w:rPr>
                <w:rFonts w:ascii="Arial" w:hAnsi="Arial" w:cs="Arial"/>
                <w:sz w:val="18"/>
                <w:szCs w:val="22"/>
                <w:vertAlign w:val="subscript"/>
              </w:rPr>
              <w:t>8</w:t>
            </w:r>
            <w:r w:rsidRPr="005635B0">
              <w:rPr>
                <w:rFonts w:ascii="Arial" w:hAnsi="Arial" w:cs="Arial"/>
                <w:sz w:val="18"/>
                <w:szCs w:val="22"/>
              </w:rPr>
              <w:t>=0.36, n.s. p=0.726</w:t>
            </w:r>
          </w:p>
        </w:tc>
      </w:tr>
    </w:tbl>
    <w:p w14:paraId="335A9C82" w14:textId="77777777" w:rsidR="00AE3893" w:rsidRDefault="00AE3893" w:rsidP="00AE3893">
      <w:pPr>
        <w:spacing w:line="480" w:lineRule="auto"/>
        <w:rPr>
          <w:rFonts w:ascii="Arial" w:eastAsia="Times New Roman" w:hAnsi="Arial" w:cs="Arial"/>
          <w:b/>
          <w:bCs/>
          <w:i/>
          <w:iCs/>
          <w:u w:val="single"/>
        </w:rPr>
      </w:pPr>
    </w:p>
    <w:p w14:paraId="0677C538" w14:textId="0B1370F7" w:rsidR="00E20867" w:rsidRPr="00EB5547" w:rsidRDefault="00AE3893" w:rsidP="00EB5547">
      <w:pPr>
        <w:jc w:val="both"/>
        <w:rPr>
          <w:rFonts w:ascii="Arial" w:eastAsia="Times New Roman" w:hAnsi="Arial" w:cs="Arial"/>
          <w:i/>
          <w:sz w:val="20"/>
        </w:rPr>
      </w:pPr>
      <w:r w:rsidRPr="00C9215C">
        <w:rPr>
          <w:rFonts w:ascii="Arial" w:hAnsi="Arial" w:cs="Arial"/>
          <w:bCs/>
        </w:rPr>
        <w:t>The percent (%) total exploration time spent attending to the displaced o</w:t>
      </w:r>
      <w:r>
        <w:rPr>
          <w:rFonts w:ascii="Arial" w:hAnsi="Arial" w:cs="Arial"/>
          <w:bCs/>
        </w:rPr>
        <w:t>bject was compared within group (species, sex)</w:t>
      </w:r>
      <w:r w:rsidRPr="00C9215C">
        <w:rPr>
          <w:rFonts w:ascii="Arial" w:hAnsi="Arial" w:cs="Arial"/>
          <w:bCs/>
        </w:rPr>
        <w:t xml:space="preserve"> to the % exploration time spent attending to the non-moved (stationary) object. Among the rat groups, male rats regardless of treatment and female rats treated with vehicle preferentially explored the moved vs the unmoved object thus indicating that the memory for object location was retained. In contrast, THC-treated female rats did not discriminate between the two objects. Similar results were obtained with the mouse groups: all male mice and vehicle-treated female mice preferentially explored the moved object whereas female mice treated with THC during adolescence did not discriminate between the two objects. Statistics were performed with </w:t>
      </w:r>
      <w:r>
        <w:rPr>
          <w:rFonts w:ascii="Arial" w:hAnsi="Arial" w:cs="Arial"/>
          <w:bCs/>
        </w:rPr>
        <w:t xml:space="preserve">the </w:t>
      </w:r>
      <w:r w:rsidRPr="00C9215C">
        <w:rPr>
          <w:rFonts w:ascii="Arial" w:hAnsi="Arial" w:cs="Arial"/>
          <w:bCs/>
        </w:rPr>
        <w:t xml:space="preserve">paired </w:t>
      </w:r>
      <w:r w:rsidRPr="00C9215C">
        <w:rPr>
          <w:rFonts w:ascii="Arial" w:hAnsi="Arial" w:cs="Arial"/>
          <w:bCs/>
          <w:i/>
        </w:rPr>
        <w:t>t-test</w:t>
      </w:r>
      <w:r w:rsidRPr="00C9215C">
        <w:rPr>
          <w:rFonts w:ascii="Arial" w:hAnsi="Arial" w:cs="Arial"/>
          <w:bCs/>
        </w:rPr>
        <w:t>.</w:t>
      </w:r>
    </w:p>
    <w:sectPr w:rsidR="00E20867" w:rsidRPr="00EB5547">
      <w:footerReference w:type="even"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F066F" w14:textId="77777777" w:rsidR="00EC01A5" w:rsidRDefault="00EC01A5" w:rsidP="00AD228F">
      <w:pPr>
        <w:spacing w:after="0" w:line="240" w:lineRule="auto"/>
      </w:pPr>
      <w:r>
        <w:separator/>
      </w:r>
    </w:p>
  </w:endnote>
  <w:endnote w:type="continuationSeparator" w:id="0">
    <w:p w14:paraId="5DF27FA2" w14:textId="77777777" w:rsidR="00EC01A5" w:rsidRDefault="00EC01A5" w:rsidP="00AD2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28636" w14:textId="77777777" w:rsidR="00AD228F" w:rsidRDefault="00AD228F" w:rsidP="00FE47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53BBDA" w14:textId="77777777" w:rsidR="00AD228F" w:rsidRDefault="00AD228F" w:rsidP="00AD22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5A50A" w14:textId="77777777" w:rsidR="00AD228F" w:rsidRDefault="00AD228F" w:rsidP="00FE47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1892">
      <w:rPr>
        <w:rStyle w:val="PageNumber"/>
        <w:noProof/>
      </w:rPr>
      <w:t>11</w:t>
    </w:r>
    <w:r>
      <w:rPr>
        <w:rStyle w:val="PageNumber"/>
      </w:rPr>
      <w:fldChar w:fldCharType="end"/>
    </w:r>
  </w:p>
  <w:p w14:paraId="255951AB" w14:textId="77777777" w:rsidR="00AD228F" w:rsidRDefault="00AD228F" w:rsidP="00AD228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AEC5E" w14:textId="77777777" w:rsidR="00EC01A5" w:rsidRDefault="00EC01A5" w:rsidP="00AD228F">
      <w:pPr>
        <w:spacing w:after="0" w:line="240" w:lineRule="auto"/>
      </w:pPr>
      <w:r>
        <w:separator/>
      </w:r>
    </w:p>
  </w:footnote>
  <w:footnote w:type="continuationSeparator" w:id="0">
    <w:p w14:paraId="116BA8F3" w14:textId="77777777" w:rsidR="00EC01A5" w:rsidRDefault="00EC01A5" w:rsidP="00AD22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20867"/>
    <w:rsid w:val="000A0F21"/>
    <w:rsid w:val="00167484"/>
    <w:rsid w:val="0022506A"/>
    <w:rsid w:val="003D0821"/>
    <w:rsid w:val="00434009"/>
    <w:rsid w:val="00523B38"/>
    <w:rsid w:val="00A15542"/>
    <w:rsid w:val="00AD228F"/>
    <w:rsid w:val="00AE3893"/>
    <w:rsid w:val="00BE658C"/>
    <w:rsid w:val="00BE769E"/>
    <w:rsid w:val="00CC6A59"/>
    <w:rsid w:val="00D83769"/>
    <w:rsid w:val="00DF1892"/>
    <w:rsid w:val="00E076CA"/>
    <w:rsid w:val="00E20867"/>
    <w:rsid w:val="00E411DA"/>
    <w:rsid w:val="00E805A1"/>
    <w:rsid w:val="00EA343E"/>
    <w:rsid w:val="00EB5547"/>
    <w:rsid w:val="00EC01A5"/>
    <w:rsid w:val="00EF21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246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ListParagraph">
    <w:name w:val="List Paragraph"/>
    <w:basedOn w:val="Normal"/>
    <w:uiPriority w:val="34"/>
    <w:qFormat/>
    <w:rsid w:val="00C83A10"/>
    <w:pPr>
      <w:ind w:left="720"/>
      <w:contextualSpacing/>
    </w:pPr>
  </w:style>
  <w:style w:type="paragraph" w:styleId="BalloonText">
    <w:name w:val="Balloon Text"/>
    <w:basedOn w:val="Normal"/>
    <w:link w:val="BalloonTextChar"/>
    <w:uiPriority w:val="99"/>
    <w:semiHidden/>
    <w:unhideWhenUsed/>
    <w:rsid w:val="004B7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20C"/>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AD22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AD228F"/>
  </w:style>
  <w:style w:type="character" w:styleId="PageNumber">
    <w:name w:val="page number"/>
    <w:basedOn w:val="DefaultParagraphFont"/>
    <w:uiPriority w:val="99"/>
    <w:semiHidden/>
    <w:unhideWhenUsed/>
    <w:rsid w:val="00AD228F"/>
  </w:style>
  <w:style w:type="table" w:styleId="TableGrid">
    <w:name w:val="Table Grid"/>
    <w:basedOn w:val="TableNormal"/>
    <w:uiPriority w:val="59"/>
    <w:unhideWhenUsed/>
    <w:rsid w:val="00AE3893"/>
    <w:pPr>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ListParagraph">
    <w:name w:val="List Paragraph"/>
    <w:basedOn w:val="Normal"/>
    <w:uiPriority w:val="34"/>
    <w:qFormat/>
    <w:rsid w:val="00C83A10"/>
    <w:pPr>
      <w:ind w:left="720"/>
      <w:contextualSpacing/>
    </w:pPr>
  </w:style>
  <w:style w:type="paragraph" w:styleId="BalloonText">
    <w:name w:val="Balloon Text"/>
    <w:basedOn w:val="Normal"/>
    <w:link w:val="BalloonTextChar"/>
    <w:uiPriority w:val="99"/>
    <w:semiHidden/>
    <w:unhideWhenUsed/>
    <w:rsid w:val="004B7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20C"/>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AD22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AD228F"/>
  </w:style>
  <w:style w:type="character" w:styleId="PageNumber">
    <w:name w:val="page number"/>
    <w:basedOn w:val="DefaultParagraphFont"/>
    <w:uiPriority w:val="99"/>
    <w:semiHidden/>
    <w:unhideWhenUsed/>
    <w:rsid w:val="00AD228F"/>
  </w:style>
  <w:style w:type="table" w:styleId="TableGrid">
    <w:name w:val="Table Grid"/>
    <w:basedOn w:val="TableNormal"/>
    <w:uiPriority w:val="59"/>
    <w:unhideWhenUsed/>
    <w:rsid w:val="00AE3893"/>
    <w:pPr>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Z3qyCObV5wFq1BbDj7VHDnbSXw==">AMUW2mUGRyyIgJYVqeje3Gv0qn6XZCdrIUrQyxXOHpZkk9r4MjXZzDMuUh3rjSHnvJu+K2AJcju9Fi/U3iS7Gi4Hkpuj+6WdtJ7DEj8nQqsmSNEOBXmYE+DnTfEb/EgI80+gddaXJ+/w0BDa7JGC6PEDNSwHKj/BUA==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11</Pages>
  <Words>1661</Words>
  <Characters>9472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UCI</Company>
  <LinksUpToDate>false</LinksUpToDate>
  <CharactersWithSpaces>11111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Physiology-upstairs</dc:creator>
  <cp:lastModifiedBy>Physiology-upstairs</cp:lastModifiedBy>
  <cp:revision>15</cp:revision>
  <dcterms:created xsi:type="dcterms:W3CDTF">2021-09-30T19:17:00Z</dcterms:created>
  <dcterms:modified xsi:type="dcterms:W3CDTF">2021-11-30T01:40:00Z</dcterms:modified>
</cp:coreProperties>
</file>