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D410" w14:textId="7AC06428" w:rsidR="00302346" w:rsidRPr="007E43E0" w:rsidRDefault="00302346" w:rsidP="00302346">
      <w:pPr>
        <w:pStyle w:val="Beschriftung"/>
        <w:keepNext/>
        <w:rPr>
          <w:rFonts w:ascii="Times" w:hAnsi="Times"/>
          <w:b/>
          <w:i w:val="0"/>
          <w:color w:val="000000" w:themeColor="text1"/>
          <w:sz w:val="20"/>
          <w:szCs w:val="20"/>
          <w:lang w:val="en-GB"/>
        </w:rPr>
      </w:pPr>
      <w:r>
        <w:rPr>
          <w:rFonts w:ascii="Times" w:hAnsi="Times"/>
          <w:b/>
          <w:i w:val="0"/>
          <w:color w:val="000000" w:themeColor="text1"/>
          <w:sz w:val="20"/>
          <w:szCs w:val="20"/>
          <w:lang w:val="en-GB"/>
        </w:rPr>
        <w:t xml:space="preserve">Supplementary </w:t>
      </w:r>
      <w:r w:rsidRPr="007E43E0">
        <w:rPr>
          <w:rFonts w:ascii="Times" w:hAnsi="Times"/>
          <w:b/>
          <w:i w:val="0"/>
          <w:color w:val="000000" w:themeColor="text1"/>
          <w:sz w:val="20"/>
          <w:szCs w:val="20"/>
          <w:lang w:val="en-GB"/>
        </w:rPr>
        <w:t xml:space="preserve">Table </w:t>
      </w:r>
      <w:r w:rsidRPr="00302346">
        <w:rPr>
          <w:rFonts w:ascii="Times" w:hAnsi="Times"/>
          <w:b/>
          <w:i w:val="0"/>
          <w:color w:val="000000" w:themeColor="text1"/>
          <w:sz w:val="20"/>
          <w:szCs w:val="20"/>
          <w:lang w:val="en-US"/>
        </w:rPr>
        <w:t>1</w:t>
      </w:r>
      <w:r w:rsidRPr="007E43E0">
        <w:rPr>
          <w:rFonts w:ascii="Times" w:hAnsi="Times"/>
          <w:b/>
          <w:i w:val="0"/>
          <w:color w:val="000000" w:themeColor="text1"/>
          <w:sz w:val="20"/>
          <w:szCs w:val="20"/>
          <w:lang w:val="en-GB"/>
        </w:rPr>
        <w:t xml:space="preserve">: Changes of MDS-UPDRS-1.7 ("sleep problems”) and NMSS Domain 2 ("sleep/fatigue”) in PD patients with </w:t>
      </w:r>
      <w:proofErr w:type="gramStart"/>
      <w:r w:rsidRPr="007E43E0">
        <w:rPr>
          <w:rFonts w:ascii="Times" w:hAnsi="Times"/>
          <w:b/>
          <w:i w:val="0"/>
          <w:color w:val="000000" w:themeColor="text1"/>
          <w:sz w:val="20"/>
          <w:szCs w:val="20"/>
          <w:lang w:val="en-GB"/>
        </w:rPr>
        <w:t>clinically-relevant</w:t>
      </w:r>
      <w:proofErr w:type="gramEnd"/>
      <w:r w:rsidRPr="007E43E0">
        <w:rPr>
          <w:rFonts w:ascii="Times" w:hAnsi="Times"/>
          <w:b/>
          <w:i w:val="0"/>
          <w:color w:val="000000" w:themeColor="text1"/>
          <w:sz w:val="20"/>
          <w:szCs w:val="20"/>
          <w:lang w:val="en-GB"/>
        </w:rPr>
        <w:t xml:space="preserve"> sleep problems during the trial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1511"/>
        <w:gridCol w:w="1510"/>
        <w:gridCol w:w="1511"/>
      </w:tblGrid>
      <w:tr w:rsidR="00302346" w:rsidRPr="007E43E0" w14:paraId="79520785" w14:textId="77777777" w:rsidTr="002A29AB">
        <w:tc>
          <w:tcPr>
            <w:tcW w:w="3020" w:type="dxa"/>
          </w:tcPr>
          <w:p w14:paraId="64085016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3021" w:type="dxa"/>
            <w:gridSpan w:val="2"/>
          </w:tcPr>
          <w:p w14:paraId="2DF559E0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  <w:t>MDS-UPDRS-1.7</w:t>
            </w:r>
          </w:p>
        </w:tc>
        <w:tc>
          <w:tcPr>
            <w:tcW w:w="3021" w:type="dxa"/>
            <w:gridSpan w:val="2"/>
          </w:tcPr>
          <w:p w14:paraId="38859FD9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  <w:t>NMSS Domain 2</w:t>
            </w:r>
          </w:p>
        </w:tc>
      </w:tr>
      <w:tr w:rsidR="00302346" w:rsidRPr="007E43E0" w14:paraId="5F829D27" w14:textId="77777777" w:rsidTr="002A29AB">
        <w:tc>
          <w:tcPr>
            <w:tcW w:w="9062" w:type="dxa"/>
            <w:gridSpan w:val="5"/>
          </w:tcPr>
          <w:p w14:paraId="5AF7624A" w14:textId="77777777" w:rsidR="00302346" w:rsidRPr="007E43E0" w:rsidRDefault="00302346" w:rsidP="002A29AB">
            <w:pPr>
              <w:contextualSpacing/>
              <w:jc w:val="center"/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  <w:t>Open-label Phase</w:t>
            </w:r>
          </w:p>
        </w:tc>
      </w:tr>
      <w:tr w:rsidR="00302346" w:rsidRPr="007E43E0" w14:paraId="09E6F382" w14:textId="77777777" w:rsidTr="002A29AB">
        <w:tc>
          <w:tcPr>
            <w:tcW w:w="3020" w:type="dxa"/>
          </w:tcPr>
          <w:p w14:paraId="30D3CD11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B</w:t>
            </w:r>
            <w:r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aseline (BL)</w:t>
            </w:r>
          </w:p>
        </w:tc>
        <w:tc>
          <w:tcPr>
            <w:tcW w:w="3021" w:type="dxa"/>
            <w:gridSpan w:val="2"/>
          </w:tcPr>
          <w:p w14:paraId="486ECE3B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sz w:val="18"/>
                <w:szCs w:val="18"/>
              </w:rPr>
              <w:t xml:space="preserve">2.87 </w:t>
            </w:r>
            <w:r w:rsidRPr="007E43E0">
              <w:rPr>
                <w:rFonts w:ascii="Times" w:hAnsi="Times" w:cstheme="minorHAnsi"/>
                <w:sz w:val="18"/>
                <w:szCs w:val="18"/>
              </w:rPr>
              <w:t>±0.85, 3.00</w:t>
            </w:r>
          </w:p>
        </w:tc>
        <w:tc>
          <w:tcPr>
            <w:tcW w:w="3021" w:type="dxa"/>
            <w:gridSpan w:val="2"/>
          </w:tcPr>
          <w:p w14:paraId="5DEA8B18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sz w:val="18"/>
                <w:szCs w:val="18"/>
              </w:rPr>
              <w:t xml:space="preserve">15.32 </w:t>
            </w:r>
            <w:r w:rsidRPr="007E43E0">
              <w:rPr>
                <w:rFonts w:ascii="Times" w:hAnsi="Times" w:cstheme="minorHAnsi"/>
                <w:sz w:val="18"/>
                <w:szCs w:val="18"/>
              </w:rPr>
              <w:t>±7.72, 14.00</w:t>
            </w:r>
          </w:p>
        </w:tc>
      </w:tr>
      <w:tr w:rsidR="00302346" w:rsidRPr="007E43E0" w14:paraId="2EC8CCE9" w14:textId="77777777" w:rsidTr="002A29AB">
        <w:tc>
          <w:tcPr>
            <w:tcW w:w="3020" w:type="dxa"/>
          </w:tcPr>
          <w:p w14:paraId="7C188941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R</w:t>
            </w:r>
            <w:r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andomization (R)</w:t>
            </w:r>
          </w:p>
        </w:tc>
        <w:tc>
          <w:tcPr>
            <w:tcW w:w="3021" w:type="dxa"/>
            <w:gridSpan w:val="2"/>
          </w:tcPr>
          <w:p w14:paraId="54568A4F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8"/>
                <w:lang w:val="en-US"/>
              </w:rPr>
              <w:t xml:space="preserve">0.90 </w:t>
            </w:r>
            <w:r w:rsidRPr="007E43E0">
              <w:rPr>
                <w:rFonts w:ascii="Times" w:hAnsi="Times" w:cstheme="minorHAnsi"/>
                <w:sz w:val="18"/>
                <w:szCs w:val="18"/>
              </w:rPr>
              <w:t>±1.01, 1.00</w:t>
            </w:r>
          </w:p>
        </w:tc>
        <w:tc>
          <w:tcPr>
            <w:tcW w:w="3021" w:type="dxa"/>
            <w:gridSpan w:val="2"/>
          </w:tcPr>
          <w:p w14:paraId="1704D0BE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 xml:space="preserve">9.55 </w:t>
            </w:r>
            <w:r w:rsidRPr="007E43E0">
              <w:rPr>
                <w:rFonts w:ascii="Times" w:hAnsi="Times" w:cstheme="minorHAnsi"/>
                <w:bCs/>
                <w:sz w:val="18"/>
                <w:szCs w:val="18"/>
              </w:rPr>
              <w:t>±7.92, 8.00</w:t>
            </w:r>
          </w:p>
        </w:tc>
      </w:tr>
      <w:tr w:rsidR="00302346" w:rsidRPr="007E43E0" w14:paraId="11A5F103" w14:textId="77777777" w:rsidTr="002A29AB">
        <w:tc>
          <w:tcPr>
            <w:tcW w:w="3020" w:type="dxa"/>
          </w:tcPr>
          <w:p w14:paraId="6869CFD9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Change from BL to R</w:t>
            </w:r>
          </w:p>
        </w:tc>
        <w:tc>
          <w:tcPr>
            <w:tcW w:w="3021" w:type="dxa"/>
            <w:gridSpan w:val="2"/>
          </w:tcPr>
          <w:p w14:paraId="3E57A36E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8"/>
                <w:lang w:val="en-US"/>
              </w:rPr>
              <w:t>-1.97 (-2.30; -1.63)</w:t>
            </w:r>
          </w:p>
        </w:tc>
        <w:tc>
          <w:tcPr>
            <w:tcW w:w="3021" w:type="dxa"/>
            <w:gridSpan w:val="2"/>
          </w:tcPr>
          <w:p w14:paraId="43258682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-5.77 (-8.24; -3.31)</w:t>
            </w:r>
          </w:p>
        </w:tc>
      </w:tr>
      <w:tr w:rsidR="00302346" w:rsidRPr="007E43E0" w14:paraId="194DE6A7" w14:textId="77777777" w:rsidTr="002A29AB">
        <w:tc>
          <w:tcPr>
            <w:tcW w:w="3020" w:type="dxa"/>
          </w:tcPr>
          <w:p w14:paraId="261BB404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p-value</w:t>
            </w:r>
          </w:p>
        </w:tc>
        <w:tc>
          <w:tcPr>
            <w:tcW w:w="3021" w:type="dxa"/>
            <w:gridSpan w:val="2"/>
          </w:tcPr>
          <w:p w14:paraId="0FD5D293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&lt;0.001</w:t>
            </w:r>
          </w:p>
        </w:tc>
        <w:tc>
          <w:tcPr>
            <w:tcW w:w="3021" w:type="dxa"/>
            <w:gridSpan w:val="2"/>
          </w:tcPr>
          <w:p w14:paraId="18FC1211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&lt;0.001</w:t>
            </w:r>
          </w:p>
        </w:tc>
      </w:tr>
      <w:tr w:rsidR="00302346" w:rsidRPr="007E43E0" w14:paraId="0CD33FAF" w14:textId="77777777" w:rsidTr="002A29AB">
        <w:tc>
          <w:tcPr>
            <w:tcW w:w="9062" w:type="dxa"/>
            <w:gridSpan w:val="5"/>
          </w:tcPr>
          <w:p w14:paraId="5C964B4A" w14:textId="77777777" w:rsidR="00302346" w:rsidRPr="007E43E0" w:rsidRDefault="00302346" w:rsidP="002A29AB">
            <w:pPr>
              <w:contextualSpacing/>
              <w:jc w:val="center"/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  <w:t>Double-blind Phase</w:t>
            </w:r>
          </w:p>
        </w:tc>
      </w:tr>
      <w:tr w:rsidR="00302346" w:rsidRPr="007E43E0" w14:paraId="2299E237" w14:textId="77777777" w:rsidTr="002A29AB">
        <w:tc>
          <w:tcPr>
            <w:tcW w:w="3020" w:type="dxa"/>
          </w:tcPr>
          <w:p w14:paraId="1F3EE256" w14:textId="77777777" w:rsidR="00302346" w:rsidRPr="007E43E0" w:rsidRDefault="00302346" w:rsidP="002A29AB">
            <w:pPr>
              <w:contextualSpacing/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510" w:type="dxa"/>
          </w:tcPr>
          <w:p w14:paraId="4A7DB4D7" w14:textId="77777777" w:rsidR="00302346" w:rsidRPr="007E43E0" w:rsidRDefault="00302346" w:rsidP="002A29AB">
            <w:pPr>
              <w:contextualSpacing/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  <w:t>Placebo (n=14)</w:t>
            </w:r>
          </w:p>
        </w:tc>
        <w:tc>
          <w:tcPr>
            <w:tcW w:w="1511" w:type="dxa"/>
          </w:tcPr>
          <w:p w14:paraId="538F6D67" w14:textId="77777777" w:rsidR="00302346" w:rsidRPr="007E43E0" w:rsidRDefault="00302346" w:rsidP="002A29AB">
            <w:pPr>
              <w:contextualSpacing/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  <w:t>Nabilone (n=17)</w:t>
            </w:r>
          </w:p>
        </w:tc>
        <w:tc>
          <w:tcPr>
            <w:tcW w:w="1510" w:type="dxa"/>
          </w:tcPr>
          <w:p w14:paraId="4064E554" w14:textId="77777777" w:rsidR="00302346" w:rsidRPr="007E43E0" w:rsidRDefault="00302346" w:rsidP="002A29AB">
            <w:pPr>
              <w:contextualSpacing/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  <w:t>Placebo (n=14)</w:t>
            </w:r>
          </w:p>
        </w:tc>
        <w:tc>
          <w:tcPr>
            <w:tcW w:w="1511" w:type="dxa"/>
          </w:tcPr>
          <w:p w14:paraId="79BEAA58" w14:textId="77777777" w:rsidR="00302346" w:rsidRPr="007E43E0" w:rsidRDefault="00302346" w:rsidP="002A29AB">
            <w:pPr>
              <w:contextualSpacing/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/>
                <w:color w:val="000000" w:themeColor="text1"/>
                <w:sz w:val="18"/>
                <w:szCs w:val="16"/>
                <w:lang w:val="en-US"/>
              </w:rPr>
              <w:t>Nabilone (n=17)</w:t>
            </w:r>
          </w:p>
        </w:tc>
      </w:tr>
      <w:tr w:rsidR="00302346" w:rsidRPr="007E43E0" w14:paraId="194A7D59" w14:textId="77777777" w:rsidTr="002A29AB">
        <w:tc>
          <w:tcPr>
            <w:tcW w:w="3020" w:type="dxa"/>
          </w:tcPr>
          <w:p w14:paraId="04880F5B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R</w:t>
            </w:r>
            <w:r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andomization (R)</w:t>
            </w:r>
          </w:p>
        </w:tc>
        <w:tc>
          <w:tcPr>
            <w:tcW w:w="1510" w:type="dxa"/>
          </w:tcPr>
          <w:p w14:paraId="72C1D273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0.79 ±1.12, 1.00</w:t>
            </w:r>
          </w:p>
        </w:tc>
        <w:tc>
          <w:tcPr>
            <w:tcW w:w="1511" w:type="dxa"/>
          </w:tcPr>
          <w:p w14:paraId="10B36F0E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1.00 ±0.94, 1.00</w:t>
            </w:r>
          </w:p>
        </w:tc>
        <w:tc>
          <w:tcPr>
            <w:tcW w:w="1510" w:type="dxa"/>
          </w:tcPr>
          <w:p w14:paraId="4EB82781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7.57 ±7.06, 6.00</w:t>
            </w:r>
          </w:p>
        </w:tc>
        <w:tc>
          <w:tcPr>
            <w:tcW w:w="1511" w:type="dxa"/>
          </w:tcPr>
          <w:p w14:paraId="09D05B48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11.18 ±8.43, 8.00</w:t>
            </w:r>
          </w:p>
        </w:tc>
      </w:tr>
      <w:tr w:rsidR="00302346" w:rsidRPr="007E43E0" w14:paraId="4A02246D" w14:textId="77777777" w:rsidTr="002A29AB">
        <w:tc>
          <w:tcPr>
            <w:tcW w:w="3020" w:type="dxa"/>
          </w:tcPr>
          <w:p w14:paraId="59B78EE8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T</w:t>
            </w:r>
            <w:r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ermination visit (T)</w:t>
            </w:r>
          </w:p>
        </w:tc>
        <w:tc>
          <w:tcPr>
            <w:tcW w:w="1510" w:type="dxa"/>
          </w:tcPr>
          <w:p w14:paraId="71F2305F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2.79 ±1.05, 3.00</w:t>
            </w:r>
          </w:p>
        </w:tc>
        <w:tc>
          <w:tcPr>
            <w:tcW w:w="1511" w:type="dxa"/>
          </w:tcPr>
          <w:p w14:paraId="7336A166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1.12 ±1.11, 1.00</w:t>
            </w:r>
          </w:p>
        </w:tc>
        <w:tc>
          <w:tcPr>
            <w:tcW w:w="1510" w:type="dxa"/>
          </w:tcPr>
          <w:p w14:paraId="11DAADAF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17.14 ±11.72, 14.00</w:t>
            </w:r>
          </w:p>
        </w:tc>
        <w:tc>
          <w:tcPr>
            <w:tcW w:w="1511" w:type="dxa"/>
          </w:tcPr>
          <w:p w14:paraId="0D45CE25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12.18 ±8.67, 10.00</w:t>
            </w:r>
          </w:p>
        </w:tc>
      </w:tr>
      <w:tr w:rsidR="00302346" w:rsidRPr="007E43E0" w14:paraId="3EE4632B" w14:textId="77777777" w:rsidTr="002A29AB">
        <w:tc>
          <w:tcPr>
            <w:tcW w:w="3020" w:type="dxa"/>
          </w:tcPr>
          <w:p w14:paraId="4F3C5246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Within-group change from R to T</w:t>
            </w:r>
          </w:p>
        </w:tc>
        <w:tc>
          <w:tcPr>
            <w:tcW w:w="1510" w:type="dxa"/>
          </w:tcPr>
          <w:p w14:paraId="582D17C0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2.00 (1.32; 2.68)</w:t>
            </w:r>
          </w:p>
        </w:tc>
        <w:tc>
          <w:tcPr>
            <w:tcW w:w="1511" w:type="dxa"/>
          </w:tcPr>
          <w:p w14:paraId="54F51629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0.12 (-0.45; 0.69)</w:t>
            </w:r>
          </w:p>
        </w:tc>
        <w:tc>
          <w:tcPr>
            <w:tcW w:w="1510" w:type="dxa"/>
          </w:tcPr>
          <w:p w14:paraId="596014EF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9.57 (3.24; 15.90)</w:t>
            </w:r>
          </w:p>
        </w:tc>
        <w:tc>
          <w:tcPr>
            <w:tcW w:w="1511" w:type="dxa"/>
          </w:tcPr>
          <w:p w14:paraId="56100032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1.00 (-2.08; 4.08)</w:t>
            </w:r>
          </w:p>
        </w:tc>
      </w:tr>
      <w:tr w:rsidR="00302346" w:rsidRPr="007E43E0" w14:paraId="7F39475B" w14:textId="77777777" w:rsidTr="002A29AB">
        <w:tc>
          <w:tcPr>
            <w:tcW w:w="3020" w:type="dxa"/>
          </w:tcPr>
          <w:p w14:paraId="5ABD3CC4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 xml:space="preserve">p-value </w:t>
            </w:r>
            <w:proofErr w:type="gramStart"/>
            <w:r w:rsidRPr="007E43E0">
              <w:rPr>
                <w:rFonts w:ascii="Times" w:hAnsi="Times"/>
                <w:b/>
                <w:color w:val="000000" w:themeColor="text1"/>
                <w:sz w:val="18"/>
                <w:szCs w:val="18"/>
                <w:vertAlign w:val="superscript"/>
                <w:lang w:val="en-US"/>
              </w:rPr>
              <w:t>a,*</w:t>
            </w:r>
            <w:proofErr w:type="gramEnd"/>
          </w:p>
        </w:tc>
        <w:tc>
          <w:tcPr>
            <w:tcW w:w="1510" w:type="dxa"/>
          </w:tcPr>
          <w:p w14:paraId="28D1045F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1511" w:type="dxa"/>
          </w:tcPr>
          <w:p w14:paraId="75A169D4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510" w:type="dxa"/>
          </w:tcPr>
          <w:p w14:paraId="4C65E87F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1511" w:type="dxa"/>
          </w:tcPr>
          <w:p w14:paraId="7C951AFD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0.800</w:t>
            </w:r>
          </w:p>
        </w:tc>
      </w:tr>
      <w:tr w:rsidR="00302346" w:rsidRPr="007E43E0" w14:paraId="252E2E76" w14:textId="77777777" w:rsidTr="002A29AB">
        <w:tc>
          <w:tcPr>
            <w:tcW w:w="3020" w:type="dxa"/>
          </w:tcPr>
          <w:p w14:paraId="53735A2E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Between-group difference</w:t>
            </w:r>
          </w:p>
        </w:tc>
        <w:tc>
          <w:tcPr>
            <w:tcW w:w="3021" w:type="dxa"/>
            <w:gridSpan w:val="2"/>
          </w:tcPr>
          <w:p w14:paraId="0B5774C0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1.88 (1.04; 2.73)</w:t>
            </w:r>
          </w:p>
        </w:tc>
        <w:tc>
          <w:tcPr>
            <w:tcW w:w="3021" w:type="dxa"/>
            <w:gridSpan w:val="2"/>
          </w:tcPr>
          <w:p w14:paraId="35269BA7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8.57 (2.24; 14.91)</w:t>
            </w:r>
          </w:p>
        </w:tc>
      </w:tr>
      <w:tr w:rsidR="00302346" w:rsidRPr="007E43E0" w14:paraId="149D7E8A" w14:textId="77777777" w:rsidTr="002A29AB">
        <w:tc>
          <w:tcPr>
            <w:tcW w:w="3020" w:type="dxa"/>
          </w:tcPr>
          <w:p w14:paraId="77B921B5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 xml:space="preserve">p-value </w:t>
            </w:r>
            <w:r w:rsidRPr="007E43E0">
              <w:rPr>
                <w:rFonts w:ascii="Times" w:hAnsi="Times"/>
                <w:b/>
                <w:color w:val="000000" w:themeColor="text1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3021" w:type="dxa"/>
            <w:gridSpan w:val="2"/>
          </w:tcPr>
          <w:p w14:paraId="144F097A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&lt;0.001</w:t>
            </w:r>
          </w:p>
        </w:tc>
        <w:tc>
          <w:tcPr>
            <w:tcW w:w="3021" w:type="dxa"/>
            <w:gridSpan w:val="2"/>
          </w:tcPr>
          <w:p w14:paraId="372B5660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0.011</w:t>
            </w:r>
          </w:p>
        </w:tc>
      </w:tr>
      <w:tr w:rsidR="00302346" w:rsidRPr="007E43E0" w14:paraId="3D1DFC12" w14:textId="77777777" w:rsidTr="002A29AB">
        <w:tc>
          <w:tcPr>
            <w:tcW w:w="3020" w:type="dxa"/>
          </w:tcPr>
          <w:p w14:paraId="790C298E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E</w:t>
            </w:r>
            <w:r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ffect size</w:t>
            </w: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proofErr w:type="gramStart"/>
            <w:r w:rsidRPr="007E43E0">
              <w:rPr>
                <w:rFonts w:ascii="Times" w:hAnsi="Times"/>
                <w:b/>
                <w:color w:val="000000" w:themeColor="text1"/>
                <w:sz w:val="18"/>
                <w:szCs w:val="18"/>
                <w:vertAlign w:val="superscript"/>
                <w:lang w:val="en-US"/>
              </w:rPr>
              <w:t>a,*</w:t>
            </w:r>
            <w:proofErr w:type="gramEnd"/>
            <w:r w:rsidRPr="007E43E0">
              <w:rPr>
                <w:rFonts w:ascii="Times" w:hAnsi="Times"/>
                <w:b/>
                <w:color w:val="000000" w:themeColor="text1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510" w:type="dxa"/>
            <w:vAlign w:val="center"/>
          </w:tcPr>
          <w:p w14:paraId="62A319FB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1.70</w:t>
            </w:r>
          </w:p>
        </w:tc>
        <w:tc>
          <w:tcPr>
            <w:tcW w:w="1511" w:type="dxa"/>
            <w:vAlign w:val="center"/>
          </w:tcPr>
          <w:p w14:paraId="26289384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0.11</w:t>
            </w:r>
          </w:p>
        </w:tc>
        <w:tc>
          <w:tcPr>
            <w:tcW w:w="1510" w:type="dxa"/>
          </w:tcPr>
          <w:p w14:paraId="7DB006EA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0.87</w:t>
            </w:r>
          </w:p>
        </w:tc>
        <w:tc>
          <w:tcPr>
            <w:tcW w:w="1511" w:type="dxa"/>
          </w:tcPr>
          <w:p w14:paraId="650648A6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0.17</w:t>
            </w:r>
          </w:p>
        </w:tc>
      </w:tr>
      <w:tr w:rsidR="00302346" w:rsidRPr="007E43E0" w14:paraId="5039E794" w14:textId="77777777" w:rsidTr="002A29AB">
        <w:tc>
          <w:tcPr>
            <w:tcW w:w="3020" w:type="dxa"/>
          </w:tcPr>
          <w:p w14:paraId="425C0A5E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E</w:t>
            </w:r>
            <w:r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>ffect size</w:t>
            </w:r>
            <w:r w:rsidRPr="007E43E0"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proofErr w:type="gramStart"/>
            <w:r w:rsidRPr="007E43E0">
              <w:rPr>
                <w:rFonts w:ascii="Times" w:hAnsi="Times"/>
                <w:b/>
                <w:color w:val="000000" w:themeColor="text1"/>
                <w:sz w:val="18"/>
                <w:szCs w:val="18"/>
                <w:vertAlign w:val="superscript"/>
                <w:lang w:val="en-US"/>
              </w:rPr>
              <w:t>b,*</w:t>
            </w:r>
            <w:proofErr w:type="gramEnd"/>
            <w:r w:rsidRPr="007E43E0">
              <w:rPr>
                <w:rFonts w:ascii="Times" w:hAnsi="Times"/>
                <w:b/>
                <w:color w:val="000000" w:themeColor="text1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3021" w:type="dxa"/>
            <w:gridSpan w:val="2"/>
          </w:tcPr>
          <w:p w14:paraId="60068B18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1.65/ 0.88</w:t>
            </w:r>
          </w:p>
        </w:tc>
        <w:tc>
          <w:tcPr>
            <w:tcW w:w="3021" w:type="dxa"/>
            <w:gridSpan w:val="2"/>
          </w:tcPr>
          <w:p w14:paraId="7612F47A" w14:textId="77777777" w:rsidR="00302346" w:rsidRPr="007E43E0" w:rsidRDefault="00302346" w:rsidP="002A29AB">
            <w:pPr>
              <w:contextualSpacing/>
              <w:rPr>
                <w:rFonts w:ascii="Times" w:hAnsi="Times"/>
                <w:color w:val="000000" w:themeColor="text1"/>
                <w:sz w:val="18"/>
                <w:szCs w:val="16"/>
                <w:lang w:val="en-US"/>
              </w:rPr>
            </w:pPr>
            <w:r w:rsidRPr="007E43E0">
              <w:rPr>
                <w:rFonts w:ascii="Times" w:hAnsi="Times"/>
                <w:bCs/>
                <w:color w:val="000000" w:themeColor="text1"/>
                <w:sz w:val="18"/>
                <w:szCs w:val="18"/>
                <w:lang w:val="en-US"/>
              </w:rPr>
              <w:t>1.00/ 0.76</w:t>
            </w:r>
          </w:p>
        </w:tc>
      </w:tr>
    </w:tbl>
    <w:p w14:paraId="5875EAF6" w14:textId="77777777" w:rsidR="00302346" w:rsidRPr="007E43E0" w:rsidRDefault="00302346" w:rsidP="00302346">
      <w:pPr>
        <w:spacing w:after="0" w:line="240" w:lineRule="auto"/>
        <w:rPr>
          <w:rFonts w:ascii="Times" w:eastAsia="Times New Roman" w:hAnsi="Times" w:cs="Calibri"/>
          <w:color w:val="FF0000"/>
          <w:sz w:val="16"/>
          <w:szCs w:val="16"/>
          <w:lang w:val="en-US" w:eastAsia="de-AT"/>
        </w:rPr>
      </w:pP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lang w:val="en-US" w:eastAsia="de-AT"/>
        </w:rPr>
        <w:t xml:space="preserve">Abbreviations: BL, baseline; R, randomization; T, termination visit; ES, </w:t>
      </w:r>
      <w:r w:rsidRPr="007E43E0">
        <w:rPr>
          <w:rFonts w:ascii="Times" w:hAnsi="Times"/>
          <w:sz w:val="16"/>
          <w:szCs w:val="16"/>
          <w:lang w:val="en-US"/>
        </w:rPr>
        <w:t xml:space="preserve">MDS-UPDRS, Movement Disorder Society- </w:t>
      </w:r>
      <w:r w:rsidRPr="007E43E0">
        <w:rPr>
          <w:rFonts w:ascii="Times" w:hAnsi="Times"/>
          <w:color w:val="000000" w:themeColor="text1"/>
          <w:sz w:val="16"/>
          <w:szCs w:val="16"/>
          <w:lang w:val="en-US"/>
        </w:rPr>
        <w:t xml:space="preserve">Unified Parkinson´s Disease Rating Scale; NMSS, Non-Motor Symptoms Scale; 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lang w:val="en-US" w:eastAsia="de-AT"/>
        </w:rPr>
        <w:t xml:space="preserve">1.7, MDS-UPDRS-1 item 1.7 (Sleep problems); D2, NMSS Domain 2 (sleep/fatigue). </w:t>
      </w:r>
      <w:r w:rsidRPr="007E43E0">
        <w:rPr>
          <w:rFonts w:ascii="Times" w:hAnsi="Times"/>
          <w:color w:val="000000" w:themeColor="text1"/>
          <w:sz w:val="16"/>
          <w:szCs w:val="16"/>
          <w:lang w:val="en-US"/>
        </w:rPr>
        <w:t xml:space="preserve">Data of continuous variables are presented as mean ± standard deviation, median (endpoint scores at baseline and randomization) or mean (95% CI), median (change of endpoint scores within a group or the difference of changes between groups). </w:t>
      </w:r>
      <w:proofErr w:type="spellStart"/>
      <w:r w:rsidRPr="007E43E0">
        <w:rPr>
          <w:rFonts w:ascii="Times" w:eastAsia="Times New Roman" w:hAnsi="Times" w:cs="Calibri"/>
          <w:color w:val="000000" w:themeColor="text1"/>
          <w:sz w:val="16"/>
          <w:szCs w:val="16"/>
          <w:vertAlign w:val="superscript"/>
          <w:lang w:val="en-US" w:eastAsia="de-AT"/>
        </w:rPr>
        <w:t>a</w:t>
      </w:r>
      <w:proofErr w:type="spellEnd"/>
      <w:r w:rsidRPr="007E43E0">
        <w:rPr>
          <w:rFonts w:ascii="Times" w:eastAsia="Times New Roman" w:hAnsi="Times" w:cs="Calibri"/>
          <w:color w:val="000000" w:themeColor="text1"/>
          <w:sz w:val="16"/>
          <w:szCs w:val="16"/>
          <w:vertAlign w:val="superscript"/>
          <w:lang w:val="en-US" w:eastAsia="de-AT"/>
        </w:rPr>
        <w:t> 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lang w:val="en-US" w:eastAsia="de-AT"/>
        </w:rPr>
        <w:t xml:space="preserve">Within-group comparison. 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vertAlign w:val="superscript"/>
          <w:lang w:val="en-US" w:eastAsia="de-AT"/>
        </w:rPr>
        <w:t xml:space="preserve">b 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lang w:val="en-US" w:eastAsia="de-AT"/>
        </w:rPr>
        <w:t xml:space="preserve">Between-group comparison. For all p-values, significance level was set at p≤0.05. 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vertAlign w:val="superscript"/>
          <w:lang w:val="en-US" w:eastAsia="de-AT"/>
        </w:rPr>
        <w:t xml:space="preserve">* 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lang w:val="en-US" w:eastAsia="de-AT"/>
        </w:rPr>
        <w:t>p-value corrected for multiple testing (multiplied by 2). Endpoints during the double-blind phase were analyzed separately for the nabilone and placebo groups using a Wilcoxon matched</w:t>
      </w:r>
      <w:r w:rsidRPr="007E43E0">
        <w:rPr>
          <w:rFonts w:ascii="Calibri" w:eastAsia="Calibri" w:hAnsi="Calibri" w:cs="Calibri"/>
          <w:color w:val="000000" w:themeColor="text1"/>
          <w:sz w:val="16"/>
          <w:szCs w:val="16"/>
          <w:lang w:val="en-US" w:eastAsia="de-AT"/>
        </w:rPr>
        <w:t>‐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lang w:val="en-US" w:eastAsia="de-AT"/>
        </w:rPr>
        <w:t>pairs test for within</w:t>
      </w:r>
      <w:r w:rsidRPr="007E43E0">
        <w:rPr>
          <w:rFonts w:ascii="Calibri" w:eastAsia="Calibri" w:hAnsi="Calibri" w:cs="Calibri"/>
          <w:color w:val="000000" w:themeColor="text1"/>
          <w:sz w:val="16"/>
          <w:szCs w:val="16"/>
          <w:lang w:val="en-US" w:eastAsia="de-AT"/>
        </w:rPr>
        <w:t>‐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lang w:val="en-US" w:eastAsia="de-AT"/>
        </w:rPr>
        <w:t>group comparison (correction for multiple comparisons with a factor of 2) and a Mann–Whitney U test for between</w:t>
      </w:r>
      <w:r w:rsidRPr="007E43E0">
        <w:rPr>
          <w:rFonts w:ascii="Calibri" w:eastAsia="Calibri" w:hAnsi="Calibri" w:cs="Calibri"/>
          <w:color w:val="000000" w:themeColor="text1"/>
          <w:sz w:val="16"/>
          <w:szCs w:val="16"/>
          <w:lang w:val="en-US" w:eastAsia="de-AT"/>
        </w:rPr>
        <w:t>‐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lang w:val="en-US" w:eastAsia="de-AT"/>
        </w:rPr>
        <w:t xml:space="preserve">group comparisons. 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vertAlign w:val="superscript"/>
          <w:lang w:val="en-US" w:eastAsia="de-AT"/>
        </w:rPr>
        <w:t>** 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lang w:val="en-US" w:eastAsia="de-AT"/>
        </w:rPr>
        <w:t>Effect size according to Cohen´s D with Hedges’ g correction. 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vertAlign w:val="superscript"/>
          <w:lang w:val="en-US" w:eastAsia="de-AT"/>
        </w:rPr>
        <w:t>*** </w:t>
      </w:r>
      <w:r w:rsidRPr="007E43E0">
        <w:rPr>
          <w:rFonts w:ascii="Times" w:eastAsia="Times New Roman" w:hAnsi="Times" w:cs="Calibri"/>
          <w:color w:val="000000" w:themeColor="text1"/>
          <w:sz w:val="16"/>
          <w:szCs w:val="16"/>
          <w:lang w:val="en-US" w:eastAsia="de-AT"/>
        </w:rPr>
        <w:t>Effect size according to Cohen´s D with Hedges’ correction / Common Language Effect Size (CLES). For MDS-UPDRS-1.7: see legend of Table 1.</w:t>
      </w:r>
    </w:p>
    <w:p w14:paraId="3EC3C32C" w14:textId="77777777" w:rsidR="00302346" w:rsidRPr="007E43E0" w:rsidRDefault="00302346" w:rsidP="00302346">
      <w:pPr>
        <w:spacing w:after="0" w:line="240" w:lineRule="auto"/>
        <w:rPr>
          <w:rFonts w:ascii="Times" w:eastAsia="Times New Roman" w:hAnsi="Times" w:cs="Calibri"/>
          <w:color w:val="FF0000"/>
          <w:sz w:val="16"/>
          <w:szCs w:val="16"/>
          <w:lang w:val="en-US" w:eastAsia="de-AT"/>
        </w:rPr>
      </w:pPr>
    </w:p>
    <w:p w14:paraId="772346B9" w14:textId="77777777" w:rsidR="00302346" w:rsidRPr="007E43E0" w:rsidRDefault="00302346" w:rsidP="00302346">
      <w:pPr>
        <w:spacing w:after="0" w:line="240" w:lineRule="auto"/>
        <w:contextualSpacing/>
        <w:rPr>
          <w:rFonts w:ascii="Times" w:hAnsi="Times"/>
          <w:color w:val="000000" w:themeColor="text1"/>
          <w:sz w:val="16"/>
          <w:szCs w:val="16"/>
          <w:lang w:val="en-US"/>
        </w:rPr>
      </w:pPr>
    </w:p>
    <w:p w14:paraId="2BB85BA9" w14:textId="704E4E51" w:rsidR="00BE51FC" w:rsidRPr="00302346" w:rsidRDefault="00BE51FC">
      <w:pPr>
        <w:rPr>
          <w:rFonts w:ascii="Times" w:hAnsi="Times"/>
          <w:color w:val="000000" w:themeColor="text1"/>
          <w:sz w:val="16"/>
          <w:szCs w:val="16"/>
          <w:lang w:val="en-US"/>
        </w:rPr>
      </w:pPr>
    </w:p>
    <w:sectPr w:rsidR="00BE51FC" w:rsidRPr="003023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46"/>
    <w:rsid w:val="001201F3"/>
    <w:rsid w:val="00302346"/>
    <w:rsid w:val="0048682A"/>
    <w:rsid w:val="00B152B7"/>
    <w:rsid w:val="00BE51FC"/>
    <w:rsid w:val="00F5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F6A0"/>
  <w15:chartTrackingRefBased/>
  <w15:docId w15:val="{7DF39A21-B0E2-40A4-8BE2-F4F32494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23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0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30234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Peball</dc:creator>
  <cp:keywords/>
  <dc:description/>
  <cp:lastModifiedBy>Marina Peball</cp:lastModifiedBy>
  <cp:revision>1</cp:revision>
  <dcterms:created xsi:type="dcterms:W3CDTF">2022-03-19T15:20:00Z</dcterms:created>
  <dcterms:modified xsi:type="dcterms:W3CDTF">2022-03-19T15:22:00Z</dcterms:modified>
</cp:coreProperties>
</file>