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1"/>
        <w:tblpPr w:leftFromText="180" w:rightFromText="180" w:horzAnchor="margin" w:tblpY="540"/>
        <w:tblW w:w="0" w:type="auto"/>
        <w:tblLook w:val="04A0" w:firstRow="1" w:lastRow="0" w:firstColumn="1" w:lastColumn="0" w:noHBand="0" w:noVBand="1"/>
      </w:tblPr>
      <w:tblGrid>
        <w:gridCol w:w="1590"/>
        <w:gridCol w:w="1403"/>
        <w:gridCol w:w="1563"/>
        <w:gridCol w:w="2296"/>
        <w:gridCol w:w="2164"/>
      </w:tblGrid>
      <w:tr w:rsidR="0095004A" w14:paraId="23E886E3" w14:textId="77777777" w:rsidTr="006F07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</w:tcPr>
          <w:p w14:paraId="54A13C05" w14:textId="77777777" w:rsidR="0095004A" w:rsidRDefault="0095004A" w:rsidP="006F07A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Compound name</w:t>
            </w:r>
          </w:p>
        </w:tc>
        <w:tc>
          <w:tcPr>
            <w:tcW w:w="1403" w:type="dxa"/>
          </w:tcPr>
          <w:p w14:paraId="48885BEA" w14:textId="57C4E46C" w:rsidR="0095004A" w:rsidRDefault="0095004A" w:rsidP="006F07AD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Mechanism</w:t>
            </w:r>
          </w:p>
        </w:tc>
        <w:tc>
          <w:tcPr>
            <w:tcW w:w="1563" w:type="dxa"/>
          </w:tcPr>
          <w:p w14:paraId="323B0084" w14:textId="77777777" w:rsidR="0095004A" w:rsidRDefault="0095004A" w:rsidP="006F07AD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Development status</w:t>
            </w:r>
          </w:p>
        </w:tc>
        <w:tc>
          <w:tcPr>
            <w:tcW w:w="2296" w:type="dxa"/>
          </w:tcPr>
          <w:p w14:paraId="1C8F9FFF" w14:textId="77777777" w:rsidR="0095004A" w:rsidRDefault="0095004A" w:rsidP="006F07AD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Disease</w:t>
            </w:r>
          </w:p>
        </w:tc>
        <w:tc>
          <w:tcPr>
            <w:tcW w:w="2164" w:type="dxa"/>
          </w:tcPr>
          <w:p w14:paraId="4CF9BD85" w14:textId="77777777" w:rsidR="0095004A" w:rsidRDefault="0095004A" w:rsidP="006F07AD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Outcome</w:t>
            </w:r>
          </w:p>
        </w:tc>
      </w:tr>
      <w:tr w:rsidR="0095004A" w14:paraId="20C058E0" w14:textId="77777777" w:rsidTr="006F07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</w:tcPr>
          <w:p w14:paraId="2A8B77B3" w14:textId="77777777" w:rsidR="0095004A" w:rsidRPr="004457B5" w:rsidRDefault="0095004A" w:rsidP="006F07AD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4457B5">
              <w:rPr>
                <w:rFonts w:ascii="Times New Roman" w:hAnsi="Times New Roman" w:cs="Times New Roman"/>
                <w:b w:val="0"/>
                <w:bCs w:val="0"/>
              </w:rPr>
              <w:t>CID16020046</w:t>
            </w:r>
          </w:p>
        </w:tc>
        <w:tc>
          <w:tcPr>
            <w:tcW w:w="1403" w:type="dxa"/>
          </w:tcPr>
          <w:p w14:paraId="437BE193" w14:textId="77777777" w:rsidR="0095004A" w:rsidRDefault="0095004A" w:rsidP="006F07A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Antagonist</w:t>
            </w:r>
          </w:p>
        </w:tc>
        <w:tc>
          <w:tcPr>
            <w:tcW w:w="1563" w:type="dxa"/>
          </w:tcPr>
          <w:p w14:paraId="02898C30" w14:textId="77777777" w:rsidR="0095004A" w:rsidRDefault="0095004A" w:rsidP="006F07A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Preclinical</w:t>
            </w:r>
          </w:p>
        </w:tc>
        <w:tc>
          <w:tcPr>
            <w:tcW w:w="2296" w:type="dxa"/>
          </w:tcPr>
          <w:p w14:paraId="71D3C15C" w14:textId="77777777" w:rsidR="0095004A" w:rsidRDefault="0095004A" w:rsidP="006F07A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Inflammatory conditions, MAFLD/MASH</w:t>
            </w:r>
          </w:p>
        </w:tc>
        <w:tc>
          <w:tcPr>
            <w:tcW w:w="2164" w:type="dxa"/>
          </w:tcPr>
          <w:p w14:paraId="63ADE1E7" w14:textId="77777777" w:rsidR="0095004A" w:rsidRDefault="0095004A" w:rsidP="006F07A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Reduced lipid accumulation and serum triglyceride levels</w:t>
            </w:r>
          </w:p>
        </w:tc>
      </w:tr>
      <w:tr w:rsidR="0095004A" w14:paraId="47547982" w14:textId="77777777" w:rsidTr="006F07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</w:tcPr>
          <w:p w14:paraId="0E1E49D1" w14:textId="77777777" w:rsidR="0095004A" w:rsidRPr="004457B5" w:rsidRDefault="0095004A" w:rsidP="006F07AD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4457B5">
              <w:rPr>
                <w:rFonts w:ascii="Times New Roman" w:hAnsi="Times New Roman" w:cs="Times New Roman"/>
                <w:b w:val="0"/>
                <w:bCs w:val="0"/>
              </w:rPr>
              <w:t>O-1602</w:t>
            </w:r>
          </w:p>
        </w:tc>
        <w:tc>
          <w:tcPr>
            <w:tcW w:w="1403" w:type="dxa"/>
          </w:tcPr>
          <w:p w14:paraId="3B02927F" w14:textId="77777777" w:rsidR="0095004A" w:rsidRDefault="0095004A" w:rsidP="006F07A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Agonist</w:t>
            </w:r>
          </w:p>
        </w:tc>
        <w:tc>
          <w:tcPr>
            <w:tcW w:w="1563" w:type="dxa"/>
          </w:tcPr>
          <w:p w14:paraId="6CBAD51F" w14:textId="77777777" w:rsidR="0095004A" w:rsidRDefault="0095004A" w:rsidP="006F07A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Preclinical</w:t>
            </w:r>
          </w:p>
        </w:tc>
        <w:tc>
          <w:tcPr>
            <w:tcW w:w="2296" w:type="dxa"/>
          </w:tcPr>
          <w:p w14:paraId="568EEEEF" w14:textId="77777777" w:rsidR="0095004A" w:rsidRDefault="0095004A" w:rsidP="006F07A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Neurological disorders, MAFLD/MASH</w:t>
            </w:r>
          </w:p>
        </w:tc>
        <w:tc>
          <w:tcPr>
            <w:tcW w:w="2164" w:type="dxa"/>
          </w:tcPr>
          <w:p w14:paraId="44713D96" w14:textId="77777777" w:rsidR="0095004A" w:rsidRDefault="0095004A" w:rsidP="006F07A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Induced hepatic steatosis via SREBP-1c pathway</w:t>
            </w:r>
          </w:p>
        </w:tc>
      </w:tr>
      <w:tr w:rsidR="0095004A" w14:paraId="0B357790" w14:textId="77777777" w:rsidTr="006F07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</w:tcPr>
          <w:p w14:paraId="0EC65E26" w14:textId="77777777" w:rsidR="0095004A" w:rsidRPr="004457B5" w:rsidRDefault="0095004A" w:rsidP="006F07AD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4457B5">
              <w:rPr>
                <w:rFonts w:ascii="Times New Roman" w:hAnsi="Times New Roman" w:cs="Times New Roman"/>
                <w:b w:val="0"/>
                <w:bCs w:val="0"/>
              </w:rPr>
              <w:t>ML-193</w:t>
            </w:r>
          </w:p>
        </w:tc>
        <w:tc>
          <w:tcPr>
            <w:tcW w:w="1403" w:type="dxa"/>
          </w:tcPr>
          <w:p w14:paraId="6B169D30" w14:textId="77777777" w:rsidR="0095004A" w:rsidRDefault="0095004A" w:rsidP="006F07A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Antagonist</w:t>
            </w:r>
          </w:p>
        </w:tc>
        <w:tc>
          <w:tcPr>
            <w:tcW w:w="1563" w:type="dxa"/>
          </w:tcPr>
          <w:p w14:paraId="5D991BEB" w14:textId="77777777" w:rsidR="0095004A" w:rsidRDefault="0095004A" w:rsidP="006F07A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Preclinical</w:t>
            </w:r>
          </w:p>
        </w:tc>
        <w:tc>
          <w:tcPr>
            <w:tcW w:w="2296" w:type="dxa"/>
          </w:tcPr>
          <w:p w14:paraId="55D0EC59" w14:textId="77777777" w:rsidR="0095004A" w:rsidRDefault="0095004A" w:rsidP="006F07A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Parkinson’s</w:t>
            </w:r>
          </w:p>
        </w:tc>
        <w:tc>
          <w:tcPr>
            <w:tcW w:w="2164" w:type="dxa"/>
          </w:tcPr>
          <w:p w14:paraId="4B07F456" w14:textId="77777777" w:rsidR="0095004A" w:rsidRDefault="0095004A" w:rsidP="006F07A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Improved motor deficits</w:t>
            </w:r>
          </w:p>
        </w:tc>
      </w:tr>
      <w:tr w:rsidR="0095004A" w14:paraId="1C254410" w14:textId="77777777" w:rsidTr="006F07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</w:tcPr>
          <w:p w14:paraId="1D388D81" w14:textId="77777777" w:rsidR="0095004A" w:rsidRPr="004457B5" w:rsidRDefault="0095004A" w:rsidP="006F07AD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4457B5">
              <w:rPr>
                <w:rFonts w:ascii="Times New Roman" w:hAnsi="Times New Roman" w:cs="Times New Roman"/>
                <w:b w:val="0"/>
                <w:bCs w:val="0"/>
              </w:rPr>
              <w:t>ETX-018810</w:t>
            </w:r>
          </w:p>
        </w:tc>
        <w:tc>
          <w:tcPr>
            <w:tcW w:w="1403" w:type="dxa"/>
          </w:tcPr>
          <w:p w14:paraId="1D995E90" w14:textId="77777777" w:rsidR="0095004A" w:rsidRDefault="0095004A" w:rsidP="006F07A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Antagonist</w:t>
            </w:r>
          </w:p>
        </w:tc>
        <w:tc>
          <w:tcPr>
            <w:tcW w:w="1563" w:type="dxa"/>
          </w:tcPr>
          <w:p w14:paraId="1FCD85D8" w14:textId="77777777" w:rsidR="0095004A" w:rsidRDefault="0095004A" w:rsidP="006F07A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Phase 2</w:t>
            </w:r>
          </w:p>
        </w:tc>
        <w:tc>
          <w:tcPr>
            <w:tcW w:w="2296" w:type="dxa"/>
          </w:tcPr>
          <w:p w14:paraId="2A94668B" w14:textId="77777777" w:rsidR="0095004A" w:rsidRDefault="0095004A" w:rsidP="006F07A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Neuropathic pain</w:t>
            </w:r>
          </w:p>
        </w:tc>
        <w:tc>
          <w:tcPr>
            <w:tcW w:w="2164" w:type="dxa"/>
          </w:tcPr>
          <w:p w14:paraId="1A2EA962" w14:textId="77777777" w:rsidR="0095004A" w:rsidRDefault="0095004A" w:rsidP="006F07A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Trial completed</w:t>
            </w:r>
          </w:p>
          <w:p w14:paraId="0B24C1A3" w14:textId="02A0395A" w:rsidR="0095004A" w:rsidRDefault="0095004A" w:rsidP="006F07A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(NCT04688671)</w:t>
            </w:r>
            <w:r w:rsidR="003D315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5004A" w14:paraId="246EABBD" w14:textId="77777777" w:rsidTr="006F07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</w:tcPr>
          <w:p w14:paraId="5CB0D5FA" w14:textId="77777777" w:rsidR="0095004A" w:rsidRPr="004457B5" w:rsidRDefault="0095004A" w:rsidP="006F07AD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4457B5">
              <w:rPr>
                <w:rFonts w:ascii="Times New Roman" w:hAnsi="Times New Roman" w:cs="Times New Roman"/>
                <w:b w:val="0"/>
                <w:bCs w:val="0"/>
              </w:rPr>
              <w:t>KLS-13019</w:t>
            </w:r>
          </w:p>
        </w:tc>
        <w:tc>
          <w:tcPr>
            <w:tcW w:w="1403" w:type="dxa"/>
          </w:tcPr>
          <w:p w14:paraId="070DD28F" w14:textId="77777777" w:rsidR="0095004A" w:rsidRDefault="0095004A" w:rsidP="006F07A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Antagonist</w:t>
            </w:r>
          </w:p>
        </w:tc>
        <w:tc>
          <w:tcPr>
            <w:tcW w:w="1563" w:type="dxa"/>
          </w:tcPr>
          <w:p w14:paraId="3853594B" w14:textId="77777777" w:rsidR="0095004A" w:rsidRDefault="0095004A" w:rsidP="006F07A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Preclinical</w:t>
            </w:r>
          </w:p>
        </w:tc>
        <w:tc>
          <w:tcPr>
            <w:tcW w:w="2296" w:type="dxa"/>
          </w:tcPr>
          <w:p w14:paraId="70956590" w14:textId="77777777" w:rsidR="0095004A" w:rsidRDefault="0095004A" w:rsidP="006F07A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Neuropathy</w:t>
            </w:r>
          </w:p>
        </w:tc>
        <w:tc>
          <w:tcPr>
            <w:tcW w:w="2164" w:type="dxa"/>
          </w:tcPr>
          <w:p w14:paraId="2E6644EB" w14:textId="77777777" w:rsidR="0095004A" w:rsidRDefault="0095004A" w:rsidP="006F07A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Prevent neuron damage</w:t>
            </w:r>
          </w:p>
        </w:tc>
      </w:tr>
      <w:tr w:rsidR="0095004A" w14:paraId="405EF601" w14:textId="77777777" w:rsidTr="006F07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</w:tcPr>
          <w:p w14:paraId="44BF2643" w14:textId="77777777" w:rsidR="0095004A" w:rsidRPr="004457B5" w:rsidRDefault="0095004A" w:rsidP="006F07AD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P1-1</w:t>
            </w:r>
          </w:p>
        </w:tc>
        <w:tc>
          <w:tcPr>
            <w:tcW w:w="1403" w:type="dxa"/>
          </w:tcPr>
          <w:p w14:paraId="742B9F72" w14:textId="77777777" w:rsidR="0095004A" w:rsidRDefault="0095004A" w:rsidP="006F07A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Antagonist</w:t>
            </w:r>
          </w:p>
        </w:tc>
        <w:tc>
          <w:tcPr>
            <w:tcW w:w="1563" w:type="dxa"/>
          </w:tcPr>
          <w:p w14:paraId="4890C0B7" w14:textId="77777777" w:rsidR="0095004A" w:rsidRDefault="0095004A" w:rsidP="006F07A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Preclinical</w:t>
            </w:r>
          </w:p>
        </w:tc>
        <w:tc>
          <w:tcPr>
            <w:tcW w:w="2296" w:type="dxa"/>
          </w:tcPr>
          <w:p w14:paraId="743E0053" w14:textId="77777777" w:rsidR="0095004A" w:rsidRDefault="0095004A" w:rsidP="006F07A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Liver inflammation/fibrosis</w:t>
            </w:r>
          </w:p>
        </w:tc>
        <w:tc>
          <w:tcPr>
            <w:tcW w:w="2164" w:type="dxa"/>
          </w:tcPr>
          <w:p w14:paraId="099F53D0" w14:textId="77777777" w:rsidR="0095004A" w:rsidRDefault="0095004A" w:rsidP="006F07A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Reduced inflammation and fibrosis</w:t>
            </w:r>
          </w:p>
        </w:tc>
      </w:tr>
      <w:tr w:rsidR="0095004A" w14:paraId="61DC1E2B" w14:textId="77777777" w:rsidTr="006F07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</w:tcPr>
          <w:p w14:paraId="16105AFC" w14:textId="77777777" w:rsidR="0095004A" w:rsidRPr="004457B5" w:rsidRDefault="0095004A" w:rsidP="006F07AD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LPI </w:t>
            </w:r>
          </w:p>
        </w:tc>
        <w:tc>
          <w:tcPr>
            <w:tcW w:w="1403" w:type="dxa"/>
          </w:tcPr>
          <w:p w14:paraId="0C7F2820" w14:textId="77777777" w:rsidR="0095004A" w:rsidRDefault="0095004A" w:rsidP="006F07A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Agonist</w:t>
            </w:r>
          </w:p>
        </w:tc>
        <w:tc>
          <w:tcPr>
            <w:tcW w:w="1563" w:type="dxa"/>
          </w:tcPr>
          <w:p w14:paraId="05331E68" w14:textId="77777777" w:rsidR="0095004A" w:rsidRDefault="0095004A" w:rsidP="006F07A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Preclinical</w:t>
            </w:r>
          </w:p>
        </w:tc>
        <w:tc>
          <w:tcPr>
            <w:tcW w:w="2296" w:type="dxa"/>
          </w:tcPr>
          <w:p w14:paraId="152239E6" w14:textId="77777777" w:rsidR="0095004A" w:rsidRDefault="0095004A" w:rsidP="006F07A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MAFLD/MASH</w:t>
            </w:r>
          </w:p>
        </w:tc>
        <w:tc>
          <w:tcPr>
            <w:tcW w:w="2164" w:type="dxa"/>
          </w:tcPr>
          <w:p w14:paraId="5D13F648" w14:textId="77777777" w:rsidR="0095004A" w:rsidRDefault="0095004A" w:rsidP="006F07A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Lipid accumulation</w:t>
            </w:r>
          </w:p>
        </w:tc>
      </w:tr>
    </w:tbl>
    <w:p w14:paraId="30D26362" w14:textId="2007DEF3" w:rsidR="006F07AD" w:rsidRPr="006F07AD" w:rsidRDefault="00384E51" w:rsidP="006F07AD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Supplementary </w:t>
      </w:r>
      <w:r w:rsidR="006F07AD" w:rsidRPr="006F07AD">
        <w:rPr>
          <w:rFonts w:ascii="Times New Roman" w:hAnsi="Times New Roman" w:cs="Times New Roman"/>
          <w:b/>
          <w:bCs/>
        </w:rPr>
        <w:t>Table 2. Pharmacological agents targeting GPR55.</w:t>
      </w:r>
    </w:p>
    <w:p w14:paraId="7B8AC22F" w14:textId="05C0E86C" w:rsidR="00650F8F" w:rsidRDefault="00650F8F"/>
    <w:p w14:paraId="2EB460D1" w14:textId="77777777" w:rsidR="003D3156" w:rsidRDefault="003D3156"/>
    <w:sectPr w:rsidR="003D31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04A"/>
    <w:rsid w:val="000241E7"/>
    <w:rsid w:val="000308B0"/>
    <w:rsid w:val="0004373B"/>
    <w:rsid w:val="000E1AA8"/>
    <w:rsid w:val="001051A2"/>
    <w:rsid w:val="001178DB"/>
    <w:rsid w:val="0012443F"/>
    <w:rsid w:val="001E05A8"/>
    <w:rsid w:val="001E5697"/>
    <w:rsid w:val="0021791E"/>
    <w:rsid w:val="0026295F"/>
    <w:rsid w:val="00270D28"/>
    <w:rsid w:val="0027344C"/>
    <w:rsid w:val="002958A2"/>
    <w:rsid w:val="002E5AE8"/>
    <w:rsid w:val="002F0BFC"/>
    <w:rsid w:val="00317EBD"/>
    <w:rsid w:val="003311A6"/>
    <w:rsid w:val="00350CF0"/>
    <w:rsid w:val="00384E51"/>
    <w:rsid w:val="003D3156"/>
    <w:rsid w:val="003F41E5"/>
    <w:rsid w:val="0041168F"/>
    <w:rsid w:val="00414BF5"/>
    <w:rsid w:val="00415F08"/>
    <w:rsid w:val="00482D42"/>
    <w:rsid w:val="004C19DC"/>
    <w:rsid w:val="004C1CD7"/>
    <w:rsid w:val="004E327F"/>
    <w:rsid w:val="004F6830"/>
    <w:rsid w:val="005202ED"/>
    <w:rsid w:val="00533B63"/>
    <w:rsid w:val="00591459"/>
    <w:rsid w:val="005D2221"/>
    <w:rsid w:val="00604640"/>
    <w:rsid w:val="00612B3C"/>
    <w:rsid w:val="00650F8F"/>
    <w:rsid w:val="0069137E"/>
    <w:rsid w:val="006F07AD"/>
    <w:rsid w:val="00710AB5"/>
    <w:rsid w:val="00767DC3"/>
    <w:rsid w:val="0079780E"/>
    <w:rsid w:val="007A27D0"/>
    <w:rsid w:val="00825234"/>
    <w:rsid w:val="00830FC1"/>
    <w:rsid w:val="008B383A"/>
    <w:rsid w:val="008F3431"/>
    <w:rsid w:val="00910CD1"/>
    <w:rsid w:val="0095004A"/>
    <w:rsid w:val="009C4C58"/>
    <w:rsid w:val="009D025B"/>
    <w:rsid w:val="009E2457"/>
    <w:rsid w:val="00A87F57"/>
    <w:rsid w:val="00AB6DF0"/>
    <w:rsid w:val="00B07A2F"/>
    <w:rsid w:val="00B579AB"/>
    <w:rsid w:val="00B80C80"/>
    <w:rsid w:val="00BA166A"/>
    <w:rsid w:val="00BB23EF"/>
    <w:rsid w:val="00BB4056"/>
    <w:rsid w:val="00BB7072"/>
    <w:rsid w:val="00BC2876"/>
    <w:rsid w:val="00BD33C2"/>
    <w:rsid w:val="00BF2DC3"/>
    <w:rsid w:val="00C10461"/>
    <w:rsid w:val="00C45E74"/>
    <w:rsid w:val="00D028AA"/>
    <w:rsid w:val="00D25EB5"/>
    <w:rsid w:val="00DB5289"/>
    <w:rsid w:val="00E029D2"/>
    <w:rsid w:val="00E04364"/>
    <w:rsid w:val="00E23E76"/>
    <w:rsid w:val="00E95B8D"/>
    <w:rsid w:val="00E9706F"/>
    <w:rsid w:val="00E97FFD"/>
    <w:rsid w:val="00EF2E7E"/>
    <w:rsid w:val="00F1715D"/>
    <w:rsid w:val="00F7532D"/>
    <w:rsid w:val="00F80805"/>
    <w:rsid w:val="00FE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222CB"/>
  <w15:chartTrackingRefBased/>
  <w15:docId w15:val="{F40ABBDA-A4CF-5647-AD03-541F77ED2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04A"/>
  </w:style>
  <w:style w:type="paragraph" w:styleId="Heading1">
    <w:name w:val="heading 1"/>
    <w:basedOn w:val="Normal"/>
    <w:next w:val="Normal"/>
    <w:link w:val="Heading1Char"/>
    <w:uiPriority w:val="9"/>
    <w:qFormat/>
    <w:rsid w:val="009500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0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00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00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00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00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00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00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00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00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00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00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00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00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00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00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00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00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00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0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004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00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00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00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00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00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00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00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004A"/>
    <w:rPr>
      <w:b/>
      <w:bCs/>
      <w:smallCaps/>
      <w:color w:val="0F4761" w:themeColor="accent1" w:themeShade="BF"/>
      <w:spacing w:val="5"/>
    </w:rPr>
  </w:style>
  <w:style w:type="table" w:styleId="PlainTable1">
    <w:name w:val="Plain Table 1"/>
    <w:basedOn w:val="TableNormal"/>
    <w:uiPriority w:val="41"/>
    <w:rsid w:val="0095004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Jerome Lian (Student)</dc:creator>
  <cp:keywords/>
  <dc:description/>
  <cp:lastModifiedBy>Marco FALASCA</cp:lastModifiedBy>
  <cp:revision>7</cp:revision>
  <dcterms:created xsi:type="dcterms:W3CDTF">2025-12-12T02:18:00Z</dcterms:created>
  <dcterms:modified xsi:type="dcterms:W3CDTF">2025-12-14T07:16:00Z</dcterms:modified>
</cp:coreProperties>
</file>