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3FE8" w14:textId="4E88B54F" w:rsidR="00D37549" w:rsidRPr="00D37549" w:rsidRDefault="00D37549" w:rsidP="00D37549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b/>
          <w:bCs/>
          <w:sz w:val="36"/>
          <w:szCs w:val="36"/>
          <w:lang w:val="en-GB"/>
        </w:rPr>
      </w:pPr>
      <w:r w:rsidRPr="00D37549">
        <w:rPr>
          <w:b/>
          <w:bCs/>
          <w:sz w:val="36"/>
          <w:szCs w:val="36"/>
          <w:lang w:val="en-GB"/>
        </w:rPr>
        <w:t>Supplementary Material</w:t>
      </w:r>
    </w:p>
    <w:p w14:paraId="3F9A72F8" w14:textId="77777777" w:rsidR="00D37549" w:rsidRDefault="00D37549" w:rsidP="00D37549">
      <w:pPr>
        <w:spacing w:after="0"/>
        <w:rPr>
          <w:b/>
          <w:bCs/>
          <w:sz w:val="28"/>
          <w:szCs w:val="28"/>
          <w:lang w:val="en-GB"/>
        </w:rPr>
      </w:pPr>
    </w:p>
    <w:p w14:paraId="17D6F259" w14:textId="77777777" w:rsidR="00D37549" w:rsidRDefault="00D37549" w:rsidP="00D37549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1BAC54C1" w14:textId="4C562BE0" w:rsidR="00D37549" w:rsidRDefault="00D37549" w:rsidP="00D37549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666D54">
        <w:rPr>
          <w:b/>
          <w:bCs/>
          <w:sz w:val="28"/>
          <w:szCs w:val="28"/>
          <w:lang w:val="en-GB"/>
        </w:rPr>
        <w:t xml:space="preserve">Continuous depletion </w:t>
      </w:r>
      <w:r w:rsidR="009D1782">
        <w:rPr>
          <w:b/>
          <w:bCs/>
          <w:sz w:val="28"/>
          <w:szCs w:val="28"/>
          <w:lang w:val="en-GB"/>
        </w:rPr>
        <w:t xml:space="preserve">of </w:t>
      </w:r>
      <w:r w:rsidR="009D1782">
        <w:rPr>
          <w:b/>
          <w:bCs/>
          <w:sz w:val="28"/>
          <w:szCs w:val="28"/>
          <w:lang w:val="en-GB"/>
        </w:rPr>
        <w:t>tetrahydrocannabinol</w:t>
      </w:r>
      <w:r w:rsidR="009D1782" w:rsidRPr="00666D54">
        <w:rPr>
          <w:b/>
          <w:bCs/>
          <w:sz w:val="28"/>
          <w:szCs w:val="28"/>
          <w:lang w:val="en-GB"/>
        </w:rPr>
        <w:t xml:space="preserve"> </w:t>
      </w:r>
      <w:r w:rsidRPr="00666D54">
        <w:rPr>
          <w:b/>
          <w:bCs/>
          <w:sz w:val="28"/>
          <w:szCs w:val="28"/>
          <w:lang w:val="en-GB"/>
        </w:rPr>
        <w:t>from Cannabis extract through simulated moving bed chromatography using green mobile phase</w:t>
      </w:r>
    </w:p>
    <w:p w14:paraId="3D3C3C04" w14:textId="77777777" w:rsidR="00D37549" w:rsidRPr="00666D54" w:rsidRDefault="00D37549" w:rsidP="00D37549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14:paraId="4AD73F5E" w14:textId="77777777" w:rsidR="00D37549" w:rsidRDefault="00D37549" w:rsidP="00D37549">
      <w:pPr>
        <w:spacing w:after="0"/>
        <w:jc w:val="center"/>
      </w:pPr>
      <w:r w:rsidRPr="00666D54">
        <w:t>Greta Compagnin</w:t>
      </w:r>
      <w:r w:rsidRPr="00666D54">
        <w:rPr>
          <w:vertAlign w:val="superscript"/>
        </w:rPr>
        <w:t>1</w:t>
      </w:r>
      <w:r>
        <w:t xml:space="preserve">, </w:t>
      </w:r>
      <w:r w:rsidRPr="00666D54">
        <w:t>Chiara De Luca</w:t>
      </w:r>
      <w:r w:rsidRPr="00666D54">
        <w:rPr>
          <w:vertAlign w:val="superscript"/>
        </w:rPr>
        <w:t>2</w:t>
      </w:r>
      <w:r>
        <w:t xml:space="preserve">, </w:t>
      </w:r>
      <w:r w:rsidRPr="00666D54">
        <w:t>Chiara Nosengo</w:t>
      </w:r>
      <w:r w:rsidRPr="00666D54">
        <w:rPr>
          <w:vertAlign w:val="superscript"/>
        </w:rPr>
        <w:t>2</w:t>
      </w:r>
      <w:r>
        <w:t xml:space="preserve">, </w:t>
      </w:r>
      <w:r w:rsidRPr="00666D54">
        <w:t>Giorgia Greco</w:t>
      </w:r>
      <w:r w:rsidRPr="00666D54">
        <w:rPr>
          <w:vertAlign w:val="superscript"/>
        </w:rPr>
        <w:t>3</w:t>
      </w:r>
      <w:r>
        <w:t xml:space="preserve">, </w:t>
      </w:r>
      <w:r w:rsidRPr="00666D54">
        <w:t>Martina</w:t>
      </w:r>
      <w:r>
        <w:t xml:space="preserve"> </w:t>
      </w:r>
      <w:r w:rsidRPr="00666D54">
        <w:t>Catani</w:t>
      </w:r>
      <w:r w:rsidRPr="00666D54">
        <w:rPr>
          <w:vertAlign w:val="superscript"/>
        </w:rPr>
        <w:t>2</w:t>
      </w:r>
      <w:r>
        <w:t xml:space="preserve">, </w:t>
      </w:r>
      <w:r w:rsidRPr="00666D54">
        <w:t>Alberto Cavazzini</w:t>
      </w:r>
      <w:r w:rsidRPr="00666D54">
        <w:rPr>
          <w:vertAlign w:val="superscript"/>
        </w:rPr>
        <w:t>2,4</w:t>
      </w:r>
      <w:r>
        <w:t>, Y</w:t>
      </w:r>
      <w:r w:rsidRPr="00666D54">
        <w:t>annick Krauke</w:t>
      </w:r>
      <w:r w:rsidRPr="00666D54">
        <w:rPr>
          <w:vertAlign w:val="superscript"/>
        </w:rPr>
        <w:t>3</w:t>
      </w:r>
      <w:r>
        <w:t xml:space="preserve">, </w:t>
      </w:r>
      <w:r w:rsidRPr="00666D54">
        <w:t>Simona Felletti</w:t>
      </w:r>
      <w:r w:rsidRPr="00666D54">
        <w:rPr>
          <w:vertAlign w:val="superscript"/>
        </w:rPr>
        <w:t>1</w:t>
      </w:r>
    </w:p>
    <w:p w14:paraId="3EA6D1CA" w14:textId="77777777" w:rsidR="00D37549" w:rsidRPr="00666D54" w:rsidRDefault="00D37549" w:rsidP="00D37549">
      <w:pPr>
        <w:spacing w:after="0"/>
        <w:jc w:val="center"/>
      </w:pPr>
    </w:p>
    <w:p w14:paraId="20CB07A7" w14:textId="77777777" w:rsidR="00D37549" w:rsidRPr="00666D54" w:rsidRDefault="00D37549" w:rsidP="00D37549">
      <w:pPr>
        <w:spacing w:after="0"/>
        <w:jc w:val="center"/>
        <w:rPr>
          <w:lang w:val="en-GB"/>
        </w:rPr>
      </w:pPr>
      <w:r w:rsidRPr="00666D54">
        <w:rPr>
          <w:vertAlign w:val="superscript"/>
          <w:lang w:val="en-GB"/>
        </w:rPr>
        <w:t>1</w:t>
      </w:r>
      <w:r w:rsidRPr="00666D54">
        <w:rPr>
          <w:lang w:val="en-GB"/>
        </w:rPr>
        <w:t>Department of Environmental and Prevention</w:t>
      </w:r>
      <w:r>
        <w:rPr>
          <w:lang w:val="en-GB"/>
        </w:rPr>
        <w:t xml:space="preserve"> </w:t>
      </w:r>
      <w:r w:rsidRPr="00666D54">
        <w:rPr>
          <w:lang w:val="en-GB"/>
        </w:rPr>
        <w:t>Sciences, University of Ferrara, Italy, Ferrara</w:t>
      </w:r>
    </w:p>
    <w:p w14:paraId="27F16045" w14:textId="77777777" w:rsidR="00D37549" w:rsidRPr="00666D54" w:rsidRDefault="00D37549" w:rsidP="00D37549">
      <w:pPr>
        <w:spacing w:after="0"/>
        <w:jc w:val="center"/>
        <w:rPr>
          <w:lang w:val="en-GB"/>
        </w:rPr>
      </w:pPr>
      <w:r w:rsidRPr="00666D54">
        <w:rPr>
          <w:vertAlign w:val="superscript"/>
          <w:lang w:val="en-GB"/>
        </w:rPr>
        <w:t>2</w:t>
      </w:r>
      <w:r w:rsidRPr="00666D54">
        <w:rPr>
          <w:lang w:val="en-GB"/>
        </w:rPr>
        <w:t>Department of Chemical, Pharmaceutical and</w:t>
      </w:r>
      <w:r>
        <w:rPr>
          <w:lang w:val="en-GB"/>
        </w:rPr>
        <w:t xml:space="preserve"> </w:t>
      </w:r>
      <w:r w:rsidRPr="00666D54">
        <w:rPr>
          <w:lang w:val="en-GB"/>
        </w:rPr>
        <w:t>Agricultural Sciences, University of Ferrara, Italy,</w:t>
      </w:r>
      <w:r>
        <w:rPr>
          <w:lang w:val="en-GB"/>
        </w:rPr>
        <w:t xml:space="preserve"> </w:t>
      </w:r>
      <w:r w:rsidRPr="00666D54">
        <w:rPr>
          <w:lang w:val="en-GB"/>
        </w:rPr>
        <w:t>Ferrara</w:t>
      </w:r>
    </w:p>
    <w:p w14:paraId="7206FF4B" w14:textId="77777777" w:rsidR="00D37549" w:rsidRPr="00666D54" w:rsidRDefault="00D37549" w:rsidP="00D37549">
      <w:pPr>
        <w:spacing w:after="0"/>
        <w:jc w:val="center"/>
        <w:rPr>
          <w:lang w:val="en-GB"/>
        </w:rPr>
      </w:pPr>
      <w:r w:rsidRPr="00666D54">
        <w:rPr>
          <w:vertAlign w:val="superscript"/>
          <w:lang w:val="en-GB"/>
        </w:rPr>
        <w:t>3</w:t>
      </w:r>
      <w:r w:rsidRPr="00666D54">
        <w:rPr>
          <w:lang w:val="en-GB"/>
        </w:rPr>
        <w:t>KNAUER Wissenschaftliche Ger</w:t>
      </w:r>
      <w:r>
        <w:rPr>
          <w:rFonts w:cstheme="minorHAnsi"/>
          <w:lang w:val="en-GB"/>
        </w:rPr>
        <w:t>ä</w:t>
      </w:r>
      <w:r w:rsidRPr="00666D54">
        <w:rPr>
          <w:lang w:val="en-GB"/>
        </w:rPr>
        <w:t>te GmbH,</w:t>
      </w:r>
      <w:r>
        <w:rPr>
          <w:lang w:val="en-GB"/>
        </w:rPr>
        <w:t xml:space="preserve"> </w:t>
      </w:r>
      <w:r w:rsidRPr="00666D54">
        <w:rPr>
          <w:lang w:val="en-GB"/>
        </w:rPr>
        <w:t>Germany, Berlin</w:t>
      </w:r>
    </w:p>
    <w:p w14:paraId="117CE459" w14:textId="77777777" w:rsidR="00D37549" w:rsidRDefault="00D37549" w:rsidP="00D37549">
      <w:pPr>
        <w:spacing w:after="0"/>
        <w:jc w:val="center"/>
        <w:rPr>
          <w:lang w:val="en-GB"/>
        </w:rPr>
      </w:pPr>
      <w:r w:rsidRPr="00666D54">
        <w:rPr>
          <w:vertAlign w:val="superscript"/>
          <w:lang w:val="en-GB"/>
        </w:rPr>
        <w:t>4</w:t>
      </w:r>
      <w:r w:rsidRPr="00666D54">
        <w:rPr>
          <w:lang w:val="en-GB"/>
        </w:rPr>
        <w:t>Council for Agricultural Research and Economics,</w:t>
      </w:r>
      <w:r>
        <w:rPr>
          <w:lang w:val="en-GB"/>
        </w:rPr>
        <w:t xml:space="preserve"> </w:t>
      </w:r>
      <w:r w:rsidRPr="00666D54">
        <w:rPr>
          <w:lang w:val="en-GB"/>
        </w:rPr>
        <w:t>Italy, Rome</w:t>
      </w:r>
    </w:p>
    <w:p w14:paraId="7F50E6CC" w14:textId="77777777" w:rsidR="00D37549" w:rsidRDefault="00D37549" w:rsidP="00D37549">
      <w:pPr>
        <w:spacing w:after="0"/>
        <w:jc w:val="both"/>
        <w:rPr>
          <w:lang w:val="en-GB"/>
        </w:rPr>
      </w:pPr>
    </w:p>
    <w:p w14:paraId="57DDB814" w14:textId="77777777" w:rsidR="00D37549" w:rsidRDefault="00D37549" w:rsidP="00D37549">
      <w:pPr>
        <w:spacing w:after="0"/>
        <w:jc w:val="both"/>
        <w:rPr>
          <w:lang w:val="en-GB"/>
        </w:rPr>
      </w:pPr>
    </w:p>
    <w:p w14:paraId="3F974EC0" w14:textId="77777777" w:rsidR="00D37549" w:rsidRDefault="00D37549" w:rsidP="00D37549">
      <w:pPr>
        <w:spacing w:after="0"/>
        <w:jc w:val="both"/>
        <w:rPr>
          <w:lang w:val="en-GB"/>
        </w:rPr>
      </w:pPr>
    </w:p>
    <w:p w14:paraId="7892524E" w14:textId="77777777" w:rsidR="00D37549" w:rsidRDefault="00D37549" w:rsidP="00D37549">
      <w:pPr>
        <w:spacing w:after="0"/>
        <w:jc w:val="both"/>
        <w:rPr>
          <w:lang w:val="en-GB"/>
        </w:rPr>
      </w:pPr>
    </w:p>
    <w:p w14:paraId="7A166F5D" w14:textId="77777777" w:rsidR="00D37549" w:rsidRPr="00666D54" w:rsidRDefault="00D37549" w:rsidP="00D37549">
      <w:pPr>
        <w:spacing w:after="0"/>
        <w:jc w:val="both"/>
        <w:rPr>
          <w:lang w:val="en-GB"/>
        </w:rPr>
      </w:pPr>
    </w:p>
    <w:p w14:paraId="6F4722C8" w14:textId="4D9248E5" w:rsidR="00412415" w:rsidRDefault="00D37549" w:rsidP="00D37549">
      <w:pPr>
        <w:pStyle w:val="ListParagraph"/>
        <w:numPr>
          <w:ilvl w:val="0"/>
          <w:numId w:val="1"/>
        </w:numPr>
        <w:rPr>
          <w:b/>
          <w:bCs/>
        </w:rPr>
      </w:pPr>
      <w:r w:rsidRPr="00D37549">
        <w:rPr>
          <w:b/>
          <w:bCs/>
        </w:rPr>
        <w:t>CHROMATOGRAMS</w:t>
      </w:r>
    </w:p>
    <w:p w14:paraId="62E92761" w14:textId="77777777" w:rsidR="00541BDC" w:rsidRDefault="00541BDC" w:rsidP="00541BDC">
      <w:pPr>
        <w:pStyle w:val="ListParagraph"/>
        <w:rPr>
          <w:b/>
          <w:bCs/>
        </w:rPr>
      </w:pPr>
    </w:p>
    <w:p w14:paraId="04DCC4AA" w14:textId="73652E4C" w:rsidR="00D37549" w:rsidRDefault="00541BDC" w:rsidP="00541BDC">
      <w:pPr>
        <w:pStyle w:val="ListParagraph"/>
        <w:jc w:val="center"/>
        <w:rPr>
          <w:b/>
          <w:bCs/>
        </w:rPr>
      </w:pPr>
      <w:r w:rsidRPr="00541BDC">
        <w:rPr>
          <w:b/>
          <w:bCs/>
          <w:noProof/>
        </w:rPr>
        <w:drawing>
          <wp:inline distT="0" distB="0" distL="0" distR="0" wp14:anchorId="0BAE1984" wp14:editId="481CDA61">
            <wp:extent cx="4968810" cy="3140015"/>
            <wp:effectExtent l="0" t="0" r="3810" b="3810"/>
            <wp:docPr id="144271175" name="Picture 1" descr="A graph of 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1175" name="Picture 1" descr="A graph of a graph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4456" cy="31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A77E" w14:textId="77777777" w:rsidR="00541BDC" w:rsidRDefault="00541BDC" w:rsidP="00541BDC">
      <w:pPr>
        <w:pStyle w:val="ListParagraph"/>
        <w:jc w:val="center"/>
        <w:rPr>
          <w:b/>
          <w:bCs/>
        </w:rPr>
      </w:pPr>
    </w:p>
    <w:p w14:paraId="2AA0BB9A" w14:textId="5EC4F5C5" w:rsidR="00541BDC" w:rsidRPr="00541BDC" w:rsidRDefault="00541BDC" w:rsidP="00541BDC">
      <w:pPr>
        <w:pStyle w:val="ListParagraph"/>
        <w:jc w:val="both"/>
        <w:rPr>
          <w:lang w:val="en-GB"/>
        </w:rPr>
      </w:pPr>
      <w:r w:rsidRPr="00541BDC">
        <w:rPr>
          <w:lang w:val="en-GB"/>
        </w:rPr>
        <w:t>FIGURE 1</w:t>
      </w:r>
      <w:r>
        <w:rPr>
          <w:lang w:val="en-GB"/>
        </w:rPr>
        <w:t>:</w:t>
      </w:r>
      <w:r w:rsidRPr="00541BDC">
        <w:rPr>
          <w:lang w:val="en-GB"/>
        </w:rPr>
        <w:t xml:space="preserve"> Batch chromatogram of </w:t>
      </w:r>
      <w:r w:rsidRPr="00541BDC">
        <w:rPr>
          <w:i/>
          <w:iCs/>
          <w:lang w:val="en-GB"/>
        </w:rPr>
        <w:t xml:space="preserve">Cannabis </w:t>
      </w:r>
      <w:r w:rsidRPr="00541BDC">
        <w:rPr>
          <w:lang w:val="en-GB"/>
        </w:rPr>
        <w:t>extract obtained with isocratic method 80</w:t>
      </w:r>
      <w:r>
        <w:rPr>
          <w:lang w:val="en-GB"/>
        </w:rPr>
        <w:t>/</w:t>
      </w:r>
      <w:r w:rsidRPr="00541BDC">
        <w:rPr>
          <w:lang w:val="en-GB"/>
        </w:rPr>
        <w:t>20 % EtOH/H</w:t>
      </w:r>
      <w:r w:rsidRPr="00541BDC">
        <w:rPr>
          <w:vertAlign w:val="subscript"/>
          <w:lang w:val="en-GB"/>
        </w:rPr>
        <w:t>2</w:t>
      </w:r>
      <w:r w:rsidRPr="00541BDC">
        <w:rPr>
          <w:lang w:val="en-GB"/>
        </w:rPr>
        <w:t>O on 250</w:t>
      </w:r>
      <w:r>
        <w:rPr>
          <w:lang w:val="en-GB"/>
        </w:rPr>
        <w:t xml:space="preserve"> </w:t>
      </w:r>
      <w:r>
        <w:rPr>
          <w:rFonts w:cstheme="minorHAnsi"/>
          <w:i/>
          <w:iCs/>
          <w:lang w:val="en-GB"/>
        </w:rPr>
        <w:t>×</w:t>
      </w:r>
      <w:r>
        <w:rPr>
          <w:i/>
          <w:iCs/>
          <w:lang w:val="en-GB"/>
        </w:rPr>
        <w:t xml:space="preserve"> </w:t>
      </w:r>
      <w:r w:rsidRPr="00541BDC">
        <w:rPr>
          <w:lang w:val="en-GB"/>
        </w:rPr>
        <w:t>8.0 mm</w:t>
      </w:r>
      <w:r>
        <w:rPr>
          <w:lang w:val="en-GB"/>
        </w:rPr>
        <w:t xml:space="preserve"> </w:t>
      </w:r>
      <w:r w:rsidRPr="00541BDC">
        <w:rPr>
          <w:lang w:val="en-GB"/>
        </w:rPr>
        <w:t xml:space="preserve">C18 column packed with 15 </w:t>
      </w:r>
      <w:r w:rsidRPr="00541BDC">
        <w:rPr>
          <w:i/>
          <w:iCs/>
        </w:rPr>
        <w:t>μ</w:t>
      </w:r>
      <w:r w:rsidRPr="00541BDC">
        <w:rPr>
          <w:lang w:val="en-GB"/>
        </w:rPr>
        <w:t xml:space="preserve">m fully porous particles. Injection volume = 100 </w:t>
      </w:r>
      <w:r w:rsidRPr="00541BDC">
        <w:rPr>
          <w:i/>
          <w:iCs/>
        </w:rPr>
        <w:t>μ</w:t>
      </w:r>
      <w:r w:rsidRPr="00541BDC">
        <w:rPr>
          <w:lang w:val="en-GB"/>
        </w:rPr>
        <w:t>L.</w:t>
      </w:r>
    </w:p>
    <w:p w14:paraId="2E865722" w14:textId="7790D061" w:rsidR="00D37549" w:rsidRDefault="00541BDC" w:rsidP="00541BDC">
      <w:pPr>
        <w:pStyle w:val="ListParagraph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9971DB7" wp14:editId="16B36616">
            <wp:extent cx="4571086" cy="3199486"/>
            <wp:effectExtent l="0" t="0" r="1270" b="1270"/>
            <wp:docPr id="1844506541" name="Picture 1" descr="A graph of a graph showing the amount of cb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06541" name="Picture 1" descr="A graph of a graph showing the amount of cb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086" cy="319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B33B" w14:textId="77777777" w:rsidR="00D37549" w:rsidRDefault="00D37549" w:rsidP="00D37549">
      <w:pPr>
        <w:pStyle w:val="ListParagraph"/>
        <w:rPr>
          <w:b/>
          <w:bCs/>
        </w:rPr>
      </w:pPr>
    </w:p>
    <w:p w14:paraId="5549CE89" w14:textId="109430EC" w:rsidR="00541BDC" w:rsidRPr="00541BDC" w:rsidRDefault="00541BDC" w:rsidP="00541BDC">
      <w:pPr>
        <w:pStyle w:val="ListParagraph"/>
        <w:rPr>
          <w:lang w:val="en-GB"/>
        </w:rPr>
      </w:pPr>
      <w:r w:rsidRPr="00541BDC">
        <w:rPr>
          <w:lang w:val="en-GB"/>
        </w:rPr>
        <w:t xml:space="preserve">FIGURE </w:t>
      </w:r>
      <w:r>
        <w:rPr>
          <w:lang w:val="en-GB"/>
        </w:rPr>
        <w:t>S</w:t>
      </w:r>
      <w:r w:rsidRPr="00541BDC">
        <w:rPr>
          <w:lang w:val="en-GB"/>
        </w:rPr>
        <w:t>2</w:t>
      </w:r>
      <w:r>
        <w:rPr>
          <w:lang w:val="en-GB"/>
        </w:rPr>
        <w:t>:</w:t>
      </w:r>
      <w:r w:rsidRPr="00541BDC">
        <w:rPr>
          <w:lang w:val="en-GB"/>
        </w:rPr>
        <w:t xml:space="preserve"> Analytical chromatograms of raffinate (blue) and extract (red) fractions obtained with gradient analytical</w:t>
      </w:r>
      <w:r>
        <w:rPr>
          <w:lang w:val="en-GB"/>
        </w:rPr>
        <w:t xml:space="preserve"> </w:t>
      </w:r>
      <w:r w:rsidRPr="00541BDC">
        <w:rPr>
          <w:lang w:val="en-GB"/>
        </w:rPr>
        <w:t>method (see Sec. 4.2 of main text).</w:t>
      </w:r>
    </w:p>
    <w:p w14:paraId="0F5FFC9C" w14:textId="77777777" w:rsidR="00541BDC" w:rsidRPr="00541BDC" w:rsidRDefault="00541BDC" w:rsidP="00D37549">
      <w:pPr>
        <w:pStyle w:val="ListParagraph"/>
        <w:rPr>
          <w:b/>
          <w:bCs/>
          <w:lang w:val="en-GB"/>
        </w:rPr>
      </w:pPr>
    </w:p>
    <w:p w14:paraId="43A039B8" w14:textId="77777777" w:rsidR="00541BDC" w:rsidRPr="00541BDC" w:rsidRDefault="00541BDC" w:rsidP="00D37549">
      <w:pPr>
        <w:pStyle w:val="ListParagraph"/>
        <w:rPr>
          <w:b/>
          <w:bCs/>
          <w:lang w:val="en-GB"/>
        </w:rPr>
      </w:pPr>
    </w:p>
    <w:p w14:paraId="58E2C5EC" w14:textId="75A9E5BB" w:rsidR="00D37549" w:rsidRDefault="00D37549" w:rsidP="00D37549">
      <w:pPr>
        <w:pStyle w:val="ListParagraph"/>
        <w:numPr>
          <w:ilvl w:val="0"/>
          <w:numId w:val="1"/>
        </w:numPr>
        <w:rPr>
          <w:b/>
          <w:bCs/>
        </w:rPr>
      </w:pPr>
      <w:r w:rsidRPr="00D37549">
        <w:rPr>
          <w:b/>
          <w:bCs/>
        </w:rPr>
        <w:t>AGREE PARAMETERS</w:t>
      </w:r>
    </w:p>
    <w:p w14:paraId="1CC7BB25" w14:textId="410AB0F9" w:rsid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>The eight parameters considered in this study for the calculation of the greenness of the two purification processes are the</w:t>
      </w:r>
      <w:r>
        <w:rPr>
          <w:lang w:val="en-GB"/>
        </w:rPr>
        <w:t xml:space="preserve"> </w:t>
      </w:r>
      <w:r w:rsidRPr="00D37549">
        <w:rPr>
          <w:lang w:val="en-GB"/>
        </w:rPr>
        <w:t>following:</w:t>
      </w:r>
    </w:p>
    <w:p w14:paraId="13A060F5" w14:textId="77777777" w:rsidR="006E1143" w:rsidRPr="00D37549" w:rsidRDefault="006E1143" w:rsidP="00D37549">
      <w:pPr>
        <w:spacing w:after="0"/>
        <w:jc w:val="both"/>
        <w:rPr>
          <w:lang w:val="en-GB"/>
        </w:rPr>
      </w:pPr>
    </w:p>
    <w:p w14:paraId="32EC5DFA" w14:textId="2A841A05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 xml:space="preserve">1) </w:t>
      </w:r>
      <w:r w:rsidRPr="00D37549">
        <w:rPr>
          <w:b/>
          <w:bCs/>
          <w:lang w:val="en-GB"/>
        </w:rPr>
        <w:t>Positioning of analytical device</w:t>
      </w:r>
      <w:r w:rsidRPr="00D37549">
        <w:rPr>
          <w:lang w:val="en-GB"/>
        </w:rPr>
        <w:t>: indicating if the analytical system used to check purity and recovery of the purified</w:t>
      </w:r>
      <w:r>
        <w:rPr>
          <w:lang w:val="en-GB"/>
        </w:rPr>
        <w:t xml:space="preserve"> </w:t>
      </w:r>
      <w:r w:rsidRPr="00D37549">
        <w:rPr>
          <w:lang w:val="en-GB"/>
        </w:rPr>
        <w:t>fractions is located on-line (in = 1) or off-line the purification system (out = 0); since HPLC is used, a value of 0 was set for</w:t>
      </w:r>
      <w:r>
        <w:rPr>
          <w:lang w:val="en-GB"/>
        </w:rPr>
        <w:t xml:space="preserve"> </w:t>
      </w:r>
      <w:r w:rsidRPr="00D37549">
        <w:rPr>
          <w:lang w:val="en-GB"/>
        </w:rPr>
        <w:t>both batch and SMB.</w:t>
      </w:r>
    </w:p>
    <w:p w14:paraId="4FA8A6D0" w14:textId="55479615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 xml:space="preserve">2) </w:t>
      </w:r>
      <w:r w:rsidRPr="00D37549">
        <w:rPr>
          <w:b/>
          <w:bCs/>
          <w:lang w:val="en-GB"/>
        </w:rPr>
        <w:t>Degree of automation and continuous process</w:t>
      </w:r>
      <w:r w:rsidRPr="00D37549">
        <w:rPr>
          <w:lang w:val="en-GB"/>
        </w:rPr>
        <w:t>: automatic process indicates that minimal or no operator input are needed;</w:t>
      </w:r>
      <w:r>
        <w:rPr>
          <w:lang w:val="en-GB"/>
        </w:rPr>
        <w:t xml:space="preserve"> </w:t>
      </w:r>
      <w:r w:rsidRPr="00D37549">
        <w:rPr>
          <w:lang w:val="en-GB"/>
        </w:rPr>
        <w:t>continuous process indicates that feed is continuously injected and purified.</w:t>
      </w:r>
    </w:p>
    <w:p w14:paraId="14145966" w14:textId="77777777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>Automatic and Continuous=1, Automatic and Discontinuous=0.5, Manual and Discontinuous=0.</w:t>
      </w:r>
    </w:p>
    <w:p w14:paraId="357964E9" w14:textId="385ED0C9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>A value of 1 was assigned to SMB, since it is a completely automated and continuous system, and a value of 0.5 was assigned</w:t>
      </w:r>
      <w:r>
        <w:rPr>
          <w:lang w:val="en-GB"/>
        </w:rPr>
        <w:t xml:space="preserve"> </w:t>
      </w:r>
      <w:r w:rsidRPr="00D37549">
        <w:rPr>
          <w:lang w:val="en-GB"/>
        </w:rPr>
        <w:t>to batch, since the injection of the feed is discontinuous, but the system can be operated without operator intervention if the</w:t>
      </w:r>
      <w:r>
        <w:rPr>
          <w:lang w:val="en-GB"/>
        </w:rPr>
        <w:t xml:space="preserve"> </w:t>
      </w:r>
      <w:r w:rsidRPr="00D37549">
        <w:rPr>
          <w:lang w:val="en-GB"/>
        </w:rPr>
        <w:t>same method is subsequently run in a sequence.</w:t>
      </w:r>
    </w:p>
    <w:p w14:paraId="46AA21C4" w14:textId="55460DF8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 xml:space="preserve">3) </w:t>
      </w:r>
      <w:r w:rsidRPr="00D37549">
        <w:rPr>
          <w:b/>
          <w:bCs/>
          <w:lang w:val="en-GB"/>
        </w:rPr>
        <w:t>Solvent Consumption</w:t>
      </w:r>
      <w:r w:rsidRPr="00D37549">
        <w:rPr>
          <w:lang w:val="en-GB"/>
        </w:rPr>
        <w:t>: 0 ml/min = 1, 100 ml/min = 0; values of 0.97 and 0.59 were assigned to SMB (3.3 ml/mg) and batch</w:t>
      </w:r>
      <w:r>
        <w:rPr>
          <w:lang w:val="en-GB"/>
        </w:rPr>
        <w:t xml:space="preserve"> </w:t>
      </w:r>
      <w:r w:rsidRPr="00D37549">
        <w:rPr>
          <w:lang w:val="en-GB"/>
        </w:rPr>
        <w:t>(41 ml/mg), respectively.</w:t>
      </w:r>
    </w:p>
    <w:p w14:paraId="735EAF12" w14:textId="4A244EF1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 xml:space="preserve">4) </w:t>
      </w:r>
      <w:r w:rsidRPr="00D37549">
        <w:rPr>
          <w:b/>
          <w:bCs/>
          <w:lang w:val="en-GB"/>
        </w:rPr>
        <w:t>Productivity</w:t>
      </w:r>
      <w:r w:rsidRPr="00D37549">
        <w:rPr>
          <w:lang w:val="en-GB"/>
        </w:rPr>
        <w:t>: 100 mg/h = 1, 0 mg/h = 0; values of 0.6 and 0.06 were assigned to SMB (57 mg/h) and batch (6 mg/h),</w:t>
      </w:r>
      <w:r>
        <w:rPr>
          <w:lang w:val="en-GB"/>
        </w:rPr>
        <w:t xml:space="preserve"> </w:t>
      </w:r>
      <w:r w:rsidRPr="00D37549">
        <w:rPr>
          <w:lang w:val="en-GB"/>
        </w:rPr>
        <w:t>respectively.</w:t>
      </w:r>
    </w:p>
    <w:p w14:paraId="126F32F0" w14:textId="77777777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 xml:space="preserve">5) </w:t>
      </w:r>
      <w:r w:rsidRPr="00D37549">
        <w:rPr>
          <w:b/>
          <w:bCs/>
          <w:lang w:val="en-GB"/>
        </w:rPr>
        <w:t>Purity</w:t>
      </w:r>
      <w:r w:rsidRPr="00D37549">
        <w:rPr>
          <w:lang w:val="en-GB"/>
        </w:rPr>
        <w:t>: 100% = 1, 0% = 0;</w:t>
      </w:r>
    </w:p>
    <w:p w14:paraId="4F01DC28" w14:textId="77777777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 xml:space="preserve">6) </w:t>
      </w:r>
      <w:r w:rsidRPr="00D37549">
        <w:rPr>
          <w:b/>
          <w:bCs/>
          <w:lang w:val="en-GB"/>
        </w:rPr>
        <w:t>Recovery</w:t>
      </w:r>
      <w:r w:rsidRPr="00D37549">
        <w:rPr>
          <w:lang w:val="en-GB"/>
        </w:rPr>
        <w:t>: 100% = 1, 0% = 0;</w:t>
      </w:r>
    </w:p>
    <w:p w14:paraId="489D656B" w14:textId="082F2343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>7)</w:t>
      </w:r>
      <w:r>
        <w:rPr>
          <w:lang w:val="en-GB"/>
        </w:rPr>
        <w:t xml:space="preserve"> </w:t>
      </w:r>
      <w:r w:rsidRPr="00D37549">
        <w:rPr>
          <w:b/>
          <w:bCs/>
          <w:lang w:val="en-GB"/>
        </w:rPr>
        <w:t>Waste</w:t>
      </w:r>
      <w:r w:rsidRPr="00D37549">
        <w:rPr>
          <w:lang w:val="en-GB"/>
        </w:rPr>
        <w:t>: indicates if the purification system produces waste (yes = 0) or not (No = 1); values of 1 and 0 were assigned to SMB</w:t>
      </w:r>
      <w:r>
        <w:rPr>
          <w:lang w:val="en-GB"/>
        </w:rPr>
        <w:t xml:space="preserve"> </w:t>
      </w:r>
      <w:r w:rsidRPr="00D37549">
        <w:rPr>
          <w:lang w:val="en-GB"/>
        </w:rPr>
        <w:t>and batch, respectively.</w:t>
      </w:r>
    </w:p>
    <w:p w14:paraId="4E777463" w14:textId="5416C4A7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 xml:space="preserve">8) </w:t>
      </w:r>
      <w:r w:rsidRPr="00D37549">
        <w:rPr>
          <w:b/>
          <w:bCs/>
          <w:lang w:val="en-GB"/>
        </w:rPr>
        <w:t>Solvent Toxicity</w:t>
      </w:r>
      <w:r w:rsidRPr="00D37549">
        <w:rPr>
          <w:lang w:val="en-GB"/>
        </w:rPr>
        <w:t>: indicates if the purification method uses toxic solvents, following solvents greenness scores</w:t>
      </w:r>
      <w:r w:rsidRPr="00D37549">
        <w:rPr>
          <w:vertAlign w:val="superscript"/>
          <w:lang w:val="en-GB"/>
        </w:rPr>
        <w:t>1</w:t>
      </w:r>
      <w:r w:rsidRPr="00D37549">
        <w:rPr>
          <w:lang w:val="en-GB"/>
        </w:rPr>
        <w:t>; green</w:t>
      </w:r>
      <w:r>
        <w:rPr>
          <w:lang w:val="en-GB"/>
        </w:rPr>
        <w:t xml:space="preserve"> </w:t>
      </w:r>
      <w:r w:rsidRPr="00D37549">
        <w:rPr>
          <w:lang w:val="en-GB"/>
        </w:rPr>
        <w:t>solvents = 1, toxic solvents = 0.</w:t>
      </w:r>
    </w:p>
    <w:p w14:paraId="284C0A2D" w14:textId="77777777" w:rsidR="00D37549" w:rsidRDefault="00D37549" w:rsidP="00D37549">
      <w:pPr>
        <w:spacing w:after="0"/>
        <w:jc w:val="both"/>
        <w:rPr>
          <w:lang w:val="en-GB"/>
        </w:rPr>
      </w:pPr>
    </w:p>
    <w:p w14:paraId="2D48CEF8" w14:textId="77777777" w:rsidR="006E1143" w:rsidRDefault="006E1143" w:rsidP="00D37549">
      <w:pPr>
        <w:spacing w:after="0"/>
        <w:jc w:val="both"/>
        <w:rPr>
          <w:lang w:val="en-GB"/>
        </w:rPr>
      </w:pPr>
    </w:p>
    <w:p w14:paraId="6627D8DC" w14:textId="77777777" w:rsidR="006E1143" w:rsidRDefault="006E1143" w:rsidP="00D37549">
      <w:pPr>
        <w:spacing w:after="0"/>
        <w:jc w:val="both"/>
        <w:rPr>
          <w:lang w:val="en-GB"/>
        </w:rPr>
      </w:pPr>
    </w:p>
    <w:p w14:paraId="0D627F1E" w14:textId="77777777" w:rsidR="00541BDC" w:rsidRDefault="00D37549" w:rsidP="00D37549">
      <w:pPr>
        <w:spacing w:after="0"/>
        <w:jc w:val="both"/>
        <w:rPr>
          <w:b/>
          <w:bCs/>
          <w:lang w:val="en-GB"/>
        </w:rPr>
      </w:pPr>
      <w:r w:rsidRPr="00D37549">
        <w:rPr>
          <w:b/>
          <w:bCs/>
          <w:lang w:val="en-GB"/>
        </w:rPr>
        <w:t>REFERENCES</w:t>
      </w:r>
    </w:p>
    <w:p w14:paraId="5A6F08FC" w14:textId="57CEEB48" w:rsidR="00D37549" w:rsidRPr="00D37549" w:rsidRDefault="00D37549" w:rsidP="00D37549">
      <w:pPr>
        <w:spacing w:after="0"/>
        <w:jc w:val="both"/>
        <w:rPr>
          <w:lang w:val="en-GB"/>
        </w:rPr>
      </w:pPr>
      <w:r w:rsidRPr="00D37549">
        <w:rPr>
          <w:lang w:val="en-GB"/>
        </w:rPr>
        <w:t>1. L. Ferrazzano, M. Catani, A. Cavazzini, G. Martelli, D. Corbisiero, P. Cantelmi, T. Fantoni, A. Mattellone, C. De Luca, S. Felletti, W. Cabri,</w:t>
      </w:r>
      <w:r>
        <w:rPr>
          <w:lang w:val="en-GB"/>
        </w:rPr>
        <w:t xml:space="preserve"> </w:t>
      </w:r>
      <w:r w:rsidRPr="00D37549">
        <w:rPr>
          <w:lang w:val="en-GB"/>
        </w:rPr>
        <w:t xml:space="preserve">A. Tolomelli, Sustainability in peptide chemistry: current synthesis and </w:t>
      </w:r>
      <w:r w:rsidR="00FA4E21" w:rsidRPr="00D37549">
        <w:rPr>
          <w:lang w:val="en-GB"/>
        </w:rPr>
        <w:t>purification</w:t>
      </w:r>
      <w:r w:rsidRPr="00D37549">
        <w:rPr>
          <w:lang w:val="en-GB"/>
        </w:rPr>
        <w:t xml:space="preserve"> technologies and future challenges, Green Chem. 24 (2022) 975.</w:t>
      </w:r>
    </w:p>
    <w:sectPr w:rsidR="00D37549" w:rsidRPr="00D37549" w:rsidSect="00D37549">
      <w:type w:val="continuous"/>
      <w:pgSz w:w="11907" w:h="16840" w:code="9"/>
      <w:pgMar w:top="1009" w:right="851" w:bottom="1758" w:left="851" w:header="851" w:footer="1049" w:gutter="0"/>
      <w:cols w:space="22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C04"/>
    <w:multiLevelType w:val="hybridMultilevel"/>
    <w:tmpl w:val="1B4488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49"/>
    <w:rsid w:val="0013422C"/>
    <w:rsid w:val="00412415"/>
    <w:rsid w:val="005366FA"/>
    <w:rsid w:val="00541BDC"/>
    <w:rsid w:val="006E1143"/>
    <w:rsid w:val="009D1782"/>
    <w:rsid w:val="00A454B2"/>
    <w:rsid w:val="00A6027F"/>
    <w:rsid w:val="00D37549"/>
    <w:rsid w:val="00F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BC3D"/>
  <w15:chartTrackingRefBased/>
  <w15:docId w15:val="{20C54F3C-B970-4138-B33F-418899FC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49"/>
  </w:style>
  <w:style w:type="paragraph" w:styleId="Heading1">
    <w:name w:val="heading 1"/>
    <w:basedOn w:val="Normal"/>
    <w:next w:val="Normal"/>
    <w:link w:val="Heading1Char"/>
    <w:uiPriority w:val="9"/>
    <w:qFormat/>
    <w:rsid w:val="00D37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5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5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5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5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5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5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5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5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5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5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54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Felletti Simona</dc:creator>
  <cp:keywords/>
  <dc:description/>
  <cp:lastModifiedBy>Felletti Simona</cp:lastModifiedBy>
  <cp:revision>5</cp:revision>
  <dcterms:created xsi:type="dcterms:W3CDTF">2025-03-28T09:04:00Z</dcterms:created>
  <dcterms:modified xsi:type="dcterms:W3CDTF">2025-04-28T11:55:00Z</dcterms:modified>
</cp:coreProperties>
</file>