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715781" w14:textId="027C215D" w:rsidR="007A6634" w:rsidRPr="0070342D" w:rsidRDefault="007A6634">
      <w:pPr>
        <w:rPr>
          <w:rFonts w:ascii="Arial" w:hAnsi="Arial" w:cs="Arial"/>
          <w:b/>
          <w:bCs/>
          <w:sz w:val="24"/>
          <w:szCs w:val="28"/>
        </w:rPr>
      </w:pPr>
      <w:r w:rsidRPr="0070342D">
        <w:rPr>
          <w:rFonts w:ascii="Arial" w:hAnsi="Arial" w:cs="Arial"/>
          <w:b/>
          <w:bCs/>
          <w:sz w:val="24"/>
          <w:szCs w:val="28"/>
        </w:rPr>
        <w:t>Supplementary Material</w:t>
      </w:r>
    </w:p>
    <w:p w14:paraId="1E953E58" w14:textId="77777777" w:rsidR="007A6634" w:rsidRPr="007A6634" w:rsidRDefault="007A6634">
      <w:pPr>
        <w:rPr>
          <w:rFonts w:ascii="Arial" w:hAnsi="Arial" w:cs="Arial"/>
        </w:rPr>
      </w:pPr>
    </w:p>
    <w:p w14:paraId="422D696D" w14:textId="0C8806F3" w:rsidR="007A6634" w:rsidRPr="007A6634" w:rsidRDefault="00246E23">
      <w:pPr>
        <w:rPr>
          <w:rFonts w:ascii="Arial" w:hAnsi="Arial" w:cs="Arial"/>
        </w:rPr>
      </w:pPr>
      <w:r w:rsidRPr="00246E23">
        <w:rPr>
          <w:rFonts w:ascii="Arial" w:hAnsi="Arial" w:cs="Arial"/>
          <w:noProof/>
        </w:rPr>
        <w:drawing>
          <wp:inline distT="0" distB="0" distL="0" distR="0" wp14:anchorId="597F3E44" wp14:editId="0386372E">
            <wp:extent cx="5274310" cy="6259195"/>
            <wp:effectExtent l="0" t="0" r="2540" b="8255"/>
            <wp:docPr id="22" name="图片 21" descr="图表, 图示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5FCB7690-1349-F334-DBC6-894A642E38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图表, 图示&#10;&#10;描述已自动生成">
                      <a:extLst>
                        <a:ext uri="{FF2B5EF4-FFF2-40B4-BE49-F238E27FC236}">
                          <a16:creationId xmlns:a16="http://schemas.microsoft.com/office/drawing/2014/main" id="{5FCB7690-1349-F334-DBC6-894A642E38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7"/>
                    <a:stretch/>
                  </pic:blipFill>
                  <pic:spPr bwMode="auto">
                    <a:xfrm>
                      <a:off x="0" y="0"/>
                      <a:ext cx="5274310" cy="6259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3512C" w14:textId="280D2CC9" w:rsidR="00CB16AD" w:rsidRDefault="007A6634">
      <w:pPr>
        <w:rPr>
          <w:rFonts w:ascii="Arial" w:hAnsi="Arial" w:cs="Arial"/>
          <w:b/>
          <w:bCs/>
          <w:sz w:val="21"/>
          <w:szCs w:val="22"/>
        </w:rPr>
      </w:pPr>
      <w:bookmarkStart w:id="0" w:name="_Hlk179534652"/>
      <w:r w:rsidRPr="0070342D">
        <w:rPr>
          <w:rFonts w:ascii="Arial" w:hAnsi="Arial" w:cs="Arial"/>
          <w:b/>
          <w:bCs/>
          <w:sz w:val="21"/>
          <w:szCs w:val="22"/>
        </w:rPr>
        <w:t>Supplementary Figure S1</w:t>
      </w:r>
      <w:bookmarkEnd w:id="0"/>
      <w:r w:rsidRPr="0070342D">
        <w:rPr>
          <w:rFonts w:ascii="Arial" w:hAnsi="Arial" w:cs="Arial"/>
          <w:b/>
          <w:bCs/>
          <w:sz w:val="21"/>
          <w:szCs w:val="22"/>
        </w:rPr>
        <w:t>. Methylation of MIDN promoter in normal and tumor tissues</w:t>
      </w:r>
      <w:r w:rsidR="0070342D">
        <w:rPr>
          <w:rFonts w:ascii="Arial" w:hAnsi="Arial" w:cs="Arial" w:hint="eastAsia"/>
          <w:b/>
          <w:bCs/>
          <w:sz w:val="21"/>
          <w:szCs w:val="22"/>
        </w:rPr>
        <w:t>.</w:t>
      </w:r>
    </w:p>
    <w:p w14:paraId="1C7BDFA8" w14:textId="77777777" w:rsidR="00CB16AD" w:rsidRDefault="00CB16AD">
      <w:pPr>
        <w:widowControl/>
        <w:rPr>
          <w:rFonts w:ascii="Arial" w:hAnsi="Arial" w:cs="Arial"/>
          <w:b/>
          <w:bCs/>
          <w:sz w:val="21"/>
          <w:szCs w:val="22"/>
        </w:rPr>
      </w:pPr>
      <w:r>
        <w:rPr>
          <w:rFonts w:ascii="Arial" w:hAnsi="Arial" w:cs="Arial"/>
          <w:b/>
          <w:bCs/>
          <w:sz w:val="21"/>
          <w:szCs w:val="22"/>
        </w:rPr>
        <w:br w:type="page"/>
      </w:r>
    </w:p>
    <w:p w14:paraId="3F6535D2" w14:textId="77777777" w:rsidR="00CB16AD" w:rsidRPr="00232BCC" w:rsidRDefault="00CB16AD" w:rsidP="00CB16AD">
      <w:pPr>
        <w:widowControl/>
        <w:rPr>
          <w:rFonts w:ascii="Arial" w:eastAsia="宋体" w:hAnsi="Arial" w:cs="宋体"/>
          <w:color w:val="000000"/>
          <w:kern w:val="0"/>
        </w:rPr>
      </w:pPr>
      <w:r w:rsidRPr="00232BCC">
        <w:rPr>
          <w:noProof/>
        </w:rPr>
        <w:lastRenderedPageBreak/>
        <w:drawing>
          <wp:inline distT="0" distB="0" distL="0" distR="0" wp14:anchorId="18DAE00F" wp14:editId="1FD259D2">
            <wp:extent cx="5274310" cy="5768340"/>
            <wp:effectExtent l="0" t="0" r="0" b="0"/>
            <wp:docPr id="315754445" name="图片 5" descr="图片包含 背景图案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754445" name="图片 5" descr="图片包含 背景图案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6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E9946" w14:textId="500B5BFE" w:rsidR="00CB16AD" w:rsidRPr="004833AE" w:rsidRDefault="00CB16AD" w:rsidP="00CB16AD">
      <w:pPr>
        <w:widowControl/>
        <w:rPr>
          <w:rFonts w:ascii="Arial" w:eastAsia="宋体" w:hAnsi="Arial" w:cs="宋体"/>
          <w:color w:val="000000"/>
          <w:kern w:val="0"/>
          <w:sz w:val="21"/>
          <w:szCs w:val="21"/>
        </w:rPr>
      </w:pPr>
      <w:r w:rsidRPr="004833AE">
        <w:rPr>
          <w:rFonts w:ascii="Arial" w:eastAsia="宋体" w:hAnsi="Arial" w:cs="宋体"/>
          <w:b/>
          <w:bCs/>
          <w:color w:val="000000"/>
          <w:kern w:val="0"/>
          <w:sz w:val="21"/>
          <w:szCs w:val="21"/>
        </w:rPr>
        <w:t>Supplementary Figure S2. GSEA analysis of potential functions of MIDN in human cancers</w:t>
      </w:r>
      <w:r w:rsidRPr="004833AE">
        <w:rPr>
          <w:rFonts w:ascii="Arial" w:eastAsia="宋体" w:hAnsi="Arial" w:cs="宋体"/>
          <w:color w:val="000000"/>
          <w:kern w:val="0"/>
          <w:sz w:val="21"/>
          <w:szCs w:val="21"/>
        </w:rPr>
        <w:t>. A bubble plot shows the results of GSEA between MIDN-high and -low tumor patients using hallmark gene signatures. The color codes from blue to red represents the magnitude of the p value, while the size of each circle represents the magnitude of the normalized enrichment scores (NES).</w:t>
      </w:r>
    </w:p>
    <w:p w14:paraId="4CA2B538" w14:textId="77777777" w:rsidR="007A6634" w:rsidRPr="00CB16AD" w:rsidRDefault="007A6634">
      <w:pPr>
        <w:rPr>
          <w:rFonts w:ascii="Arial" w:hAnsi="Arial" w:cs="Arial"/>
        </w:rPr>
      </w:pPr>
    </w:p>
    <w:p w14:paraId="6EE4E54E" w14:textId="1729711E" w:rsidR="007A6634" w:rsidRPr="007A6634" w:rsidRDefault="003D2D70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C707BEC" wp14:editId="1F4DE93C">
            <wp:extent cx="5274310" cy="6548755"/>
            <wp:effectExtent l="0" t="0" r="2540" b="4445"/>
            <wp:docPr id="920780366" name="图片 2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780366" name="图片 2" descr="地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4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076F4" w14:textId="3CB41FDE" w:rsidR="007A6634" w:rsidRPr="000660C2" w:rsidRDefault="007A6634">
      <w:pPr>
        <w:rPr>
          <w:rFonts w:ascii="Arial" w:hAnsi="Arial" w:cs="Arial"/>
          <w:sz w:val="21"/>
          <w:szCs w:val="22"/>
        </w:rPr>
      </w:pPr>
      <w:r w:rsidRPr="000660C2">
        <w:rPr>
          <w:rFonts w:ascii="Arial" w:hAnsi="Arial" w:cs="Arial"/>
          <w:b/>
          <w:bCs/>
          <w:sz w:val="21"/>
          <w:szCs w:val="22"/>
        </w:rPr>
        <w:t xml:space="preserve">Supplementary Figure </w:t>
      </w:r>
      <w:r w:rsidR="00CB16AD" w:rsidRPr="000660C2">
        <w:rPr>
          <w:rFonts w:ascii="Arial" w:hAnsi="Arial" w:cs="Arial"/>
          <w:b/>
          <w:bCs/>
          <w:sz w:val="21"/>
          <w:szCs w:val="22"/>
        </w:rPr>
        <w:t>S</w:t>
      </w:r>
      <w:r w:rsidR="00CB16AD">
        <w:rPr>
          <w:rFonts w:ascii="Arial" w:hAnsi="Arial" w:cs="Arial" w:hint="eastAsia"/>
          <w:b/>
          <w:bCs/>
          <w:sz w:val="21"/>
          <w:szCs w:val="22"/>
        </w:rPr>
        <w:t>3</w:t>
      </w:r>
      <w:r w:rsidRPr="000660C2">
        <w:rPr>
          <w:rFonts w:ascii="Arial" w:hAnsi="Arial" w:cs="Arial"/>
          <w:b/>
          <w:bCs/>
          <w:sz w:val="21"/>
          <w:szCs w:val="22"/>
        </w:rPr>
        <w:t xml:space="preserve">. </w:t>
      </w:r>
      <w:r w:rsidR="000660C2" w:rsidRPr="000660C2">
        <w:rPr>
          <w:rFonts w:ascii="Arial" w:hAnsi="Arial" w:cs="Arial"/>
          <w:b/>
          <w:bCs/>
          <w:sz w:val="21"/>
          <w:szCs w:val="22"/>
        </w:rPr>
        <w:t>Single-cell expression levels of MIDN in multiple cancer tissues.</w:t>
      </w:r>
      <w:r w:rsidRPr="000660C2">
        <w:rPr>
          <w:rFonts w:ascii="Arial" w:hAnsi="Arial" w:cs="Arial"/>
          <w:sz w:val="21"/>
          <w:szCs w:val="22"/>
        </w:rPr>
        <w:t xml:space="preserve"> </w:t>
      </w:r>
      <w:proofErr w:type="spellStart"/>
      <w:r w:rsidR="000660C2" w:rsidRPr="000660C2">
        <w:rPr>
          <w:rFonts w:ascii="Arial" w:hAnsi="Arial" w:cs="Arial"/>
          <w:sz w:val="21"/>
          <w:szCs w:val="22"/>
        </w:rPr>
        <w:t>Umap</w:t>
      </w:r>
      <w:proofErr w:type="spellEnd"/>
      <w:r w:rsidR="000660C2" w:rsidRPr="000660C2">
        <w:rPr>
          <w:rFonts w:ascii="Arial" w:hAnsi="Arial" w:cs="Arial"/>
          <w:sz w:val="21"/>
          <w:szCs w:val="22"/>
        </w:rPr>
        <w:t xml:space="preserve"> plots displaying the clustering of different cell types (</w:t>
      </w:r>
      <w:r w:rsidR="000660C2">
        <w:rPr>
          <w:rFonts w:ascii="Arial" w:hAnsi="Arial" w:cs="Arial" w:hint="eastAsia"/>
          <w:sz w:val="21"/>
          <w:szCs w:val="22"/>
        </w:rPr>
        <w:t>left</w:t>
      </w:r>
      <w:r w:rsidR="000660C2" w:rsidRPr="000660C2">
        <w:rPr>
          <w:rFonts w:ascii="Arial" w:hAnsi="Arial" w:cs="Arial"/>
          <w:sz w:val="21"/>
          <w:szCs w:val="22"/>
        </w:rPr>
        <w:t xml:space="preserve"> panel) and MIDN expression level (</w:t>
      </w:r>
      <w:r w:rsidR="000660C2">
        <w:rPr>
          <w:rFonts w:ascii="Arial" w:hAnsi="Arial" w:cs="Arial" w:hint="eastAsia"/>
          <w:sz w:val="21"/>
          <w:szCs w:val="22"/>
        </w:rPr>
        <w:t>right</w:t>
      </w:r>
      <w:r w:rsidR="000660C2" w:rsidRPr="000660C2">
        <w:rPr>
          <w:rFonts w:ascii="Arial" w:hAnsi="Arial" w:cs="Arial"/>
          <w:sz w:val="21"/>
          <w:szCs w:val="22"/>
        </w:rPr>
        <w:t xml:space="preserve"> panel) in </w:t>
      </w:r>
      <w:r w:rsidR="000660C2">
        <w:rPr>
          <w:rFonts w:ascii="Arial" w:hAnsi="Arial" w:cs="Arial" w:hint="eastAsia"/>
          <w:sz w:val="21"/>
          <w:szCs w:val="22"/>
        </w:rPr>
        <w:t>other tumor</w:t>
      </w:r>
      <w:r w:rsidR="000660C2" w:rsidRPr="000660C2">
        <w:rPr>
          <w:rFonts w:ascii="Arial" w:hAnsi="Arial" w:cs="Arial"/>
          <w:sz w:val="21"/>
          <w:szCs w:val="22"/>
        </w:rPr>
        <w:t xml:space="preserve"> tissues.</w:t>
      </w:r>
      <w:r w:rsidR="000660C2">
        <w:rPr>
          <w:rFonts w:ascii="Arial" w:hAnsi="Arial" w:cs="Arial" w:hint="eastAsia"/>
          <w:sz w:val="21"/>
          <w:szCs w:val="22"/>
        </w:rPr>
        <w:t xml:space="preserve"> BRCA (</w:t>
      </w:r>
      <w:r w:rsidR="00D06EC8">
        <w:rPr>
          <w:rFonts w:ascii="Arial" w:hAnsi="Arial" w:cs="Arial" w:hint="eastAsia"/>
          <w:sz w:val="21"/>
          <w:szCs w:val="22"/>
        </w:rPr>
        <w:t>GSE114727</w:t>
      </w:r>
      <w:r w:rsidR="000660C2">
        <w:rPr>
          <w:rFonts w:ascii="Arial" w:hAnsi="Arial" w:cs="Arial" w:hint="eastAsia"/>
          <w:sz w:val="21"/>
          <w:szCs w:val="22"/>
        </w:rPr>
        <w:t>), NSCLC (</w:t>
      </w:r>
      <w:r w:rsidR="00D06EC8">
        <w:rPr>
          <w:rFonts w:ascii="Arial" w:hAnsi="Arial" w:cs="Arial" w:hint="eastAsia"/>
          <w:sz w:val="21"/>
          <w:szCs w:val="22"/>
        </w:rPr>
        <w:t>GSE131907</w:t>
      </w:r>
      <w:r w:rsidR="000660C2">
        <w:rPr>
          <w:rFonts w:ascii="Arial" w:hAnsi="Arial" w:cs="Arial" w:hint="eastAsia"/>
          <w:sz w:val="21"/>
          <w:szCs w:val="22"/>
        </w:rPr>
        <w:t>), CHOL (</w:t>
      </w:r>
      <w:r w:rsidR="00D06EC8">
        <w:rPr>
          <w:rFonts w:ascii="Arial" w:hAnsi="Arial" w:cs="Arial" w:hint="eastAsia"/>
          <w:sz w:val="21"/>
          <w:szCs w:val="22"/>
        </w:rPr>
        <w:t>GSE125449</w:t>
      </w:r>
      <w:r w:rsidR="000660C2">
        <w:rPr>
          <w:rFonts w:ascii="Arial" w:hAnsi="Arial" w:cs="Arial" w:hint="eastAsia"/>
          <w:sz w:val="21"/>
          <w:szCs w:val="22"/>
        </w:rPr>
        <w:t>), KIRC (</w:t>
      </w:r>
      <w:r w:rsidR="00D06EC8">
        <w:rPr>
          <w:rFonts w:ascii="Arial" w:hAnsi="Arial" w:cs="Arial" w:hint="eastAsia"/>
          <w:sz w:val="21"/>
          <w:szCs w:val="22"/>
        </w:rPr>
        <w:t>GSE139555</w:t>
      </w:r>
      <w:r w:rsidR="000660C2">
        <w:rPr>
          <w:rFonts w:ascii="Arial" w:hAnsi="Arial" w:cs="Arial" w:hint="eastAsia"/>
          <w:sz w:val="21"/>
          <w:szCs w:val="22"/>
        </w:rPr>
        <w:t>), CRC (</w:t>
      </w:r>
      <w:r w:rsidR="00D06EC8">
        <w:rPr>
          <w:rFonts w:ascii="Arial" w:hAnsi="Arial" w:cs="Arial" w:hint="eastAsia"/>
          <w:sz w:val="21"/>
          <w:szCs w:val="22"/>
        </w:rPr>
        <w:t>GSE146771</w:t>
      </w:r>
      <w:r w:rsidR="000660C2">
        <w:rPr>
          <w:rFonts w:ascii="Arial" w:hAnsi="Arial" w:cs="Arial" w:hint="eastAsia"/>
          <w:sz w:val="21"/>
          <w:szCs w:val="22"/>
        </w:rPr>
        <w:t>), GBM (</w:t>
      </w:r>
      <w:r w:rsidR="00D06EC8">
        <w:rPr>
          <w:rFonts w:ascii="Arial" w:hAnsi="Arial" w:cs="Arial" w:hint="eastAsia"/>
          <w:sz w:val="21"/>
          <w:szCs w:val="22"/>
        </w:rPr>
        <w:t>GSE138794</w:t>
      </w:r>
      <w:r w:rsidR="000660C2">
        <w:rPr>
          <w:rFonts w:ascii="Arial" w:hAnsi="Arial" w:cs="Arial" w:hint="eastAsia"/>
          <w:sz w:val="21"/>
          <w:szCs w:val="22"/>
        </w:rPr>
        <w:t>), PAAD (</w:t>
      </w:r>
      <w:r w:rsidR="00D06EC8">
        <w:rPr>
          <w:rFonts w:ascii="Arial" w:hAnsi="Arial" w:cs="Arial" w:hint="eastAsia"/>
          <w:sz w:val="21"/>
          <w:szCs w:val="22"/>
        </w:rPr>
        <w:t>CRA001160</w:t>
      </w:r>
      <w:r w:rsidR="000660C2">
        <w:rPr>
          <w:rFonts w:ascii="Arial" w:hAnsi="Arial" w:cs="Arial" w:hint="eastAsia"/>
          <w:sz w:val="21"/>
          <w:szCs w:val="22"/>
        </w:rPr>
        <w:t>), BLCA (</w:t>
      </w:r>
      <w:r w:rsidR="00D06EC8">
        <w:rPr>
          <w:rFonts w:ascii="Arial" w:hAnsi="Arial" w:cs="Arial" w:hint="eastAsia"/>
          <w:sz w:val="21"/>
          <w:szCs w:val="22"/>
        </w:rPr>
        <w:t>GSE130001</w:t>
      </w:r>
      <w:r w:rsidR="000660C2">
        <w:rPr>
          <w:rFonts w:ascii="Arial" w:hAnsi="Arial" w:cs="Arial" w:hint="eastAsia"/>
          <w:sz w:val="21"/>
          <w:szCs w:val="22"/>
        </w:rPr>
        <w:t>), UVM (</w:t>
      </w:r>
      <w:r w:rsidR="00D06EC8">
        <w:rPr>
          <w:rFonts w:ascii="Arial" w:hAnsi="Arial" w:cs="Arial" w:hint="eastAsia"/>
          <w:sz w:val="21"/>
          <w:szCs w:val="22"/>
        </w:rPr>
        <w:t>GSE139829</w:t>
      </w:r>
      <w:r w:rsidR="000660C2">
        <w:rPr>
          <w:rFonts w:ascii="Arial" w:hAnsi="Arial" w:cs="Arial" w:hint="eastAsia"/>
          <w:sz w:val="21"/>
          <w:szCs w:val="22"/>
        </w:rPr>
        <w:t>), OV (</w:t>
      </w:r>
      <w:r w:rsidR="00D06EC8">
        <w:rPr>
          <w:rFonts w:ascii="Arial" w:hAnsi="Arial" w:cs="Arial" w:hint="eastAsia"/>
          <w:sz w:val="21"/>
          <w:szCs w:val="22"/>
        </w:rPr>
        <w:t>GSE115007</w:t>
      </w:r>
      <w:r w:rsidR="000660C2">
        <w:rPr>
          <w:rFonts w:ascii="Arial" w:hAnsi="Arial" w:cs="Arial" w:hint="eastAsia"/>
          <w:sz w:val="21"/>
          <w:szCs w:val="22"/>
        </w:rPr>
        <w:t>), UCEC (</w:t>
      </w:r>
      <w:r w:rsidR="00D06EC8">
        <w:rPr>
          <w:rFonts w:ascii="Arial" w:hAnsi="Arial" w:cs="Arial" w:hint="eastAsia"/>
          <w:sz w:val="21"/>
          <w:szCs w:val="22"/>
        </w:rPr>
        <w:t>GSE139555</w:t>
      </w:r>
      <w:r w:rsidR="000660C2">
        <w:rPr>
          <w:rFonts w:ascii="Arial" w:hAnsi="Arial" w:cs="Arial" w:hint="eastAsia"/>
          <w:sz w:val="21"/>
          <w:szCs w:val="22"/>
        </w:rPr>
        <w:t>) and STAD (</w:t>
      </w:r>
      <w:r w:rsidR="00D06EC8">
        <w:rPr>
          <w:rFonts w:ascii="Arial" w:hAnsi="Arial" w:cs="Arial" w:hint="eastAsia"/>
          <w:sz w:val="21"/>
          <w:szCs w:val="22"/>
        </w:rPr>
        <w:t>GSE134520</w:t>
      </w:r>
      <w:r w:rsidR="000660C2">
        <w:rPr>
          <w:rFonts w:ascii="Arial" w:hAnsi="Arial" w:cs="Arial" w:hint="eastAsia"/>
          <w:sz w:val="21"/>
          <w:szCs w:val="22"/>
        </w:rPr>
        <w:t>).</w:t>
      </w:r>
    </w:p>
    <w:p w14:paraId="5171813B" w14:textId="77777777" w:rsidR="007A6634" w:rsidRPr="000660C2" w:rsidRDefault="007A6634">
      <w:pPr>
        <w:rPr>
          <w:rFonts w:ascii="Arial" w:hAnsi="Arial" w:cs="Arial"/>
          <w:sz w:val="21"/>
          <w:szCs w:val="22"/>
        </w:rPr>
      </w:pPr>
    </w:p>
    <w:p w14:paraId="13958145" w14:textId="77777777" w:rsidR="007A6634" w:rsidRPr="000660C2" w:rsidRDefault="007A6634">
      <w:pPr>
        <w:rPr>
          <w:rFonts w:ascii="Arial" w:hAnsi="Arial" w:cs="Arial"/>
          <w:sz w:val="21"/>
          <w:szCs w:val="22"/>
        </w:rPr>
      </w:pPr>
    </w:p>
    <w:p w14:paraId="5E286AD4" w14:textId="49DC75CF" w:rsidR="007A6634" w:rsidRPr="000660C2" w:rsidRDefault="00593A3B">
      <w:pPr>
        <w:rPr>
          <w:rFonts w:ascii="Arial" w:hAnsi="Arial" w:cs="Arial"/>
          <w:sz w:val="21"/>
          <w:szCs w:val="22"/>
        </w:rPr>
      </w:pPr>
      <w:r>
        <w:rPr>
          <w:noProof/>
        </w:rPr>
        <w:lastRenderedPageBreak/>
        <w:drawing>
          <wp:inline distT="0" distB="0" distL="0" distR="0" wp14:anchorId="2F17CCAC" wp14:editId="79C5B59F">
            <wp:extent cx="5274310" cy="5160010"/>
            <wp:effectExtent l="0" t="0" r="2540" b="2540"/>
            <wp:docPr id="1843424880" name="图片 1" descr="图示, 工程绘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24880" name="图片 1" descr="图示, 工程绘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6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EB33F" w14:textId="1692E1E1" w:rsidR="007A6634" w:rsidRPr="000660C2" w:rsidRDefault="007A6634">
      <w:pPr>
        <w:rPr>
          <w:rFonts w:ascii="Arial" w:hAnsi="Arial" w:cs="Arial"/>
          <w:sz w:val="21"/>
          <w:szCs w:val="22"/>
        </w:rPr>
      </w:pPr>
      <w:r w:rsidRPr="007B5BC0">
        <w:rPr>
          <w:rFonts w:ascii="Arial" w:hAnsi="Arial" w:cs="Arial"/>
          <w:b/>
          <w:bCs/>
          <w:sz w:val="21"/>
          <w:szCs w:val="22"/>
        </w:rPr>
        <w:t xml:space="preserve">Supplementary Figure </w:t>
      </w:r>
      <w:r w:rsidR="00CB16AD" w:rsidRPr="007B5BC0">
        <w:rPr>
          <w:rFonts w:ascii="Arial" w:hAnsi="Arial" w:cs="Arial"/>
          <w:b/>
          <w:bCs/>
          <w:sz w:val="21"/>
          <w:szCs w:val="22"/>
        </w:rPr>
        <w:t>S</w:t>
      </w:r>
      <w:r w:rsidR="00CB16AD">
        <w:rPr>
          <w:rFonts w:ascii="Arial" w:hAnsi="Arial" w:cs="Arial" w:hint="eastAsia"/>
          <w:b/>
          <w:bCs/>
          <w:sz w:val="21"/>
          <w:szCs w:val="22"/>
        </w:rPr>
        <w:t>4</w:t>
      </w:r>
      <w:r w:rsidRPr="007B5BC0">
        <w:rPr>
          <w:rFonts w:ascii="Arial" w:hAnsi="Arial" w:cs="Arial"/>
          <w:b/>
          <w:bCs/>
          <w:sz w:val="21"/>
          <w:szCs w:val="22"/>
        </w:rPr>
        <w:t xml:space="preserve">. </w:t>
      </w:r>
      <w:r w:rsidR="007B5BC0" w:rsidRPr="007B5BC0">
        <w:rPr>
          <w:rFonts w:ascii="Arial" w:hAnsi="Arial" w:cs="Arial"/>
          <w:b/>
          <w:bCs/>
          <w:sz w:val="21"/>
          <w:szCs w:val="22"/>
        </w:rPr>
        <w:t xml:space="preserve">The comparison of immune scores between MIDN-high and </w:t>
      </w:r>
      <w:r w:rsidR="007B5BC0" w:rsidRPr="007B5BC0">
        <w:rPr>
          <w:rFonts w:ascii="Arial" w:hAnsi="Arial" w:cs="Arial" w:hint="eastAsia"/>
          <w:b/>
          <w:bCs/>
          <w:sz w:val="21"/>
          <w:szCs w:val="22"/>
        </w:rPr>
        <w:t>MIDN</w:t>
      </w:r>
      <w:r w:rsidR="007B5BC0" w:rsidRPr="007B5BC0">
        <w:rPr>
          <w:rFonts w:ascii="Arial" w:hAnsi="Arial" w:cs="Arial"/>
          <w:b/>
          <w:bCs/>
          <w:sz w:val="21"/>
          <w:szCs w:val="22"/>
        </w:rPr>
        <w:t>-low patients through Estimate.</w:t>
      </w:r>
      <w:r w:rsidR="007B5BC0">
        <w:rPr>
          <w:rFonts w:ascii="Arial" w:hAnsi="Arial" w:cs="Arial" w:hint="eastAsia"/>
          <w:sz w:val="21"/>
          <w:szCs w:val="22"/>
        </w:rPr>
        <w:t xml:space="preserve"> S</w:t>
      </w:r>
      <w:r w:rsidR="007B5BC0" w:rsidRPr="007B5BC0">
        <w:rPr>
          <w:rFonts w:ascii="Arial" w:hAnsi="Arial" w:cs="Arial"/>
          <w:sz w:val="21"/>
          <w:szCs w:val="22"/>
        </w:rPr>
        <w:t>arcoma (SARC)</w:t>
      </w:r>
      <w:r w:rsidR="007B5BC0">
        <w:rPr>
          <w:rFonts w:ascii="Arial" w:hAnsi="Arial" w:cs="Arial" w:hint="eastAsia"/>
          <w:sz w:val="21"/>
          <w:szCs w:val="22"/>
        </w:rPr>
        <w:t xml:space="preserve">, </w:t>
      </w:r>
      <w:r w:rsidR="007B5BC0" w:rsidRPr="007B5BC0">
        <w:rPr>
          <w:rFonts w:ascii="Arial" w:hAnsi="Arial" w:cs="Arial"/>
          <w:sz w:val="21"/>
          <w:szCs w:val="22"/>
        </w:rPr>
        <w:t>testicular cancer (TGCT)</w:t>
      </w:r>
      <w:r w:rsidR="007B5BC0">
        <w:rPr>
          <w:rFonts w:ascii="Arial" w:hAnsi="Arial" w:cs="Arial" w:hint="eastAsia"/>
          <w:sz w:val="21"/>
          <w:szCs w:val="22"/>
        </w:rPr>
        <w:t xml:space="preserve">, </w:t>
      </w:r>
      <w:r w:rsidR="007B5BC0" w:rsidRPr="007B5BC0">
        <w:rPr>
          <w:rFonts w:ascii="Arial" w:hAnsi="Arial" w:cs="Arial"/>
          <w:sz w:val="21"/>
          <w:szCs w:val="22"/>
        </w:rPr>
        <w:t>thymoma (THYM)</w:t>
      </w:r>
      <w:r w:rsidR="007B5BC0">
        <w:rPr>
          <w:rFonts w:ascii="Arial" w:hAnsi="Arial" w:cs="Arial" w:hint="eastAsia"/>
          <w:sz w:val="21"/>
          <w:szCs w:val="22"/>
        </w:rPr>
        <w:t xml:space="preserve">, </w:t>
      </w:r>
      <w:r w:rsidR="007B5BC0" w:rsidRPr="007B5BC0">
        <w:rPr>
          <w:rFonts w:ascii="Arial" w:hAnsi="Arial" w:cs="Arial"/>
          <w:sz w:val="21"/>
          <w:szCs w:val="22"/>
        </w:rPr>
        <w:t>melanoma (SKCM)</w:t>
      </w:r>
      <w:r w:rsidR="007B5BC0">
        <w:rPr>
          <w:rFonts w:ascii="Arial" w:hAnsi="Arial" w:cs="Arial" w:hint="eastAsia"/>
          <w:sz w:val="21"/>
          <w:szCs w:val="22"/>
        </w:rPr>
        <w:t xml:space="preserve">, </w:t>
      </w:r>
      <w:r w:rsidR="007B5BC0" w:rsidRPr="007B5BC0">
        <w:rPr>
          <w:rFonts w:ascii="Arial" w:hAnsi="Arial" w:cs="Arial"/>
          <w:sz w:val="21"/>
          <w:szCs w:val="22"/>
        </w:rPr>
        <w:t>lung squamous cell carcinoma (LUSC)</w:t>
      </w:r>
      <w:r w:rsidR="007B5BC0">
        <w:rPr>
          <w:rFonts w:ascii="Arial" w:hAnsi="Arial" w:cs="Arial" w:hint="eastAsia"/>
          <w:sz w:val="21"/>
          <w:szCs w:val="22"/>
        </w:rPr>
        <w:t xml:space="preserve">, </w:t>
      </w:r>
      <w:r w:rsidR="007B5BC0" w:rsidRPr="007B5BC0">
        <w:rPr>
          <w:rFonts w:ascii="Arial" w:hAnsi="Arial" w:cs="Arial"/>
          <w:sz w:val="21"/>
          <w:szCs w:val="22"/>
        </w:rPr>
        <w:t>lung adenocarcinoma (LUAD)</w:t>
      </w:r>
      <w:r w:rsidR="007B5BC0">
        <w:rPr>
          <w:rFonts w:ascii="Arial" w:hAnsi="Arial" w:cs="Arial" w:hint="eastAsia"/>
          <w:sz w:val="21"/>
          <w:szCs w:val="22"/>
        </w:rPr>
        <w:t xml:space="preserve">, </w:t>
      </w:r>
      <w:r w:rsidR="007B5BC0" w:rsidRPr="007B5BC0">
        <w:rPr>
          <w:rFonts w:ascii="Arial" w:hAnsi="Arial" w:cs="Arial"/>
          <w:sz w:val="21"/>
          <w:szCs w:val="22"/>
        </w:rPr>
        <w:t>acute myeloid leukemia (LAML)</w:t>
      </w:r>
      <w:r w:rsidR="007B5BC0">
        <w:rPr>
          <w:rFonts w:ascii="Arial" w:hAnsi="Arial" w:cs="Arial" w:hint="eastAsia"/>
          <w:sz w:val="21"/>
          <w:szCs w:val="22"/>
        </w:rPr>
        <w:t xml:space="preserve">, </w:t>
      </w:r>
      <w:r w:rsidR="007B5BC0" w:rsidRPr="007B5BC0">
        <w:rPr>
          <w:rFonts w:ascii="Arial" w:hAnsi="Arial" w:cs="Arial"/>
          <w:sz w:val="21"/>
          <w:szCs w:val="22"/>
        </w:rPr>
        <w:t>kidney papillary cell carcinoma (KIRP)</w:t>
      </w:r>
      <w:r w:rsidR="007B5BC0">
        <w:rPr>
          <w:rFonts w:ascii="Arial" w:hAnsi="Arial" w:cs="Arial" w:hint="eastAsia"/>
          <w:sz w:val="21"/>
          <w:szCs w:val="22"/>
        </w:rPr>
        <w:t xml:space="preserve">, </w:t>
      </w:r>
      <w:r w:rsidR="007B5BC0" w:rsidRPr="007B5BC0">
        <w:rPr>
          <w:rFonts w:ascii="Arial" w:hAnsi="Arial" w:cs="Arial"/>
          <w:sz w:val="21"/>
          <w:szCs w:val="22"/>
        </w:rPr>
        <w:t>prostate cancer (PRAD)</w:t>
      </w:r>
      <w:r w:rsidR="007B5BC0">
        <w:rPr>
          <w:rFonts w:ascii="Arial" w:hAnsi="Arial" w:cs="Arial" w:hint="eastAsia"/>
          <w:sz w:val="21"/>
          <w:szCs w:val="22"/>
        </w:rPr>
        <w:t xml:space="preserve">, </w:t>
      </w:r>
      <w:r w:rsidR="007B5BC0" w:rsidRPr="007B5BC0">
        <w:rPr>
          <w:rFonts w:ascii="Arial" w:hAnsi="Arial" w:cs="Arial"/>
          <w:sz w:val="21"/>
          <w:szCs w:val="22"/>
        </w:rPr>
        <w:t>pheochromocytoma &amp; paraganglioma (PCPG)</w:t>
      </w:r>
      <w:r w:rsidR="007B5BC0">
        <w:rPr>
          <w:rFonts w:ascii="Arial" w:hAnsi="Arial" w:cs="Arial" w:hint="eastAsia"/>
          <w:sz w:val="21"/>
          <w:szCs w:val="22"/>
        </w:rPr>
        <w:t xml:space="preserve">, </w:t>
      </w:r>
      <w:r w:rsidR="007B5BC0" w:rsidRPr="007B5BC0">
        <w:rPr>
          <w:rFonts w:ascii="Arial" w:hAnsi="Arial" w:cs="Arial"/>
          <w:sz w:val="21"/>
          <w:szCs w:val="22"/>
        </w:rPr>
        <w:t>esophageal cancer (ESCA)</w:t>
      </w:r>
      <w:r w:rsidR="007B5BC0">
        <w:rPr>
          <w:rFonts w:ascii="Arial" w:hAnsi="Arial" w:cs="Arial" w:hint="eastAsia"/>
          <w:sz w:val="21"/>
          <w:szCs w:val="22"/>
        </w:rPr>
        <w:t xml:space="preserve">, </w:t>
      </w:r>
      <w:r w:rsidR="007B5BC0" w:rsidRPr="007B5BC0">
        <w:rPr>
          <w:rFonts w:ascii="Arial" w:hAnsi="Arial" w:cs="Arial"/>
          <w:sz w:val="21"/>
          <w:szCs w:val="22"/>
        </w:rPr>
        <w:t>large b-cell lymphoma (DLBC)</w:t>
      </w:r>
      <w:r w:rsidR="007B5BC0">
        <w:rPr>
          <w:rFonts w:ascii="Arial" w:hAnsi="Arial" w:cs="Arial" w:hint="eastAsia"/>
          <w:sz w:val="21"/>
          <w:szCs w:val="22"/>
        </w:rPr>
        <w:t xml:space="preserve">, </w:t>
      </w:r>
      <w:r w:rsidR="007B5BC0" w:rsidRPr="007B5BC0">
        <w:rPr>
          <w:rFonts w:ascii="Arial" w:hAnsi="Arial" w:cs="Arial"/>
          <w:sz w:val="21"/>
          <w:szCs w:val="22"/>
        </w:rPr>
        <w:t>adrenocortical cancer (ACC)</w:t>
      </w:r>
      <w:r w:rsidR="009D205B">
        <w:rPr>
          <w:rFonts w:ascii="Arial" w:hAnsi="Arial" w:cs="Arial" w:hint="eastAsia"/>
          <w:sz w:val="21"/>
          <w:szCs w:val="22"/>
        </w:rPr>
        <w:t>, breast cancer (BRCA)</w:t>
      </w:r>
      <w:r w:rsidR="007B5BC0">
        <w:rPr>
          <w:rFonts w:ascii="Arial" w:hAnsi="Arial" w:cs="Arial" w:hint="eastAsia"/>
          <w:sz w:val="21"/>
          <w:szCs w:val="22"/>
        </w:rPr>
        <w:t>.</w:t>
      </w:r>
    </w:p>
    <w:p w14:paraId="7BEF78EB" w14:textId="77777777" w:rsidR="007A6634" w:rsidRPr="000660C2" w:rsidRDefault="007A6634">
      <w:pPr>
        <w:rPr>
          <w:rFonts w:ascii="Arial" w:hAnsi="Arial" w:cs="Arial"/>
          <w:sz w:val="21"/>
          <w:szCs w:val="22"/>
        </w:rPr>
      </w:pPr>
    </w:p>
    <w:p w14:paraId="46DE272E" w14:textId="2E46CE71" w:rsidR="007A6634" w:rsidRPr="000660C2" w:rsidRDefault="00246E23">
      <w:pPr>
        <w:rPr>
          <w:rFonts w:ascii="Arial" w:hAnsi="Arial" w:cs="Arial"/>
          <w:sz w:val="21"/>
          <w:szCs w:val="22"/>
        </w:rPr>
      </w:pPr>
      <w:r w:rsidRPr="00246E23">
        <w:rPr>
          <w:rFonts w:ascii="Arial" w:hAnsi="Arial" w:cs="Arial"/>
          <w:noProof/>
          <w:sz w:val="21"/>
          <w:szCs w:val="22"/>
        </w:rPr>
        <w:lastRenderedPageBreak/>
        <w:drawing>
          <wp:inline distT="0" distB="0" distL="0" distR="0" wp14:anchorId="6D6A9585" wp14:editId="47AD4F16">
            <wp:extent cx="5274310" cy="7600950"/>
            <wp:effectExtent l="0" t="0" r="2540" b="0"/>
            <wp:docPr id="4" name="图片 3" descr="图示, 工程绘图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0C229E08-6FC1-4AAB-D8A1-BF60E6110E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图示, 工程绘图&#10;&#10;描述已自动生成">
                      <a:extLst>
                        <a:ext uri="{FF2B5EF4-FFF2-40B4-BE49-F238E27FC236}">
                          <a16:creationId xmlns:a16="http://schemas.microsoft.com/office/drawing/2014/main" id="{0C229E08-6FC1-4AAB-D8A1-BF60E6110E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82D2A" w14:textId="6B9925BB" w:rsidR="007A6634" w:rsidRPr="000660C2" w:rsidRDefault="007A6634">
      <w:pPr>
        <w:rPr>
          <w:rFonts w:ascii="Arial" w:hAnsi="Arial" w:cs="Arial"/>
          <w:sz w:val="21"/>
          <w:szCs w:val="22"/>
        </w:rPr>
      </w:pPr>
      <w:r w:rsidRPr="004023D9">
        <w:rPr>
          <w:rFonts w:ascii="Arial" w:hAnsi="Arial" w:cs="Arial"/>
          <w:b/>
          <w:bCs/>
          <w:sz w:val="21"/>
          <w:szCs w:val="22"/>
        </w:rPr>
        <w:t xml:space="preserve">Supplementary Figure </w:t>
      </w:r>
      <w:r w:rsidR="00CB16AD" w:rsidRPr="004023D9">
        <w:rPr>
          <w:rFonts w:ascii="Arial" w:hAnsi="Arial" w:cs="Arial"/>
          <w:b/>
          <w:bCs/>
          <w:sz w:val="21"/>
          <w:szCs w:val="22"/>
        </w:rPr>
        <w:t>S</w:t>
      </w:r>
      <w:r w:rsidR="00CB16AD">
        <w:rPr>
          <w:rFonts w:ascii="Arial" w:hAnsi="Arial" w:cs="Arial" w:hint="eastAsia"/>
          <w:b/>
          <w:bCs/>
          <w:sz w:val="21"/>
          <w:szCs w:val="22"/>
        </w:rPr>
        <w:t>5</w:t>
      </w:r>
      <w:r w:rsidRPr="004023D9">
        <w:rPr>
          <w:rFonts w:ascii="Arial" w:hAnsi="Arial" w:cs="Arial"/>
          <w:b/>
          <w:bCs/>
          <w:sz w:val="21"/>
          <w:szCs w:val="22"/>
        </w:rPr>
        <w:t xml:space="preserve">. </w:t>
      </w:r>
      <w:r w:rsidR="004023D9" w:rsidRPr="004023D9">
        <w:rPr>
          <w:rFonts w:ascii="Arial" w:hAnsi="Arial" w:cs="Arial"/>
          <w:b/>
          <w:bCs/>
          <w:sz w:val="21"/>
          <w:szCs w:val="22"/>
        </w:rPr>
        <w:t>Mutation of MIDN affected immune cell infiltration in cancers.</w:t>
      </w:r>
      <w:r w:rsidR="004023D9" w:rsidRPr="004023D9">
        <w:rPr>
          <w:rFonts w:ascii="Arial" w:hAnsi="Arial" w:cs="Arial"/>
          <w:sz w:val="21"/>
          <w:szCs w:val="22"/>
        </w:rPr>
        <w:t xml:space="preserve"> (A) The amplification and deletion of MIDN was associated with </w:t>
      </w:r>
      <w:r w:rsidR="004023D9">
        <w:rPr>
          <w:rFonts w:ascii="Arial" w:hAnsi="Arial" w:cs="Arial" w:hint="eastAsia"/>
          <w:sz w:val="21"/>
          <w:szCs w:val="22"/>
        </w:rPr>
        <w:t>Tregs</w:t>
      </w:r>
      <w:r w:rsidR="004023D9" w:rsidRPr="004023D9">
        <w:rPr>
          <w:rFonts w:ascii="Arial" w:hAnsi="Arial" w:cs="Arial"/>
          <w:sz w:val="21"/>
          <w:szCs w:val="22"/>
        </w:rPr>
        <w:t xml:space="preserve"> cells, </w:t>
      </w:r>
      <w:r w:rsidR="004023D9">
        <w:rPr>
          <w:rFonts w:ascii="Arial" w:hAnsi="Arial" w:cs="Arial" w:hint="eastAsia"/>
          <w:sz w:val="21"/>
          <w:szCs w:val="22"/>
        </w:rPr>
        <w:t>Neutrophil</w:t>
      </w:r>
      <w:r w:rsidR="004023D9" w:rsidRPr="004023D9">
        <w:rPr>
          <w:rFonts w:ascii="Arial" w:hAnsi="Arial" w:cs="Arial"/>
          <w:sz w:val="21"/>
          <w:szCs w:val="22"/>
        </w:rPr>
        <w:t xml:space="preserve"> cells, and macrophages in </w:t>
      </w:r>
      <w:r w:rsidR="004023D9">
        <w:rPr>
          <w:rFonts w:ascii="Arial" w:hAnsi="Arial" w:cs="Arial" w:hint="eastAsia"/>
          <w:sz w:val="21"/>
          <w:szCs w:val="22"/>
        </w:rPr>
        <w:t>BRCA</w:t>
      </w:r>
      <w:r w:rsidR="004023D9" w:rsidRPr="004023D9">
        <w:rPr>
          <w:rFonts w:ascii="Arial" w:hAnsi="Arial" w:cs="Arial"/>
          <w:sz w:val="21"/>
          <w:szCs w:val="22"/>
        </w:rPr>
        <w:t>. (</w:t>
      </w:r>
      <w:r w:rsidR="004023D9">
        <w:rPr>
          <w:rFonts w:ascii="Arial" w:hAnsi="Arial" w:cs="Arial" w:hint="eastAsia"/>
          <w:sz w:val="21"/>
          <w:szCs w:val="22"/>
        </w:rPr>
        <w:t>B</w:t>
      </w:r>
      <w:r w:rsidR="004023D9" w:rsidRPr="004023D9">
        <w:rPr>
          <w:rFonts w:ascii="Arial" w:hAnsi="Arial" w:cs="Arial"/>
          <w:sz w:val="21"/>
          <w:szCs w:val="22"/>
        </w:rPr>
        <w:t xml:space="preserve">) The immune infiltration distribution between </w:t>
      </w:r>
      <w:r w:rsidR="002675B8">
        <w:rPr>
          <w:rFonts w:ascii="Arial" w:hAnsi="Arial" w:cs="Arial" w:hint="eastAsia"/>
          <w:sz w:val="21"/>
          <w:szCs w:val="22"/>
        </w:rPr>
        <w:t>wilt and mutated</w:t>
      </w:r>
      <w:r w:rsidR="004023D9" w:rsidRPr="004023D9">
        <w:rPr>
          <w:rFonts w:ascii="Arial" w:hAnsi="Arial" w:cs="Arial"/>
          <w:sz w:val="21"/>
          <w:szCs w:val="22"/>
        </w:rPr>
        <w:t xml:space="preserve"> MIDN in</w:t>
      </w:r>
      <w:r w:rsidR="002675B8">
        <w:rPr>
          <w:rFonts w:ascii="Arial" w:hAnsi="Arial" w:cs="Arial" w:hint="eastAsia"/>
          <w:sz w:val="21"/>
          <w:szCs w:val="22"/>
        </w:rPr>
        <w:t xml:space="preserve"> BRCA</w:t>
      </w:r>
      <w:r w:rsidR="004023D9" w:rsidRPr="004023D9">
        <w:rPr>
          <w:rFonts w:ascii="Arial" w:hAnsi="Arial" w:cs="Arial"/>
          <w:sz w:val="21"/>
          <w:szCs w:val="22"/>
        </w:rPr>
        <w:t>. (</w:t>
      </w:r>
      <w:r w:rsidR="002675B8">
        <w:rPr>
          <w:rFonts w:ascii="Arial" w:hAnsi="Arial" w:cs="Arial" w:hint="eastAsia"/>
          <w:sz w:val="21"/>
          <w:szCs w:val="22"/>
        </w:rPr>
        <w:t>C</w:t>
      </w:r>
      <w:r w:rsidR="004023D9" w:rsidRPr="004023D9">
        <w:rPr>
          <w:rFonts w:ascii="Arial" w:hAnsi="Arial" w:cs="Arial"/>
          <w:sz w:val="21"/>
          <w:szCs w:val="22"/>
        </w:rPr>
        <w:t xml:space="preserve">) </w:t>
      </w:r>
      <w:r w:rsidR="002675B8" w:rsidRPr="004023D9">
        <w:rPr>
          <w:rFonts w:ascii="Arial" w:hAnsi="Arial" w:cs="Arial"/>
          <w:sz w:val="21"/>
          <w:szCs w:val="22"/>
        </w:rPr>
        <w:t xml:space="preserve">The amplification and deletion of MIDN </w:t>
      </w:r>
      <w:r w:rsidR="002675B8" w:rsidRPr="004023D9">
        <w:rPr>
          <w:rFonts w:ascii="Arial" w:hAnsi="Arial" w:cs="Arial"/>
          <w:sz w:val="21"/>
          <w:szCs w:val="22"/>
        </w:rPr>
        <w:lastRenderedPageBreak/>
        <w:t xml:space="preserve">was associated with </w:t>
      </w:r>
      <w:r w:rsidR="002675B8">
        <w:rPr>
          <w:rFonts w:ascii="Arial" w:hAnsi="Arial" w:cs="Arial" w:hint="eastAsia"/>
          <w:sz w:val="21"/>
          <w:szCs w:val="22"/>
        </w:rPr>
        <w:t>CD4</w:t>
      </w:r>
      <w:r w:rsidR="002675B8" w:rsidRPr="002675B8">
        <w:rPr>
          <w:rFonts w:ascii="Arial" w:hAnsi="Arial" w:cs="Arial" w:hint="eastAsia"/>
          <w:sz w:val="21"/>
          <w:szCs w:val="22"/>
          <w:vertAlign w:val="superscript"/>
        </w:rPr>
        <w:t>+</w:t>
      </w:r>
      <w:r w:rsidR="002675B8">
        <w:rPr>
          <w:rFonts w:ascii="Arial" w:hAnsi="Arial" w:cs="Arial" w:hint="eastAsia"/>
          <w:sz w:val="21"/>
          <w:szCs w:val="22"/>
        </w:rPr>
        <w:t xml:space="preserve"> T</w:t>
      </w:r>
      <w:r w:rsidR="002675B8" w:rsidRPr="004023D9">
        <w:rPr>
          <w:rFonts w:ascii="Arial" w:hAnsi="Arial" w:cs="Arial"/>
          <w:sz w:val="21"/>
          <w:szCs w:val="22"/>
        </w:rPr>
        <w:t xml:space="preserve"> cells in </w:t>
      </w:r>
      <w:r w:rsidR="002675B8">
        <w:rPr>
          <w:rFonts w:ascii="Arial" w:hAnsi="Arial" w:cs="Arial" w:hint="eastAsia"/>
          <w:sz w:val="21"/>
          <w:szCs w:val="22"/>
        </w:rPr>
        <w:t>LUSC</w:t>
      </w:r>
      <w:r w:rsidR="002675B8" w:rsidRPr="004023D9">
        <w:rPr>
          <w:rFonts w:ascii="Arial" w:hAnsi="Arial" w:cs="Arial"/>
          <w:sz w:val="21"/>
          <w:szCs w:val="22"/>
        </w:rPr>
        <w:t>. (</w:t>
      </w:r>
      <w:r w:rsidR="002675B8">
        <w:rPr>
          <w:rFonts w:ascii="Arial" w:hAnsi="Arial" w:cs="Arial" w:hint="eastAsia"/>
          <w:sz w:val="21"/>
          <w:szCs w:val="22"/>
        </w:rPr>
        <w:t>D</w:t>
      </w:r>
      <w:r w:rsidR="002675B8" w:rsidRPr="004023D9">
        <w:rPr>
          <w:rFonts w:ascii="Arial" w:hAnsi="Arial" w:cs="Arial"/>
          <w:sz w:val="21"/>
          <w:szCs w:val="22"/>
        </w:rPr>
        <w:t xml:space="preserve">) The immune infiltration distribution between </w:t>
      </w:r>
      <w:r w:rsidR="002675B8">
        <w:rPr>
          <w:rFonts w:ascii="Arial" w:hAnsi="Arial" w:cs="Arial" w:hint="eastAsia"/>
          <w:sz w:val="21"/>
          <w:szCs w:val="22"/>
        </w:rPr>
        <w:t>wilt and mutated</w:t>
      </w:r>
      <w:r w:rsidR="002675B8" w:rsidRPr="004023D9">
        <w:rPr>
          <w:rFonts w:ascii="Arial" w:hAnsi="Arial" w:cs="Arial"/>
          <w:sz w:val="21"/>
          <w:szCs w:val="22"/>
        </w:rPr>
        <w:t xml:space="preserve"> MIDN in</w:t>
      </w:r>
      <w:r w:rsidR="002675B8">
        <w:rPr>
          <w:rFonts w:ascii="Arial" w:hAnsi="Arial" w:cs="Arial" w:hint="eastAsia"/>
          <w:sz w:val="21"/>
          <w:szCs w:val="22"/>
        </w:rPr>
        <w:t xml:space="preserve"> LUSC</w:t>
      </w:r>
      <w:r w:rsidR="002675B8" w:rsidRPr="004023D9">
        <w:rPr>
          <w:rFonts w:ascii="Arial" w:hAnsi="Arial" w:cs="Arial"/>
          <w:sz w:val="21"/>
          <w:szCs w:val="22"/>
        </w:rPr>
        <w:t>.</w:t>
      </w:r>
      <w:r w:rsidR="00246E23">
        <w:rPr>
          <w:rFonts w:ascii="Arial" w:hAnsi="Arial" w:cs="Arial" w:hint="eastAsia"/>
          <w:sz w:val="21"/>
          <w:szCs w:val="22"/>
        </w:rPr>
        <w:t xml:space="preserve"> </w:t>
      </w:r>
      <w:r w:rsidR="00246E23" w:rsidRPr="004023D9">
        <w:rPr>
          <w:rFonts w:ascii="Arial" w:hAnsi="Arial" w:cs="Arial"/>
          <w:sz w:val="21"/>
          <w:szCs w:val="22"/>
        </w:rPr>
        <w:t>(</w:t>
      </w:r>
      <w:r w:rsidR="00246E23">
        <w:rPr>
          <w:rFonts w:ascii="Arial" w:hAnsi="Arial" w:cs="Arial" w:hint="eastAsia"/>
          <w:sz w:val="21"/>
          <w:szCs w:val="22"/>
        </w:rPr>
        <w:t>E</w:t>
      </w:r>
      <w:r w:rsidR="00246E23" w:rsidRPr="004023D9">
        <w:rPr>
          <w:rFonts w:ascii="Arial" w:hAnsi="Arial" w:cs="Arial"/>
          <w:sz w:val="21"/>
          <w:szCs w:val="22"/>
        </w:rPr>
        <w:t xml:space="preserve">) The amplification and deletion of MIDN was associated with </w:t>
      </w:r>
      <w:r w:rsidR="00246E23">
        <w:rPr>
          <w:rFonts w:ascii="Arial" w:hAnsi="Arial" w:cs="Arial" w:hint="eastAsia"/>
          <w:sz w:val="21"/>
          <w:szCs w:val="22"/>
        </w:rPr>
        <w:t>CD4</w:t>
      </w:r>
      <w:r w:rsidR="00246E23" w:rsidRPr="002675B8">
        <w:rPr>
          <w:rFonts w:ascii="Arial" w:hAnsi="Arial" w:cs="Arial" w:hint="eastAsia"/>
          <w:sz w:val="21"/>
          <w:szCs w:val="22"/>
          <w:vertAlign w:val="superscript"/>
        </w:rPr>
        <w:t>+</w:t>
      </w:r>
      <w:r w:rsidR="00246E23">
        <w:rPr>
          <w:rFonts w:ascii="Arial" w:hAnsi="Arial" w:cs="Arial" w:hint="eastAsia"/>
          <w:sz w:val="21"/>
          <w:szCs w:val="22"/>
        </w:rPr>
        <w:t xml:space="preserve"> T</w:t>
      </w:r>
      <w:r w:rsidR="00246E23" w:rsidRPr="004023D9">
        <w:rPr>
          <w:rFonts w:ascii="Arial" w:hAnsi="Arial" w:cs="Arial"/>
          <w:sz w:val="21"/>
          <w:szCs w:val="22"/>
        </w:rPr>
        <w:t xml:space="preserve"> cells in </w:t>
      </w:r>
      <w:r w:rsidR="00246E23">
        <w:rPr>
          <w:rFonts w:ascii="Arial" w:hAnsi="Arial" w:cs="Arial" w:hint="eastAsia"/>
          <w:sz w:val="21"/>
          <w:szCs w:val="22"/>
        </w:rPr>
        <w:t>STAD</w:t>
      </w:r>
      <w:r w:rsidR="00246E23" w:rsidRPr="004023D9">
        <w:rPr>
          <w:rFonts w:ascii="Arial" w:hAnsi="Arial" w:cs="Arial"/>
          <w:sz w:val="21"/>
          <w:szCs w:val="22"/>
        </w:rPr>
        <w:t>. (</w:t>
      </w:r>
      <w:r w:rsidR="00246E23">
        <w:rPr>
          <w:rFonts w:ascii="Arial" w:hAnsi="Arial" w:cs="Arial" w:hint="eastAsia"/>
          <w:sz w:val="21"/>
          <w:szCs w:val="22"/>
        </w:rPr>
        <w:t>F</w:t>
      </w:r>
      <w:r w:rsidR="00246E23" w:rsidRPr="004023D9">
        <w:rPr>
          <w:rFonts w:ascii="Arial" w:hAnsi="Arial" w:cs="Arial"/>
          <w:sz w:val="21"/>
          <w:szCs w:val="22"/>
        </w:rPr>
        <w:t xml:space="preserve">) The immune infiltration distribution between </w:t>
      </w:r>
      <w:r w:rsidR="00246E23">
        <w:rPr>
          <w:rFonts w:ascii="Arial" w:hAnsi="Arial" w:cs="Arial" w:hint="eastAsia"/>
          <w:sz w:val="21"/>
          <w:szCs w:val="22"/>
        </w:rPr>
        <w:t>wilt and mutated</w:t>
      </w:r>
      <w:r w:rsidR="00246E23" w:rsidRPr="004023D9">
        <w:rPr>
          <w:rFonts w:ascii="Arial" w:hAnsi="Arial" w:cs="Arial"/>
          <w:sz w:val="21"/>
          <w:szCs w:val="22"/>
        </w:rPr>
        <w:t xml:space="preserve"> MIDN in</w:t>
      </w:r>
      <w:r w:rsidR="00246E23">
        <w:rPr>
          <w:rFonts w:ascii="Arial" w:hAnsi="Arial" w:cs="Arial" w:hint="eastAsia"/>
          <w:sz w:val="21"/>
          <w:szCs w:val="22"/>
        </w:rPr>
        <w:t xml:space="preserve"> STAD</w:t>
      </w:r>
      <w:r w:rsidR="00246E23" w:rsidRPr="004023D9">
        <w:rPr>
          <w:rFonts w:ascii="Arial" w:hAnsi="Arial" w:cs="Arial"/>
          <w:sz w:val="21"/>
          <w:szCs w:val="22"/>
        </w:rPr>
        <w:t>.</w:t>
      </w:r>
    </w:p>
    <w:sectPr w:rsidR="007A6634" w:rsidRPr="000660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66ECFE" w14:textId="77777777" w:rsidR="008805D8" w:rsidRDefault="008805D8" w:rsidP="00246E23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650DC0A1" w14:textId="77777777" w:rsidR="008805D8" w:rsidRDefault="008805D8" w:rsidP="00246E23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491963" w14:textId="77777777" w:rsidR="008805D8" w:rsidRDefault="008805D8" w:rsidP="00246E23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5E584A20" w14:textId="77777777" w:rsidR="008805D8" w:rsidRDefault="008805D8" w:rsidP="00246E23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634"/>
    <w:rsid w:val="000660C2"/>
    <w:rsid w:val="00073688"/>
    <w:rsid w:val="0011497B"/>
    <w:rsid w:val="001E163B"/>
    <w:rsid w:val="001E6C3A"/>
    <w:rsid w:val="00211343"/>
    <w:rsid w:val="00246E23"/>
    <w:rsid w:val="002675B8"/>
    <w:rsid w:val="003C3E4F"/>
    <w:rsid w:val="003D2D70"/>
    <w:rsid w:val="004023D9"/>
    <w:rsid w:val="004833AE"/>
    <w:rsid w:val="004D318C"/>
    <w:rsid w:val="004E5E49"/>
    <w:rsid w:val="00535CD1"/>
    <w:rsid w:val="00593A3B"/>
    <w:rsid w:val="0070342D"/>
    <w:rsid w:val="00734BE2"/>
    <w:rsid w:val="007A6634"/>
    <w:rsid w:val="007B5BC0"/>
    <w:rsid w:val="008064FE"/>
    <w:rsid w:val="008805D8"/>
    <w:rsid w:val="009D205B"/>
    <w:rsid w:val="00A470FB"/>
    <w:rsid w:val="00CA2716"/>
    <w:rsid w:val="00CB16AD"/>
    <w:rsid w:val="00D04D69"/>
    <w:rsid w:val="00D06EC8"/>
    <w:rsid w:val="00DB3EB3"/>
    <w:rsid w:val="00FD33B1"/>
    <w:rsid w:val="00FF2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DFDE5E"/>
  <w15:chartTrackingRefBased/>
  <w15:docId w15:val="{E473F349-D199-4487-9B31-4B0A93C37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A663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66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A663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A6634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A6634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A6634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A6634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A6634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A6634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A663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7A66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7A66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7A6634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7A6634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7A6634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7A663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7A663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7A663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7A6634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7A66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A663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7A663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A66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7A663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A663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A663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A66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7A663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A6634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46E23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246E23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246E23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246E23"/>
    <w:rPr>
      <w:sz w:val="18"/>
      <w:szCs w:val="18"/>
    </w:rPr>
  </w:style>
  <w:style w:type="paragraph" w:styleId="af2">
    <w:name w:val="Revision"/>
    <w:hidden/>
    <w:uiPriority w:val="99"/>
    <w:semiHidden/>
    <w:rsid w:val="00CB16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306</Words>
  <Characters>1750</Characters>
  <Application>Microsoft Office Word</Application>
  <DocSecurity>0</DocSecurity>
  <Lines>14</Lines>
  <Paragraphs>4</Paragraphs>
  <ScaleCrop>false</ScaleCrop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Shaobo Huang</dc:creator>
  <cp:keywords/>
  <dc:description/>
  <cp:lastModifiedBy>Shaobo Huang</cp:lastModifiedBy>
  <cp:revision>3</cp:revision>
  <dcterms:created xsi:type="dcterms:W3CDTF">2024-10-18T13:15:00Z</dcterms:created>
  <dcterms:modified xsi:type="dcterms:W3CDTF">2024-10-18T13:15:00Z</dcterms:modified>
</cp:coreProperties>
</file>