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F61CED" w14:textId="424948A9" w:rsidR="002923E2" w:rsidRPr="00343AE5" w:rsidRDefault="002923E2" w:rsidP="005355FB">
      <w:pPr>
        <w:spacing w:line="480" w:lineRule="auto"/>
        <w:rPr>
          <w:rFonts w:ascii="Times New Roman" w:hAnsi="Times New Roman" w:cs="Times New Roman"/>
          <w:b/>
          <w:bCs/>
          <w:sz w:val="28"/>
          <w:szCs w:val="28"/>
        </w:rPr>
      </w:pPr>
      <w:r w:rsidRPr="00343AE5">
        <w:rPr>
          <w:rFonts w:ascii="Times New Roman" w:hAnsi="Times New Roman" w:cs="Times New Roman"/>
          <w:b/>
          <w:bCs/>
          <w:sz w:val="28"/>
          <w:szCs w:val="28"/>
        </w:rPr>
        <w:t xml:space="preserve">Supplementary Protocols </w:t>
      </w:r>
      <w:r w:rsidRPr="00343AE5">
        <w:rPr>
          <w:rFonts w:ascii="Times New Roman" w:hAnsi="Times New Roman" w:cs="Times New Roman" w:hint="eastAsia"/>
          <w:b/>
          <w:bCs/>
          <w:sz w:val="28"/>
          <w:szCs w:val="28"/>
        </w:rPr>
        <w:t>and</w:t>
      </w:r>
      <w:r w:rsidRPr="00343AE5">
        <w:rPr>
          <w:rFonts w:ascii="Times New Roman" w:hAnsi="Times New Roman" w:cs="Times New Roman"/>
          <w:b/>
          <w:bCs/>
          <w:sz w:val="28"/>
          <w:szCs w:val="28"/>
        </w:rPr>
        <w:t xml:space="preserve"> Figures</w:t>
      </w:r>
    </w:p>
    <w:p w14:paraId="01C09076" w14:textId="77777777" w:rsidR="002923E2" w:rsidRPr="00343AE5" w:rsidRDefault="002923E2" w:rsidP="005355FB">
      <w:pPr>
        <w:spacing w:line="480" w:lineRule="auto"/>
        <w:jc w:val="center"/>
        <w:rPr>
          <w:rFonts w:asciiTheme="majorBidi" w:hAnsiTheme="majorBidi" w:cstheme="majorBidi"/>
          <w:b/>
          <w:bCs/>
          <w:sz w:val="24"/>
          <w:szCs w:val="24"/>
        </w:rPr>
      </w:pPr>
      <w:r w:rsidRPr="00343AE5">
        <w:rPr>
          <w:rFonts w:asciiTheme="majorBidi" w:hAnsiTheme="majorBidi" w:cstheme="majorBidi"/>
          <w:b/>
          <w:bCs/>
          <w:sz w:val="24"/>
          <w:szCs w:val="24"/>
        </w:rPr>
        <w:t xml:space="preserve">Pan-cancer analyses reveal molecular and immunological </w:t>
      </w:r>
      <w:bookmarkStart w:id="0" w:name="_Hlk102854138"/>
      <w:r w:rsidRPr="00343AE5">
        <w:rPr>
          <w:rFonts w:asciiTheme="majorBidi" w:hAnsiTheme="majorBidi" w:cstheme="majorBidi"/>
          <w:b/>
          <w:bCs/>
          <w:sz w:val="24"/>
          <w:szCs w:val="24"/>
        </w:rPr>
        <w:t>characteristics</w:t>
      </w:r>
      <w:bookmarkEnd w:id="0"/>
      <w:r w:rsidRPr="00343AE5">
        <w:rPr>
          <w:rFonts w:asciiTheme="majorBidi" w:hAnsiTheme="majorBidi" w:cstheme="majorBidi"/>
          <w:b/>
          <w:bCs/>
          <w:sz w:val="24"/>
          <w:szCs w:val="24"/>
        </w:rPr>
        <w:t xml:space="preserve"> of </w:t>
      </w:r>
      <w:proofErr w:type="spellStart"/>
      <w:r w:rsidRPr="00343AE5">
        <w:rPr>
          <w:rFonts w:asciiTheme="majorBidi" w:hAnsiTheme="majorBidi" w:cstheme="majorBidi"/>
          <w:b/>
          <w:bCs/>
          <w:sz w:val="24"/>
          <w:szCs w:val="24"/>
        </w:rPr>
        <w:t>cuproptosis</w:t>
      </w:r>
      <w:proofErr w:type="spellEnd"/>
    </w:p>
    <w:p w14:paraId="5372A29B" w14:textId="77777777" w:rsidR="002923E2" w:rsidRPr="00343AE5" w:rsidRDefault="002923E2" w:rsidP="005355FB">
      <w:pPr>
        <w:spacing w:line="480" w:lineRule="auto"/>
        <w:rPr>
          <w:rFonts w:ascii="Times New Roman" w:eastAsiaTheme="majorEastAsia" w:hAnsi="Times New Roman" w:cs="Times New Roman"/>
          <w:sz w:val="22"/>
        </w:rPr>
      </w:pPr>
    </w:p>
    <w:p w14:paraId="6FD506CC" w14:textId="77777777" w:rsidR="002923E2" w:rsidRPr="00343AE5" w:rsidRDefault="002923E2" w:rsidP="005355FB">
      <w:pPr>
        <w:spacing w:line="480" w:lineRule="auto"/>
        <w:rPr>
          <w:rFonts w:ascii="Times New Roman" w:eastAsiaTheme="majorEastAsia" w:hAnsi="Times New Roman" w:cs="Times New Roman"/>
          <w:sz w:val="22"/>
        </w:rPr>
      </w:pPr>
      <w:r w:rsidRPr="00343AE5">
        <w:rPr>
          <w:rFonts w:ascii="Times New Roman" w:eastAsiaTheme="majorEastAsia" w:hAnsi="Times New Roman" w:cs="Times New Roman"/>
          <w:sz w:val="22"/>
        </w:rPr>
        <w:t>Changwu Wu</w:t>
      </w:r>
      <w:r w:rsidRPr="00343AE5">
        <w:rPr>
          <w:rFonts w:ascii="Times New Roman" w:eastAsiaTheme="majorEastAsia" w:hAnsi="Times New Roman" w:cs="Times New Roman"/>
          <w:sz w:val="22"/>
          <w:vertAlign w:val="superscript"/>
        </w:rPr>
        <w:t>1</w:t>
      </w:r>
      <w:r w:rsidRPr="00343AE5">
        <w:rPr>
          <w:rFonts w:ascii="Times New Roman" w:eastAsiaTheme="majorEastAsia" w:hAnsi="Times New Roman" w:cs="Times New Roman"/>
          <w:sz w:val="22"/>
        </w:rPr>
        <w:t>, Jun Tan</w:t>
      </w:r>
      <w:r w:rsidRPr="00343AE5">
        <w:rPr>
          <w:rFonts w:ascii="Times New Roman" w:eastAsiaTheme="majorEastAsia" w:hAnsi="Times New Roman" w:cs="Times New Roman"/>
          <w:sz w:val="22"/>
          <w:vertAlign w:val="superscript"/>
        </w:rPr>
        <w:t>1</w:t>
      </w:r>
      <w:r w:rsidRPr="00343AE5">
        <w:rPr>
          <w:rFonts w:ascii="Times New Roman" w:eastAsiaTheme="majorEastAsia" w:hAnsi="Times New Roman" w:cs="Times New Roman"/>
          <w:sz w:val="22"/>
        </w:rPr>
        <w:t xml:space="preserve">, </w:t>
      </w:r>
      <w:proofErr w:type="spellStart"/>
      <w:r w:rsidRPr="00343AE5">
        <w:rPr>
          <w:rFonts w:ascii="Times New Roman" w:eastAsiaTheme="majorEastAsia" w:hAnsi="Times New Roman" w:cs="Times New Roman"/>
          <w:sz w:val="22"/>
        </w:rPr>
        <w:t>Xiangyu</w:t>
      </w:r>
      <w:proofErr w:type="spellEnd"/>
      <w:r w:rsidRPr="00343AE5">
        <w:rPr>
          <w:rFonts w:ascii="Times New Roman" w:eastAsiaTheme="majorEastAsia" w:hAnsi="Times New Roman" w:cs="Times New Roman"/>
          <w:sz w:val="22"/>
        </w:rPr>
        <w:t xml:space="preserve"> Wang</w:t>
      </w:r>
      <w:r w:rsidRPr="00343AE5">
        <w:rPr>
          <w:rFonts w:ascii="Times New Roman" w:eastAsiaTheme="majorEastAsia" w:hAnsi="Times New Roman" w:cs="Times New Roman"/>
          <w:sz w:val="22"/>
          <w:vertAlign w:val="superscript"/>
        </w:rPr>
        <w:t>1</w:t>
      </w:r>
      <w:r w:rsidRPr="00343AE5">
        <w:rPr>
          <w:rFonts w:ascii="Times New Roman" w:eastAsiaTheme="majorEastAsia" w:hAnsi="Times New Roman" w:cs="Times New Roman"/>
          <w:sz w:val="22"/>
        </w:rPr>
        <w:t xml:space="preserve">, </w:t>
      </w:r>
      <w:proofErr w:type="spellStart"/>
      <w:r w:rsidRPr="00343AE5">
        <w:rPr>
          <w:rFonts w:ascii="Times New Roman" w:eastAsiaTheme="majorEastAsia" w:hAnsi="Times New Roman" w:cs="Times New Roman"/>
          <w:sz w:val="22"/>
        </w:rPr>
        <w:t>Chaoying</w:t>
      </w:r>
      <w:proofErr w:type="spellEnd"/>
      <w:r w:rsidRPr="00343AE5">
        <w:rPr>
          <w:rFonts w:ascii="Times New Roman" w:eastAsiaTheme="majorEastAsia" w:hAnsi="Times New Roman" w:cs="Times New Roman"/>
          <w:sz w:val="22"/>
        </w:rPr>
        <w:t xml:space="preserve"> Qin</w:t>
      </w:r>
      <w:r w:rsidRPr="00343AE5">
        <w:rPr>
          <w:rFonts w:ascii="Times New Roman" w:eastAsiaTheme="majorEastAsia" w:hAnsi="Times New Roman" w:cs="Times New Roman"/>
          <w:sz w:val="22"/>
          <w:vertAlign w:val="superscript"/>
        </w:rPr>
        <w:t>1</w:t>
      </w:r>
      <w:r w:rsidRPr="00343AE5">
        <w:rPr>
          <w:rFonts w:ascii="Times New Roman" w:eastAsiaTheme="majorEastAsia" w:hAnsi="Times New Roman" w:cs="Times New Roman"/>
          <w:sz w:val="22"/>
        </w:rPr>
        <w:t>,</w:t>
      </w:r>
      <w:r w:rsidRPr="00343AE5">
        <w:rPr>
          <w:sz w:val="22"/>
        </w:rPr>
        <w:t xml:space="preserve"> </w:t>
      </w:r>
      <w:proofErr w:type="spellStart"/>
      <w:r w:rsidRPr="00343AE5">
        <w:rPr>
          <w:rFonts w:ascii="Times New Roman" w:eastAsiaTheme="majorEastAsia" w:hAnsi="Times New Roman" w:cs="Times New Roman"/>
          <w:sz w:val="22"/>
        </w:rPr>
        <w:t>Wenyong</w:t>
      </w:r>
      <w:proofErr w:type="spellEnd"/>
      <w:r w:rsidRPr="00343AE5">
        <w:rPr>
          <w:rFonts w:ascii="Times New Roman" w:eastAsiaTheme="majorEastAsia" w:hAnsi="Times New Roman" w:cs="Times New Roman"/>
          <w:sz w:val="22"/>
        </w:rPr>
        <w:t xml:space="preserve"> Long</w:t>
      </w:r>
      <w:r w:rsidRPr="00343AE5">
        <w:rPr>
          <w:rFonts w:ascii="Times New Roman" w:eastAsiaTheme="majorEastAsia" w:hAnsi="Times New Roman" w:cs="Times New Roman"/>
          <w:sz w:val="22"/>
          <w:vertAlign w:val="superscript"/>
        </w:rPr>
        <w:t>1</w:t>
      </w:r>
      <w:r w:rsidRPr="00343AE5">
        <w:rPr>
          <w:rFonts w:ascii="Times New Roman" w:eastAsiaTheme="majorEastAsia" w:hAnsi="Times New Roman" w:cs="Times New Roman"/>
          <w:sz w:val="22"/>
        </w:rPr>
        <w:t>, Yimin Pan</w:t>
      </w:r>
      <w:r w:rsidRPr="00343AE5">
        <w:rPr>
          <w:rFonts w:ascii="Times New Roman" w:eastAsiaTheme="majorEastAsia" w:hAnsi="Times New Roman" w:cs="Times New Roman"/>
          <w:sz w:val="22"/>
          <w:vertAlign w:val="superscript"/>
        </w:rPr>
        <w:t>2</w:t>
      </w:r>
      <w:r w:rsidRPr="00343AE5">
        <w:rPr>
          <w:rFonts w:ascii="Times New Roman" w:eastAsiaTheme="majorEastAsia" w:hAnsi="Times New Roman" w:cs="Times New Roman"/>
          <w:sz w:val="22"/>
        </w:rPr>
        <w:t xml:space="preserve">, </w:t>
      </w:r>
      <w:proofErr w:type="spellStart"/>
      <w:r w:rsidRPr="00343AE5">
        <w:rPr>
          <w:rFonts w:ascii="Times New Roman" w:eastAsiaTheme="majorEastAsia" w:hAnsi="Times New Roman" w:cs="Times New Roman"/>
          <w:sz w:val="22"/>
        </w:rPr>
        <w:t>Yuzhe</w:t>
      </w:r>
      <w:proofErr w:type="spellEnd"/>
      <w:r w:rsidRPr="00343AE5">
        <w:rPr>
          <w:rFonts w:ascii="Times New Roman" w:eastAsiaTheme="majorEastAsia" w:hAnsi="Times New Roman" w:cs="Times New Roman"/>
          <w:sz w:val="22"/>
        </w:rPr>
        <w:t xml:space="preserve"> Li</w:t>
      </w:r>
      <w:r w:rsidRPr="00343AE5">
        <w:rPr>
          <w:rFonts w:ascii="Times New Roman" w:eastAsiaTheme="majorEastAsia" w:hAnsi="Times New Roman" w:cs="Times New Roman"/>
          <w:sz w:val="22"/>
          <w:vertAlign w:val="superscript"/>
        </w:rPr>
        <w:t>1</w:t>
      </w:r>
      <w:r w:rsidRPr="00343AE5">
        <w:rPr>
          <w:rFonts w:ascii="Times New Roman" w:eastAsiaTheme="majorEastAsia" w:hAnsi="Times New Roman" w:cs="Times New Roman"/>
          <w:sz w:val="22"/>
        </w:rPr>
        <w:t>, Qing Liu</w:t>
      </w:r>
      <w:r w:rsidRPr="00343AE5">
        <w:rPr>
          <w:rFonts w:ascii="Times New Roman" w:eastAsiaTheme="majorEastAsia" w:hAnsi="Times New Roman" w:cs="Times New Roman"/>
          <w:sz w:val="22"/>
          <w:vertAlign w:val="superscript"/>
        </w:rPr>
        <w:t>1,</w:t>
      </w:r>
      <w:proofErr w:type="gramStart"/>
      <w:r w:rsidRPr="00343AE5">
        <w:rPr>
          <w:rFonts w:ascii="Times New Roman" w:eastAsiaTheme="majorEastAsia" w:hAnsi="Times New Roman" w:cs="Times New Roman"/>
          <w:sz w:val="22"/>
          <w:vertAlign w:val="superscript"/>
        </w:rPr>
        <w:t>3,*</w:t>
      </w:r>
      <w:proofErr w:type="gramEnd"/>
      <w:r w:rsidRPr="00343AE5">
        <w:rPr>
          <w:rFonts w:ascii="Times New Roman" w:eastAsiaTheme="majorEastAsia" w:hAnsi="Times New Roman" w:cs="Times New Roman"/>
          <w:sz w:val="22"/>
        </w:rPr>
        <w:t xml:space="preserve"> </w:t>
      </w:r>
    </w:p>
    <w:p w14:paraId="5A72C5EE" w14:textId="77777777" w:rsidR="002923E2" w:rsidRPr="00343AE5" w:rsidRDefault="002923E2" w:rsidP="005355FB">
      <w:pPr>
        <w:spacing w:line="480" w:lineRule="auto"/>
        <w:rPr>
          <w:rFonts w:ascii="Times New Roman" w:eastAsiaTheme="majorEastAsia" w:hAnsi="Times New Roman" w:cs="Times New Roman"/>
          <w:sz w:val="22"/>
        </w:rPr>
      </w:pPr>
    </w:p>
    <w:p w14:paraId="00202530" w14:textId="77777777" w:rsidR="002923E2" w:rsidRPr="00343AE5" w:rsidRDefault="002923E2" w:rsidP="005355FB">
      <w:pPr>
        <w:spacing w:line="480" w:lineRule="auto"/>
        <w:rPr>
          <w:rFonts w:ascii="Times New Roman" w:eastAsiaTheme="majorEastAsia" w:hAnsi="Times New Roman" w:cs="Times New Roman"/>
          <w:sz w:val="22"/>
        </w:rPr>
      </w:pPr>
      <w:r w:rsidRPr="00343AE5">
        <w:rPr>
          <w:rFonts w:ascii="Times New Roman" w:eastAsiaTheme="majorEastAsia" w:hAnsi="Times New Roman" w:cs="Times New Roman"/>
          <w:sz w:val="22"/>
        </w:rPr>
        <w:t xml:space="preserve">1. Department of Neurosurgery, </w:t>
      </w:r>
      <w:proofErr w:type="spellStart"/>
      <w:r w:rsidRPr="00343AE5">
        <w:rPr>
          <w:rFonts w:ascii="Times New Roman" w:eastAsiaTheme="majorEastAsia" w:hAnsi="Times New Roman" w:cs="Times New Roman"/>
          <w:sz w:val="22"/>
        </w:rPr>
        <w:t>Xiangya</w:t>
      </w:r>
      <w:proofErr w:type="spellEnd"/>
      <w:r w:rsidRPr="00343AE5">
        <w:rPr>
          <w:rFonts w:ascii="Times New Roman" w:eastAsiaTheme="majorEastAsia" w:hAnsi="Times New Roman" w:cs="Times New Roman"/>
          <w:sz w:val="22"/>
        </w:rPr>
        <w:t xml:space="preserve"> Hospital, Central-South University, Changsha, C</w:t>
      </w:r>
      <w:r w:rsidRPr="00343AE5">
        <w:rPr>
          <w:rFonts w:ascii="Times New Roman" w:eastAsiaTheme="majorEastAsia" w:hAnsi="Times New Roman" w:cs="Times New Roman" w:hint="eastAsia"/>
          <w:sz w:val="22"/>
        </w:rPr>
        <w:t>hina</w:t>
      </w:r>
      <w:r w:rsidRPr="00343AE5">
        <w:rPr>
          <w:rFonts w:ascii="Times New Roman" w:eastAsiaTheme="majorEastAsia" w:hAnsi="Times New Roman" w:cs="Times New Roman"/>
          <w:sz w:val="22"/>
        </w:rPr>
        <w:t>;</w:t>
      </w:r>
    </w:p>
    <w:p w14:paraId="6C3F613A" w14:textId="77777777" w:rsidR="002923E2" w:rsidRPr="00343AE5" w:rsidRDefault="002923E2" w:rsidP="005355FB">
      <w:pPr>
        <w:spacing w:line="480" w:lineRule="auto"/>
        <w:rPr>
          <w:rFonts w:ascii="Times New Roman" w:eastAsiaTheme="majorEastAsia" w:hAnsi="Times New Roman" w:cs="Times New Roman"/>
          <w:sz w:val="22"/>
        </w:rPr>
      </w:pPr>
      <w:r w:rsidRPr="00343AE5">
        <w:rPr>
          <w:rFonts w:ascii="Times New Roman" w:eastAsiaTheme="majorEastAsia" w:hAnsi="Times New Roman" w:cs="Times New Roman"/>
          <w:sz w:val="22"/>
        </w:rPr>
        <w:t xml:space="preserve">2. Department of Neurosurgery, </w:t>
      </w:r>
      <w:proofErr w:type="spellStart"/>
      <w:r w:rsidRPr="00343AE5">
        <w:rPr>
          <w:rFonts w:ascii="Times New Roman" w:eastAsiaTheme="majorEastAsia" w:hAnsi="Times New Roman" w:cs="Times New Roman"/>
          <w:sz w:val="22"/>
        </w:rPr>
        <w:t>Devision</w:t>
      </w:r>
      <w:proofErr w:type="spellEnd"/>
      <w:r w:rsidRPr="00343AE5">
        <w:rPr>
          <w:rFonts w:ascii="Times New Roman" w:eastAsiaTheme="majorEastAsia" w:hAnsi="Times New Roman" w:cs="Times New Roman"/>
          <w:sz w:val="22"/>
        </w:rPr>
        <w:t xml:space="preserve"> of Experimental Neurosurgery, University of Heidelberg, Heidelberg, Germany</w:t>
      </w:r>
    </w:p>
    <w:p w14:paraId="5681D027" w14:textId="77777777" w:rsidR="002923E2" w:rsidRPr="00343AE5" w:rsidRDefault="002923E2" w:rsidP="005355FB">
      <w:pPr>
        <w:spacing w:line="480" w:lineRule="auto"/>
        <w:rPr>
          <w:rFonts w:ascii="Times New Roman" w:eastAsiaTheme="majorEastAsia" w:hAnsi="Times New Roman" w:cs="Times New Roman"/>
          <w:sz w:val="22"/>
        </w:rPr>
      </w:pPr>
      <w:r w:rsidRPr="00343AE5">
        <w:rPr>
          <w:rFonts w:ascii="Times New Roman" w:eastAsiaTheme="majorEastAsia" w:hAnsi="Times New Roman" w:cs="Times New Roman"/>
          <w:sz w:val="22"/>
        </w:rPr>
        <w:t>3. Institute of Skull Base Surgery and Neuro-oncology at Hunan, Changsha, China.</w:t>
      </w:r>
    </w:p>
    <w:p w14:paraId="4D1B478D" w14:textId="77777777" w:rsidR="002923E2" w:rsidRPr="00343AE5" w:rsidRDefault="002923E2" w:rsidP="005355FB">
      <w:pPr>
        <w:spacing w:line="480" w:lineRule="auto"/>
        <w:rPr>
          <w:rFonts w:ascii="Times New Roman" w:eastAsiaTheme="majorEastAsia" w:hAnsi="Times New Roman" w:cs="Times New Roman"/>
          <w:sz w:val="22"/>
        </w:rPr>
      </w:pPr>
      <w:r w:rsidRPr="00343AE5">
        <w:rPr>
          <w:rFonts w:ascii="Times New Roman" w:eastAsiaTheme="majorEastAsia" w:hAnsi="Times New Roman" w:cs="Times New Roman"/>
          <w:sz w:val="22"/>
        </w:rPr>
        <w:t xml:space="preserve">* Corresponding author: </w:t>
      </w:r>
      <w:r w:rsidRPr="00343AE5">
        <w:rPr>
          <w:rFonts w:ascii="Times New Roman" w:eastAsiaTheme="majorEastAsia" w:hAnsi="Times New Roman" w:cs="Times New Roman"/>
          <w:i/>
          <w:iCs/>
          <w:sz w:val="22"/>
        </w:rPr>
        <w:t xml:space="preserve">Qing Liu, M.D. &amp; Ph.D., Professor and Vice Chairman, Department of Neurosurgery, </w:t>
      </w:r>
      <w:proofErr w:type="spellStart"/>
      <w:r w:rsidRPr="00343AE5">
        <w:rPr>
          <w:rFonts w:ascii="Times New Roman" w:eastAsiaTheme="majorEastAsia" w:hAnsi="Times New Roman" w:cs="Times New Roman"/>
          <w:i/>
          <w:iCs/>
          <w:sz w:val="22"/>
        </w:rPr>
        <w:t>Xiangya</w:t>
      </w:r>
      <w:proofErr w:type="spellEnd"/>
      <w:r w:rsidRPr="00343AE5">
        <w:rPr>
          <w:rFonts w:ascii="Times New Roman" w:eastAsiaTheme="majorEastAsia" w:hAnsi="Times New Roman" w:cs="Times New Roman"/>
          <w:i/>
          <w:iCs/>
          <w:sz w:val="22"/>
        </w:rPr>
        <w:t xml:space="preserve"> Hospital, Central South University, Institute of Skull Base Surgery &amp; Neuro-oncology at Hunan, 87 </w:t>
      </w:r>
      <w:proofErr w:type="spellStart"/>
      <w:r w:rsidRPr="00343AE5">
        <w:rPr>
          <w:rFonts w:ascii="Times New Roman" w:eastAsiaTheme="majorEastAsia" w:hAnsi="Times New Roman" w:cs="Times New Roman"/>
          <w:i/>
          <w:iCs/>
          <w:sz w:val="22"/>
        </w:rPr>
        <w:t>Xiangya</w:t>
      </w:r>
      <w:proofErr w:type="spellEnd"/>
      <w:r w:rsidRPr="00343AE5">
        <w:rPr>
          <w:rFonts w:ascii="Times New Roman" w:eastAsiaTheme="majorEastAsia" w:hAnsi="Times New Roman" w:cs="Times New Roman"/>
          <w:i/>
          <w:iCs/>
          <w:sz w:val="22"/>
        </w:rPr>
        <w:t xml:space="preserve"> Road, Changsha, Hunan, 410008, P.R. China E-mail: liuqingdr@csu.edu.cn</w:t>
      </w:r>
    </w:p>
    <w:p w14:paraId="2A94CED4" w14:textId="77777777" w:rsidR="002923E2" w:rsidRPr="00343AE5" w:rsidRDefault="002923E2" w:rsidP="005355FB">
      <w:pPr>
        <w:widowControl/>
        <w:spacing w:line="480" w:lineRule="auto"/>
        <w:jc w:val="left"/>
        <w:rPr>
          <w:rFonts w:ascii="Times New Roman" w:hAnsi="Times New Roman" w:cs="Times New Roman"/>
          <w:b/>
          <w:bCs/>
          <w:sz w:val="22"/>
        </w:rPr>
      </w:pPr>
      <w:r w:rsidRPr="00343AE5">
        <w:rPr>
          <w:rFonts w:ascii="Times New Roman" w:hAnsi="Times New Roman" w:cs="Times New Roman"/>
          <w:b/>
          <w:bCs/>
          <w:sz w:val="22"/>
        </w:rPr>
        <w:br w:type="page"/>
      </w:r>
    </w:p>
    <w:p w14:paraId="7274B077" w14:textId="5AA87A13" w:rsidR="00512AD4" w:rsidRPr="00343AE5" w:rsidRDefault="00512AD4" w:rsidP="005355FB">
      <w:pPr>
        <w:spacing w:line="480" w:lineRule="auto"/>
        <w:rPr>
          <w:rFonts w:asciiTheme="majorBidi" w:hAnsiTheme="majorBidi" w:cstheme="majorBidi"/>
          <w:b/>
          <w:bCs/>
          <w:sz w:val="24"/>
          <w:szCs w:val="24"/>
        </w:rPr>
      </w:pPr>
      <w:r w:rsidRPr="00343AE5">
        <w:rPr>
          <w:rFonts w:ascii="Times New Roman" w:hAnsi="Times New Roman" w:cs="Times New Roman"/>
          <w:b/>
          <w:bCs/>
          <w:sz w:val="24"/>
          <w:szCs w:val="24"/>
        </w:rPr>
        <w:lastRenderedPageBreak/>
        <w:t>Supplementary Protocols</w:t>
      </w:r>
    </w:p>
    <w:p w14:paraId="29CF765B" w14:textId="365192AC" w:rsidR="002923E2" w:rsidRPr="00343AE5" w:rsidRDefault="002923E2" w:rsidP="005355FB">
      <w:pPr>
        <w:spacing w:line="480" w:lineRule="auto"/>
        <w:rPr>
          <w:rFonts w:asciiTheme="majorBidi" w:hAnsiTheme="majorBidi" w:cstheme="majorBidi"/>
          <w:b/>
          <w:bCs/>
          <w:sz w:val="22"/>
        </w:rPr>
      </w:pPr>
      <w:r w:rsidRPr="00343AE5">
        <w:rPr>
          <w:rFonts w:asciiTheme="majorBidi" w:hAnsiTheme="majorBidi" w:cstheme="majorBidi"/>
          <w:b/>
          <w:bCs/>
          <w:sz w:val="22"/>
        </w:rPr>
        <w:t>SNV and CNV analysis</w:t>
      </w:r>
    </w:p>
    <w:p w14:paraId="16FC44A6" w14:textId="77777777" w:rsidR="002923E2" w:rsidRPr="00343AE5" w:rsidRDefault="002923E2" w:rsidP="005355FB">
      <w:pPr>
        <w:spacing w:line="480" w:lineRule="auto"/>
        <w:rPr>
          <w:rFonts w:asciiTheme="majorBidi" w:eastAsia="等线" w:hAnsiTheme="majorBidi" w:cstheme="majorBidi"/>
          <w:sz w:val="22"/>
        </w:rPr>
      </w:pPr>
      <w:r w:rsidRPr="00343AE5">
        <w:rPr>
          <w:rFonts w:asciiTheme="majorBidi" w:hAnsiTheme="majorBidi" w:cstheme="majorBidi"/>
          <w:sz w:val="22"/>
        </w:rPr>
        <w:t>The analysis of SNV and CNV was performed according to the following steps: (1)</w:t>
      </w:r>
      <w:r w:rsidRPr="00343AE5">
        <w:rPr>
          <w:sz w:val="22"/>
        </w:rPr>
        <w:t xml:space="preserve"> </w:t>
      </w:r>
      <w:r w:rsidRPr="00343AE5">
        <w:rPr>
          <w:rFonts w:asciiTheme="majorBidi" w:hAnsiTheme="majorBidi" w:cstheme="majorBidi"/>
          <w:sz w:val="22"/>
        </w:rPr>
        <w:t>The SNV data (mc3.v0.2.</w:t>
      </w:r>
      <w:proofErr w:type="gramStart"/>
      <w:r w:rsidRPr="00343AE5">
        <w:rPr>
          <w:rFonts w:asciiTheme="majorBidi" w:hAnsiTheme="majorBidi" w:cstheme="majorBidi"/>
          <w:sz w:val="22"/>
        </w:rPr>
        <w:t>8.PUBLIC</w:t>
      </w:r>
      <w:proofErr w:type="gramEnd"/>
      <w:r w:rsidRPr="00343AE5">
        <w:rPr>
          <w:rFonts w:asciiTheme="majorBidi" w:hAnsiTheme="majorBidi" w:cstheme="majorBidi"/>
          <w:sz w:val="22"/>
        </w:rPr>
        <w:t xml:space="preserve"> file), CNV data (TCGA.PANCAN. CopyNumber_Gistic2_all_thresholded.by_genes file) and clinical data of the TCGA cohort were downloaded from</w:t>
      </w:r>
      <w:r w:rsidRPr="00343AE5">
        <w:rPr>
          <w:sz w:val="22"/>
        </w:rPr>
        <w:t xml:space="preserve"> </w:t>
      </w:r>
      <w:r w:rsidRPr="00343AE5">
        <w:rPr>
          <w:rFonts w:asciiTheme="majorBidi" w:hAnsiTheme="majorBidi" w:cstheme="majorBidi"/>
          <w:sz w:val="22"/>
        </w:rPr>
        <w:t>Xena Functional Genomics Explorer (</w:t>
      </w:r>
      <w:hyperlink r:id="rId6" w:history="1">
        <w:r w:rsidRPr="00343AE5">
          <w:rPr>
            <w:rStyle w:val="a8"/>
            <w:rFonts w:asciiTheme="majorBidi" w:hAnsiTheme="majorBidi" w:cstheme="majorBidi"/>
            <w:sz w:val="22"/>
          </w:rPr>
          <w:t>https://xenabrowser.net/datapages/</w:t>
        </w:r>
      </w:hyperlink>
      <w:r w:rsidRPr="00343AE5">
        <w:rPr>
          <w:rFonts w:asciiTheme="majorBidi" w:hAnsiTheme="majorBidi" w:cstheme="majorBidi"/>
          <w:sz w:val="22"/>
        </w:rPr>
        <w:t xml:space="preserve">, accessed on March 2022). After matching, 10680 samples with both SNV, CNV and tumor type information were screened. The sample size of each tumor type was summarized in Supplementary Table S1; (2) </w:t>
      </w:r>
      <w:proofErr w:type="spellStart"/>
      <w:r w:rsidRPr="00343AE5">
        <w:rPr>
          <w:rFonts w:asciiTheme="majorBidi" w:hAnsiTheme="majorBidi" w:cstheme="majorBidi"/>
          <w:sz w:val="22"/>
        </w:rPr>
        <w:t>Extracing</w:t>
      </w:r>
      <w:proofErr w:type="spellEnd"/>
      <w:r w:rsidRPr="00343AE5">
        <w:rPr>
          <w:rFonts w:asciiTheme="majorBidi" w:hAnsiTheme="majorBidi" w:cstheme="majorBidi"/>
          <w:sz w:val="22"/>
        </w:rPr>
        <w:t xml:space="preserve"> information of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regulators from SNV and CNV data. SNV data retained</w:t>
      </w:r>
      <w:r w:rsidRPr="00343AE5">
        <w:rPr>
          <w:rFonts w:asciiTheme="majorBidi" w:eastAsia="等线" w:hAnsiTheme="majorBidi" w:cstheme="majorBidi"/>
          <w:sz w:val="22"/>
        </w:rPr>
        <w:t xml:space="preserve"> only non-silent mutations</w:t>
      </w:r>
      <w:r w:rsidRPr="00343AE5">
        <w:rPr>
          <w:rFonts w:asciiTheme="majorBidi" w:hAnsiTheme="majorBidi" w:cstheme="majorBidi"/>
          <w:sz w:val="22"/>
        </w:rPr>
        <w:t xml:space="preserve">, including </w:t>
      </w:r>
      <w:proofErr w:type="spellStart"/>
      <w:r w:rsidRPr="00343AE5">
        <w:rPr>
          <w:rFonts w:asciiTheme="majorBidi" w:hAnsiTheme="majorBidi" w:cstheme="majorBidi"/>
          <w:sz w:val="22"/>
        </w:rPr>
        <w:t>Missense_Mutation</w:t>
      </w:r>
      <w:proofErr w:type="spellEnd"/>
      <w:r w:rsidRPr="00343AE5">
        <w:rPr>
          <w:rFonts w:asciiTheme="majorBidi" w:hAnsiTheme="majorBidi" w:cstheme="majorBidi"/>
          <w:sz w:val="22"/>
        </w:rPr>
        <w:t xml:space="preserve">, </w:t>
      </w:r>
      <w:proofErr w:type="spellStart"/>
      <w:r w:rsidRPr="00343AE5">
        <w:rPr>
          <w:rFonts w:asciiTheme="majorBidi" w:hAnsiTheme="majorBidi" w:cstheme="majorBidi"/>
          <w:sz w:val="22"/>
        </w:rPr>
        <w:t>Nonsense_Mutation</w:t>
      </w:r>
      <w:proofErr w:type="spellEnd"/>
      <w:r w:rsidRPr="00343AE5">
        <w:rPr>
          <w:rFonts w:asciiTheme="majorBidi" w:hAnsiTheme="majorBidi" w:cstheme="majorBidi"/>
          <w:sz w:val="22"/>
        </w:rPr>
        <w:t xml:space="preserve">, </w:t>
      </w:r>
      <w:proofErr w:type="spellStart"/>
      <w:r w:rsidRPr="00343AE5">
        <w:rPr>
          <w:rFonts w:asciiTheme="majorBidi" w:hAnsiTheme="majorBidi" w:cstheme="majorBidi"/>
          <w:sz w:val="22"/>
        </w:rPr>
        <w:t>Frame_Shift_Del</w:t>
      </w:r>
      <w:proofErr w:type="spellEnd"/>
      <w:r w:rsidRPr="00343AE5">
        <w:rPr>
          <w:rFonts w:asciiTheme="majorBidi" w:hAnsiTheme="majorBidi" w:cstheme="majorBidi"/>
          <w:sz w:val="22"/>
        </w:rPr>
        <w:t xml:space="preserve">, </w:t>
      </w:r>
      <w:proofErr w:type="spellStart"/>
      <w:r w:rsidRPr="00343AE5">
        <w:rPr>
          <w:rFonts w:asciiTheme="majorBidi" w:hAnsiTheme="majorBidi" w:cstheme="majorBidi"/>
          <w:sz w:val="22"/>
        </w:rPr>
        <w:t>Splice_Site</w:t>
      </w:r>
      <w:proofErr w:type="spellEnd"/>
      <w:r w:rsidRPr="00343AE5">
        <w:rPr>
          <w:rFonts w:asciiTheme="majorBidi" w:hAnsiTheme="majorBidi" w:cstheme="majorBidi"/>
          <w:sz w:val="22"/>
        </w:rPr>
        <w:t xml:space="preserve">, </w:t>
      </w:r>
      <w:proofErr w:type="spellStart"/>
      <w:r w:rsidRPr="00343AE5">
        <w:rPr>
          <w:rFonts w:asciiTheme="majorBidi" w:hAnsiTheme="majorBidi" w:cstheme="majorBidi"/>
          <w:sz w:val="22"/>
        </w:rPr>
        <w:t>Frame_Shift_Ins</w:t>
      </w:r>
      <w:proofErr w:type="spellEnd"/>
      <w:r w:rsidRPr="00343AE5">
        <w:rPr>
          <w:rFonts w:asciiTheme="majorBidi" w:hAnsiTheme="majorBidi" w:cstheme="majorBidi"/>
          <w:sz w:val="22"/>
        </w:rPr>
        <w:t xml:space="preserve">, </w:t>
      </w:r>
      <w:proofErr w:type="spellStart"/>
      <w:r w:rsidRPr="00343AE5">
        <w:rPr>
          <w:rFonts w:asciiTheme="majorBidi" w:hAnsiTheme="majorBidi" w:cstheme="majorBidi"/>
          <w:sz w:val="22"/>
        </w:rPr>
        <w:t>In_Frame_Del</w:t>
      </w:r>
      <w:proofErr w:type="spellEnd"/>
      <w:r w:rsidRPr="00343AE5">
        <w:rPr>
          <w:rFonts w:asciiTheme="majorBidi" w:eastAsia="等线" w:hAnsiTheme="majorBidi" w:cstheme="majorBidi"/>
          <w:sz w:val="22"/>
        </w:rPr>
        <w:t>,</w:t>
      </w:r>
      <w:r w:rsidRPr="00343AE5">
        <w:rPr>
          <w:rFonts w:asciiTheme="majorBidi" w:hAnsiTheme="majorBidi" w:cstheme="majorBidi"/>
          <w:sz w:val="22"/>
        </w:rPr>
        <w:t xml:space="preserve"> and </w:t>
      </w:r>
      <w:proofErr w:type="spellStart"/>
      <w:r w:rsidRPr="00343AE5">
        <w:rPr>
          <w:rFonts w:asciiTheme="majorBidi" w:hAnsiTheme="majorBidi" w:cstheme="majorBidi"/>
          <w:sz w:val="22"/>
        </w:rPr>
        <w:t>Nonstop_Mutation</w:t>
      </w:r>
      <w:proofErr w:type="spellEnd"/>
      <w:r w:rsidRPr="00343AE5">
        <w:rPr>
          <w:rFonts w:asciiTheme="majorBidi" w:hAnsiTheme="majorBidi" w:cstheme="majorBidi"/>
          <w:sz w:val="22"/>
        </w:rPr>
        <w:t xml:space="preserve">; (3) According to previous studies [1], values equal to 2 in CNV data were considered as amplifications and </w:t>
      </w:r>
      <w:r w:rsidRPr="00343AE5">
        <w:rPr>
          <w:rFonts w:asciiTheme="majorBidi" w:eastAsia="等线" w:hAnsiTheme="majorBidi" w:cstheme="majorBidi"/>
          <w:sz w:val="22"/>
        </w:rPr>
        <w:t xml:space="preserve">values equal to –2 are considered as </w:t>
      </w:r>
      <w:r w:rsidRPr="00343AE5">
        <w:rPr>
          <w:rFonts w:asciiTheme="majorBidi" w:hAnsiTheme="majorBidi" w:cstheme="majorBidi"/>
          <w:sz w:val="22"/>
        </w:rPr>
        <w:t>deep deletion</w:t>
      </w:r>
      <w:r w:rsidRPr="00343AE5">
        <w:rPr>
          <w:rFonts w:asciiTheme="majorBidi" w:eastAsia="等线" w:hAnsiTheme="majorBidi" w:cstheme="majorBidi"/>
          <w:sz w:val="22"/>
        </w:rPr>
        <w:t xml:space="preserve">s; (4) Sorting out SNV and CNV information of </w:t>
      </w:r>
      <w:proofErr w:type="spellStart"/>
      <w:r w:rsidRPr="00343AE5">
        <w:rPr>
          <w:rFonts w:asciiTheme="majorBidi" w:eastAsia="等线" w:hAnsiTheme="majorBidi" w:cstheme="majorBidi"/>
          <w:sz w:val="22"/>
        </w:rPr>
        <w:t>cuproptosis</w:t>
      </w:r>
      <w:proofErr w:type="spellEnd"/>
      <w:r w:rsidRPr="00343AE5">
        <w:rPr>
          <w:rFonts w:asciiTheme="majorBidi" w:eastAsia="等线" w:hAnsiTheme="majorBidi" w:cstheme="majorBidi"/>
          <w:sz w:val="22"/>
        </w:rPr>
        <w:t xml:space="preserve"> regulators in Excel, then calculate SNV and CNV frequencies </w:t>
      </w:r>
      <w:r w:rsidRPr="00343AE5">
        <w:rPr>
          <w:rFonts w:asciiTheme="majorBidi" w:hAnsiTheme="majorBidi" w:cstheme="majorBidi"/>
          <w:sz w:val="22"/>
        </w:rPr>
        <w:t>for each tumor type using the formula: Number of SNV or CNV Samples/Number of Cancer Samples; (5) After importing SNV and CNV data into R software, use R package “</w:t>
      </w:r>
      <w:proofErr w:type="spellStart"/>
      <w:r w:rsidRPr="00343AE5">
        <w:rPr>
          <w:rFonts w:asciiTheme="majorBidi" w:hAnsiTheme="majorBidi" w:cstheme="majorBidi"/>
          <w:sz w:val="22"/>
        </w:rPr>
        <w:t>ComplexHeatmap</w:t>
      </w:r>
      <w:proofErr w:type="spellEnd"/>
      <w:r w:rsidRPr="00343AE5">
        <w:rPr>
          <w:rFonts w:asciiTheme="majorBidi" w:hAnsiTheme="majorBidi" w:cstheme="majorBidi"/>
          <w:sz w:val="22"/>
        </w:rPr>
        <w:t xml:space="preserve">” to generate </w:t>
      </w:r>
      <w:proofErr w:type="spellStart"/>
      <w:r w:rsidRPr="00343AE5">
        <w:rPr>
          <w:rFonts w:asciiTheme="majorBidi" w:eastAsia="等线" w:hAnsiTheme="majorBidi" w:cstheme="majorBidi"/>
          <w:sz w:val="22"/>
        </w:rPr>
        <w:t>OncoPrint</w:t>
      </w:r>
      <w:proofErr w:type="spellEnd"/>
      <w:r w:rsidRPr="00343AE5">
        <w:rPr>
          <w:rFonts w:asciiTheme="majorBidi" w:hAnsiTheme="majorBidi" w:cstheme="majorBidi"/>
          <w:sz w:val="22"/>
        </w:rPr>
        <w:t xml:space="preserve"> plots and heatmaps. The relevant code can be found in GitHub (https://github.com/Changwuuu/Cuproptosis-pancancer.git).</w:t>
      </w:r>
    </w:p>
    <w:p w14:paraId="66E241A2" w14:textId="77777777" w:rsidR="002923E2" w:rsidRPr="00343AE5" w:rsidRDefault="002923E2" w:rsidP="005355FB">
      <w:pPr>
        <w:spacing w:line="480" w:lineRule="auto"/>
        <w:rPr>
          <w:rFonts w:asciiTheme="majorBidi" w:hAnsiTheme="majorBidi" w:cstheme="majorBidi"/>
          <w:sz w:val="22"/>
        </w:rPr>
      </w:pPr>
    </w:p>
    <w:p w14:paraId="10FCDFF0" w14:textId="77777777" w:rsidR="002923E2" w:rsidRPr="00343AE5" w:rsidRDefault="002923E2" w:rsidP="005355FB">
      <w:pPr>
        <w:spacing w:line="480" w:lineRule="auto"/>
        <w:rPr>
          <w:rFonts w:asciiTheme="majorBidi" w:hAnsiTheme="majorBidi" w:cstheme="majorBidi"/>
          <w:b/>
          <w:bCs/>
          <w:sz w:val="22"/>
        </w:rPr>
      </w:pPr>
      <w:r w:rsidRPr="00343AE5">
        <w:rPr>
          <w:rFonts w:asciiTheme="majorBidi" w:hAnsiTheme="majorBidi" w:cstheme="majorBidi"/>
          <w:b/>
          <w:bCs/>
          <w:sz w:val="22"/>
        </w:rPr>
        <w:t xml:space="preserve">mRNA expression analysis and </w:t>
      </w:r>
      <w:proofErr w:type="spellStart"/>
      <w:r w:rsidRPr="00343AE5">
        <w:rPr>
          <w:rFonts w:asciiTheme="majorBidi" w:hAnsiTheme="majorBidi" w:cstheme="majorBidi"/>
          <w:b/>
          <w:bCs/>
          <w:sz w:val="22"/>
        </w:rPr>
        <w:t>cuproptosis</w:t>
      </w:r>
      <w:proofErr w:type="spellEnd"/>
      <w:r w:rsidRPr="00343AE5">
        <w:rPr>
          <w:rFonts w:asciiTheme="majorBidi" w:hAnsiTheme="majorBidi" w:cstheme="majorBidi"/>
          <w:b/>
          <w:bCs/>
          <w:sz w:val="22"/>
        </w:rPr>
        <w:t xml:space="preserve"> scores</w:t>
      </w:r>
    </w:p>
    <w:p w14:paraId="1C1331E2" w14:textId="56F228AB"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 xml:space="preserve">The analysis of mRNA expression was performed according to the following steps: (1) Normal </w:t>
      </w:r>
      <w:r w:rsidRPr="00343AE5">
        <w:rPr>
          <w:rFonts w:asciiTheme="majorBidi" w:hAnsiTheme="majorBidi" w:cstheme="majorBidi"/>
          <w:sz w:val="22"/>
        </w:rPr>
        <w:lastRenderedPageBreak/>
        <w:t>tissue expression data (</w:t>
      </w:r>
      <w:proofErr w:type="spellStart"/>
      <w:r w:rsidRPr="00343AE5">
        <w:rPr>
          <w:rFonts w:asciiTheme="majorBidi" w:hAnsiTheme="majorBidi" w:cstheme="majorBidi"/>
          <w:sz w:val="22"/>
        </w:rPr>
        <w:t>gtex_RSEM_Hugo_norm_count</w:t>
      </w:r>
      <w:proofErr w:type="spellEnd"/>
      <w:r w:rsidRPr="00343AE5">
        <w:rPr>
          <w:rFonts w:asciiTheme="majorBidi" w:hAnsiTheme="majorBidi" w:cstheme="majorBidi"/>
          <w:sz w:val="22"/>
        </w:rPr>
        <w:t xml:space="preserve"> file) and phenotype information from the Genotype-Tissue Expression dataset were obtained from</w:t>
      </w:r>
      <w:r w:rsidRPr="00343AE5">
        <w:rPr>
          <w:rFonts w:asciiTheme="majorBidi" w:eastAsia="等线" w:hAnsiTheme="majorBidi" w:cstheme="majorBidi"/>
          <w:sz w:val="22"/>
        </w:rPr>
        <w:t xml:space="preserve"> Xena (</w:t>
      </w:r>
      <w:r w:rsidRPr="00343AE5">
        <w:rPr>
          <w:rFonts w:asciiTheme="majorBidi" w:hAnsiTheme="majorBidi" w:cstheme="majorBidi"/>
          <w:sz w:val="22"/>
        </w:rPr>
        <w:t>accessed on March 2022)</w:t>
      </w:r>
      <w:r w:rsidRPr="00343AE5">
        <w:rPr>
          <w:rFonts w:asciiTheme="majorBidi" w:eastAsia="等线" w:hAnsiTheme="majorBidi" w:cstheme="majorBidi"/>
          <w:sz w:val="22"/>
        </w:rPr>
        <w:t xml:space="preserve">, </w:t>
      </w:r>
      <w:r w:rsidRPr="00343AE5">
        <w:rPr>
          <w:rFonts w:asciiTheme="majorBidi" w:hAnsiTheme="majorBidi" w:cstheme="majorBidi"/>
          <w:sz w:val="22"/>
        </w:rPr>
        <w:t xml:space="preserve">containing a total of 7823 samples from 28 different tissues. Then we extracted the mRNA expression of 10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regulators to compare the expression differences in different normal tissues and plotted the heatmap in Excel; (2) Gene expression data (EB++AdjustPANCAN_IlluminaHiSeq_RNASeqV2.geneExp file) for 11060 tumor patient samples from </w:t>
      </w:r>
      <w:r w:rsidRPr="00343AE5">
        <w:rPr>
          <w:rFonts w:asciiTheme="majorBidi" w:eastAsia="等线" w:hAnsiTheme="majorBidi" w:cstheme="majorBidi"/>
          <w:sz w:val="22"/>
        </w:rPr>
        <w:t>the TCGA dataset was</w:t>
      </w:r>
      <w:r w:rsidRPr="00343AE5">
        <w:rPr>
          <w:rFonts w:asciiTheme="majorBidi" w:hAnsiTheme="majorBidi" w:cstheme="majorBidi"/>
          <w:sz w:val="22"/>
        </w:rPr>
        <w:t xml:space="preserve"> obtained from Xena </w:t>
      </w:r>
      <w:r w:rsidRPr="00343AE5">
        <w:rPr>
          <w:rFonts w:asciiTheme="majorBidi" w:eastAsia="等线" w:hAnsiTheme="majorBidi" w:cstheme="majorBidi"/>
          <w:sz w:val="22"/>
        </w:rPr>
        <w:t>(</w:t>
      </w:r>
      <w:r w:rsidRPr="00343AE5">
        <w:rPr>
          <w:rFonts w:asciiTheme="majorBidi" w:hAnsiTheme="majorBidi" w:cstheme="majorBidi"/>
          <w:sz w:val="22"/>
        </w:rPr>
        <w:t>accessed on March 2022).</w:t>
      </w:r>
      <w:r w:rsidRPr="00343AE5">
        <w:rPr>
          <w:rFonts w:asciiTheme="majorBidi" w:hAnsiTheme="majorBidi" w:cstheme="majorBidi" w:hint="eastAsia"/>
          <w:sz w:val="22"/>
        </w:rPr>
        <w:t xml:space="preserve"> </w:t>
      </w:r>
      <w:bookmarkStart w:id="1" w:name="_Hlk113723958"/>
      <w:r w:rsidRPr="00343AE5">
        <w:rPr>
          <w:rFonts w:asciiTheme="majorBidi" w:hAnsiTheme="majorBidi" w:cstheme="majorBidi"/>
          <w:sz w:val="22"/>
        </w:rPr>
        <w:t xml:space="preserve">This dataset was generated by the TCGA </w:t>
      </w:r>
      <w:proofErr w:type="spellStart"/>
      <w:r w:rsidRPr="00343AE5">
        <w:rPr>
          <w:rFonts w:asciiTheme="majorBidi" w:hAnsiTheme="majorBidi" w:cstheme="majorBidi"/>
          <w:sz w:val="22"/>
        </w:rPr>
        <w:t>PanCan</w:t>
      </w:r>
      <w:proofErr w:type="spellEnd"/>
      <w:r w:rsidRPr="00343AE5">
        <w:rPr>
          <w:rFonts w:asciiTheme="majorBidi" w:hAnsiTheme="majorBidi" w:cstheme="majorBidi"/>
          <w:sz w:val="22"/>
        </w:rPr>
        <w:t xml:space="preserve"> Atlas project.</w:t>
      </w:r>
      <w:bookmarkEnd w:id="1"/>
      <w:r w:rsidRPr="00343AE5">
        <w:rPr>
          <w:rFonts w:asciiTheme="majorBidi" w:hAnsiTheme="majorBidi" w:cstheme="majorBidi"/>
          <w:sz w:val="22"/>
        </w:rPr>
        <w:t xml:space="preserve"> For comparison across all TCGA samples, it </w:t>
      </w:r>
      <w:bookmarkStart w:id="2" w:name="_Hlk113723891"/>
      <w:r w:rsidRPr="00343AE5">
        <w:rPr>
          <w:rFonts w:asciiTheme="majorBidi" w:hAnsiTheme="majorBidi" w:cstheme="majorBidi"/>
          <w:sz w:val="22"/>
        </w:rPr>
        <w:t>has been normalized for batch effects</w:t>
      </w:r>
      <w:bookmarkEnd w:id="2"/>
      <w:r w:rsidRPr="00343AE5">
        <w:rPr>
          <w:rFonts w:asciiTheme="majorBidi" w:hAnsiTheme="majorBidi" w:cstheme="majorBidi"/>
          <w:sz w:val="22"/>
        </w:rPr>
        <w:t xml:space="preserve"> using</w:t>
      </w:r>
      <w:r w:rsidRPr="00343AE5">
        <w:rPr>
          <w:sz w:val="22"/>
        </w:rPr>
        <w:t xml:space="preserve"> </w:t>
      </w:r>
      <w:r w:rsidRPr="00343AE5">
        <w:rPr>
          <w:rFonts w:asciiTheme="majorBidi" w:hAnsiTheme="majorBidi" w:cstheme="majorBidi"/>
          <w:sz w:val="22"/>
        </w:rPr>
        <w:t>a novel algorithm called EB++ and the expression data was log2(x+1) transformed. Specific details of the correction of batch effects can be found in the publication of Hoadley et al [2]. A large number of high-quality studies used this dataset (</w:t>
      </w:r>
      <w:hyperlink r:id="rId7" w:history="1">
        <w:r w:rsidRPr="00343AE5">
          <w:rPr>
            <w:rStyle w:val="a8"/>
            <w:rFonts w:asciiTheme="majorBidi" w:hAnsiTheme="majorBidi" w:cstheme="majorBidi"/>
            <w:sz w:val="22"/>
          </w:rPr>
          <w:t>https://www.cell.com/pb-assets/consortium/pancanceratlas/pancani3/index.html</w:t>
        </w:r>
      </w:hyperlink>
      <w:r w:rsidRPr="00343AE5">
        <w:rPr>
          <w:rFonts w:asciiTheme="majorBidi" w:hAnsiTheme="majorBidi" w:cstheme="majorBidi"/>
          <w:sz w:val="22"/>
        </w:rPr>
        <w:t xml:space="preserve">); (3) The interaction network between </w:t>
      </w:r>
      <w:r w:rsidRPr="00343AE5">
        <w:rPr>
          <w:rFonts w:asciiTheme="majorBidi" w:eastAsia="等线" w:hAnsiTheme="majorBidi" w:cstheme="majorBidi"/>
          <w:sz w:val="22"/>
        </w:rPr>
        <w:t xml:space="preserve">the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regulators was constructed using the STRING database (</w:t>
      </w:r>
      <w:hyperlink r:id="rId8" w:history="1">
        <w:r w:rsidRPr="00343AE5">
          <w:rPr>
            <w:rStyle w:val="a8"/>
            <w:rFonts w:asciiTheme="majorBidi" w:hAnsiTheme="majorBidi" w:cstheme="majorBidi"/>
            <w:sz w:val="22"/>
          </w:rPr>
          <w:t>https://string-db.org/</w:t>
        </w:r>
      </w:hyperlink>
      <w:r w:rsidRPr="00343AE5">
        <w:rPr>
          <w:rFonts w:asciiTheme="majorBidi" w:hAnsiTheme="majorBidi" w:cstheme="majorBidi"/>
          <w:sz w:val="22"/>
        </w:rPr>
        <w:t xml:space="preserve">). After entering the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 we used the default parameters (medium confidence, full STRING network) to build the PPI network; (4) For differential expression analysis between tumor tissue and normal tissue, only 17 tumor types containing more than five pairs of tumor and normal samples were included. The fold change was calculated as the ratio of the mean of the tumor sample expression to the mean of the normal sample expression, and the </w:t>
      </w:r>
      <w:r w:rsidR="00F21F54" w:rsidRPr="008D124A">
        <w:rPr>
          <w:rFonts w:asciiTheme="majorBidi" w:hAnsiTheme="majorBidi" w:cstheme="majorBidi"/>
          <w:i/>
          <w:iCs/>
          <w:sz w:val="22"/>
        </w:rPr>
        <w:t>P</w:t>
      </w:r>
      <w:r w:rsidRPr="00343AE5">
        <w:rPr>
          <w:rFonts w:asciiTheme="majorBidi" w:hAnsiTheme="majorBidi" w:cstheme="majorBidi"/>
          <w:sz w:val="22"/>
        </w:rPr>
        <w:t>-value was obtained using the t-test; (5) For cluster analysis,</w:t>
      </w:r>
      <w:r w:rsidRPr="00343AE5">
        <w:rPr>
          <w:sz w:val="22"/>
        </w:rPr>
        <w:t xml:space="preserve"> </w:t>
      </w:r>
      <w:r w:rsidRPr="00343AE5">
        <w:rPr>
          <w:rFonts w:asciiTheme="majorBidi" w:hAnsiTheme="majorBidi" w:cstheme="majorBidi"/>
          <w:sz w:val="22"/>
        </w:rPr>
        <w:t xml:space="preserve">we first extracted the mRNA expression data of 10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regulators from all tumor samples and constructed an expression matrix. Based on this, we performed an unsupervised consensus clustering analysis using the PAM algorithm based on the R package </w:t>
      </w:r>
      <w:r w:rsidRPr="00343AE5">
        <w:rPr>
          <w:rFonts w:asciiTheme="majorBidi" w:hAnsiTheme="majorBidi" w:cstheme="majorBidi"/>
          <w:sz w:val="22"/>
        </w:rPr>
        <w:lastRenderedPageBreak/>
        <w:t>“</w:t>
      </w:r>
      <w:proofErr w:type="spellStart"/>
      <w:r w:rsidRPr="00343AE5">
        <w:rPr>
          <w:rFonts w:asciiTheme="majorBidi" w:hAnsiTheme="majorBidi" w:cstheme="majorBidi"/>
          <w:sz w:val="22"/>
        </w:rPr>
        <w:t>ConsensusClusterPlus</w:t>
      </w:r>
      <w:proofErr w:type="spellEnd"/>
      <w:r w:rsidRPr="00343AE5">
        <w:rPr>
          <w:rFonts w:asciiTheme="majorBidi" w:hAnsiTheme="majorBidi" w:cstheme="majorBidi"/>
          <w:sz w:val="22"/>
        </w:rPr>
        <w:t xml:space="preserve">” to identify potential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-related clusters. A total of 1 000 bootstrap runs were performed, with each bootstrap including 80% of </w:t>
      </w:r>
      <w:r w:rsidRPr="00343AE5">
        <w:rPr>
          <w:rFonts w:asciiTheme="majorBidi" w:eastAsia="等线" w:hAnsiTheme="majorBidi" w:cstheme="majorBidi"/>
          <w:sz w:val="22"/>
        </w:rPr>
        <w:t>the patients and the number of clusters set to 2–10.</w:t>
      </w:r>
      <w:r w:rsidRPr="00343AE5">
        <w:rPr>
          <w:rFonts w:asciiTheme="majorBidi" w:hAnsiTheme="majorBidi" w:cstheme="majorBidi"/>
          <w:sz w:val="22"/>
        </w:rPr>
        <w:t xml:space="preserve"> The consensus cumulative distribution function and delta area were used to define the optimal number of clusters [3]. Clinical information and clusters were then matched by barcode for each sample. Comparing survival differences between cluster1 and cluster2 using the single-variable survival analysis tool in </w:t>
      </w:r>
      <w:proofErr w:type="spellStart"/>
      <w:r w:rsidRPr="00343AE5">
        <w:rPr>
          <w:rFonts w:asciiTheme="majorBidi" w:hAnsiTheme="majorBidi" w:cstheme="majorBidi"/>
          <w:sz w:val="22"/>
        </w:rPr>
        <w:t>Sangebox</w:t>
      </w:r>
      <w:proofErr w:type="spellEnd"/>
      <w:r w:rsidRPr="00343AE5">
        <w:rPr>
          <w:rFonts w:asciiTheme="majorBidi" w:hAnsiTheme="majorBidi" w:cstheme="majorBidi"/>
          <w:sz w:val="22"/>
        </w:rPr>
        <w:t xml:space="preserve"> (</w:t>
      </w:r>
      <w:hyperlink r:id="rId9" w:history="1">
        <w:r w:rsidRPr="00343AE5">
          <w:rPr>
            <w:rStyle w:val="a8"/>
            <w:rFonts w:asciiTheme="majorBidi" w:hAnsiTheme="majorBidi" w:cstheme="majorBidi"/>
            <w:sz w:val="22"/>
          </w:rPr>
          <w:t>http://sangerbox.com/Tool</w:t>
        </w:r>
      </w:hyperlink>
      <w:r w:rsidRPr="00343AE5">
        <w:rPr>
          <w:rFonts w:asciiTheme="majorBidi" w:hAnsiTheme="majorBidi" w:cstheme="majorBidi"/>
          <w:sz w:val="22"/>
        </w:rPr>
        <w:t>) [4].</w:t>
      </w:r>
    </w:p>
    <w:p w14:paraId="276D64B9" w14:textId="77777777" w:rsidR="002923E2" w:rsidRPr="00343AE5" w:rsidRDefault="002923E2" w:rsidP="005355FB">
      <w:pPr>
        <w:spacing w:line="480" w:lineRule="auto"/>
        <w:rPr>
          <w:rFonts w:asciiTheme="majorBidi" w:hAnsiTheme="majorBidi" w:cstheme="majorBidi"/>
          <w:sz w:val="22"/>
        </w:rPr>
      </w:pPr>
    </w:p>
    <w:p w14:paraId="2ABDDAD6" w14:textId="77777777"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 xml:space="preserve">For the generation of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scores, we used a previously reported method [5-8].</w:t>
      </w:r>
      <w:r w:rsidRPr="00343AE5">
        <w:rPr>
          <w:rFonts w:asciiTheme="majorBidi" w:hAnsiTheme="majorBidi" w:cstheme="majorBidi"/>
          <w:sz w:val="22"/>
          <w:vertAlign w:val="superscript"/>
        </w:rPr>
        <w:t xml:space="preserve"> </w:t>
      </w:r>
      <w:r w:rsidRPr="00343AE5">
        <w:rPr>
          <w:rFonts w:asciiTheme="majorBidi" w:hAnsiTheme="majorBidi" w:cstheme="majorBidi"/>
          <w:sz w:val="22"/>
        </w:rPr>
        <w:t>Firstly, we constructed a “</w:t>
      </w:r>
      <w:proofErr w:type="spellStart"/>
      <w:r w:rsidRPr="00343AE5">
        <w:rPr>
          <w:rFonts w:asciiTheme="majorBidi" w:hAnsiTheme="majorBidi" w:cstheme="majorBidi"/>
          <w:sz w:val="22"/>
        </w:rPr>
        <w:t>gmt</w:t>
      </w:r>
      <w:proofErr w:type="spellEnd"/>
      <w:r w:rsidRPr="00343AE5">
        <w:rPr>
          <w:rFonts w:asciiTheme="majorBidi" w:hAnsiTheme="majorBidi" w:cstheme="majorBidi"/>
          <w:sz w:val="22"/>
        </w:rPr>
        <w:t xml:space="preserve">” file containing gene sets of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positive regulators and negative regulators. Subsequently, the gene set enrichment scores of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positive regulators and negative regulators were calculated using GSVA algorithm based on the mRNA expression of all samples. The gene set enrichment scores of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positive regulators and negative regulators were defined as </w:t>
      </w:r>
      <w:r w:rsidRPr="00343AE5">
        <w:rPr>
          <w:rFonts w:asciiTheme="majorBidi" w:eastAsia="等线" w:hAnsiTheme="majorBidi" w:cstheme="majorBidi"/>
          <w:sz w:val="22"/>
        </w:rPr>
        <w:t xml:space="preserve">the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positive score and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negative score, respectively. Then the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activity score was </w:t>
      </w:r>
      <w:proofErr w:type="spellStart"/>
      <w:r w:rsidRPr="00343AE5">
        <w:rPr>
          <w:rFonts w:asciiTheme="majorBidi" w:hAnsiTheme="majorBidi" w:cstheme="majorBidi"/>
          <w:sz w:val="22"/>
        </w:rPr>
        <w:t>caculated</w:t>
      </w:r>
      <w:proofErr w:type="spellEnd"/>
      <w:r w:rsidRPr="00343AE5">
        <w:rPr>
          <w:rFonts w:asciiTheme="majorBidi" w:hAnsiTheme="majorBidi" w:cstheme="majorBidi"/>
          <w:sz w:val="22"/>
        </w:rPr>
        <w:t xml:space="preserve"> using the formula:</w:t>
      </w:r>
    </w:p>
    <w:p w14:paraId="5080FE1C" w14:textId="2AF0D6AC" w:rsidR="002923E2" w:rsidRPr="00343AE5" w:rsidRDefault="002923E2" w:rsidP="005355FB">
      <w:pPr>
        <w:spacing w:line="480" w:lineRule="auto"/>
        <w:jc w:val="center"/>
        <w:rPr>
          <w:rFonts w:asciiTheme="majorBidi" w:hAnsiTheme="majorBidi" w:cstheme="majorBidi"/>
          <w:color w:val="FF0000"/>
          <w:sz w:val="22"/>
        </w:rPr>
      </w:pP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activity score =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positive score -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w:t>
      </w:r>
      <w:r w:rsidR="008D124A" w:rsidRPr="00343AE5">
        <w:rPr>
          <w:rFonts w:asciiTheme="majorBidi" w:hAnsiTheme="majorBidi" w:cstheme="majorBidi"/>
          <w:sz w:val="22"/>
        </w:rPr>
        <w:t>negative</w:t>
      </w:r>
      <w:r w:rsidRPr="00343AE5">
        <w:rPr>
          <w:rFonts w:asciiTheme="majorBidi" w:hAnsiTheme="majorBidi" w:cstheme="majorBidi"/>
          <w:sz w:val="22"/>
        </w:rPr>
        <w:t xml:space="preserve"> score</w:t>
      </w:r>
    </w:p>
    <w:p w14:paraId="7FA1651D" w14:textId="77777777" w:rsidR="002923E2" w:rsidRPr="00343AE5" w:rsidRDefault="002923E2" w:rsidP="005355FB">
      <w:pPr>
        <w:spacing w:line="480" w:lineRule="auto"/>
        <w:rPr>
          <w:rFonts w:asciiTheme="majorBidi" w:hAnsiTheme="majorBidi" w:cstheme="majorBidi"/>
          <w:sz w:val="22"/>
        </w:rPr>
      </w:pPr>
    </w:p>
    <w:p w14:paraId="6DB10DC8" w14:textId="7080FF4D"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 xml:space="preserve">For the identification of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phenotype-related genes, we performed the spearman correlation analysis between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activity score and all genes. Only genes with the absolute values of correlation coefficients &gt;</w:t>
      </w:r>
      <w:r w:rsidR="00F21F54">
        <w:rPr>
          <w:rFonts w:asciiTheme="majorBidi" w:hAnsiTheme="majorBidi" w:cstheme="majorBidi"/>
          <w:sz w:val="22"/>
        </w:rPr>
        <w:t xml:space="preserve"> </w:t>
      </w:r>
      <w:r w:rsidRPr="00343AE5">
        <w:rPr>
          <w:rFonts w:asciiTheme="majorBidi" w:hAnsiTheme="majorBidi" w:cstheme="majorBidi"/>
          <w:sz w:val="22"/>
        </w:rPr>
        <w:t xml:space="preserve">0. 3 and </w:t>
      </w:r>
      <w:r w:rsidRPr="00A548A8">
        <w:rPr>
          <w:rFonts w:asciiTheme="majorBidi" w:hAnsiTheme="majorBidi" w:cstheme="majorBidi"/>
          <w:i/>
          <w:iCs/>
          <w:sz w:val="22"/>
        </w:rPr>
        <w:t>P</w:t>
      </w:r>
      <w:r w:rsidR="00F21F54">
        <w:rPr>
          <w:rFonts w:asciiTheme="majorBidi" w:hAnsiTheme="majorBidi" w:cstheme="majorBidi"/>
          <w:sz w:val="22"/>
        </w:rPr>
        <w:t xml:space="preserve"> </w:t>
      </w:r>
      <w:r w:rsidRPr="00343AE5">
        <w:rPr>
          <w:rFonts w:asciiTheme="majorBidi" w:hAnsiTheme="majorBidi" w:cstheme="majorBidi"/>
          <w:sz w:val="22"/>
        </w:rPr>
        <w:t>&lt;</w:t>
      </w:r>
      <w:r w:rsidR="00F21F54">
        <w:rPr>
          <w:rFonts w:asciiTheme="majorBidi" w:hAnsiTheme="majorBidi" w:cstheme="majorBidi"/>
          <w:sz w:val="22"/>
        </w:rPr>
        <w:t xml:space="preserve"> </w:t>
      </w:r>
      <w:r w:rsidRPr="00343AE5">
        <w:rPr>
          <w:rFonts w:asciiTheme="majorBidi" w:hAnsiTheme="majorBidi" w:cstheme="majorBidi"/>
          <w:sz w:val="22"/>
        </w:rPr>
        <w:t xml:space="preserve">0. 001 were defined as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-related genes. Subsequently, GO enrichment analysis and KEGG pathway analysis of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--related genes were performed using the R package “</w:t>
      </w:r>
      <w:proofErr w:type="spellStart"/>
      <w:r w:rsidRPr="00343AE5">
        <w:rPr>
          <w:rFonts w:asciiTheme="majorBidi" w:hAnsiTheme="majorBidi" w:cstheme="majorBidi"/>
          <w:sz w:val="22"/>
        </w:rPr>
        <w:t>clusterProfiler</w:t>
      </w:r>
      <w:proofErr w:type="spellEnd"/>
      <w:r w:rsidRPr="00343AE5">
        <w:rPr>
          <w:rFonts w:asciiTheme="majorBidi" w:hAnsiTheme="majorBidi" w:cstheme="majorBidi"/>
          <w:sz w:val="22"/>
        </w:rPr>
        <w:t xml:space="preserve">”. We extracted </w:t>
      </w:r>
      <w:r w:rsidRPr="00343AE5">
        <w:rPr>
          <w:rFonts w:asciiTheme="majorBidi" w:hAnsiTheme="majorBidi" w:cstheme="majorBidi"/>
          <w:sz w:val="22"/>
        </w:rPr>
        <w:lastRenderedPageBreak/>
        <w:t>the top 10 terms from GO enrichment analysis and the top 30 terms from KEGG pathway analysis for visualization respectively.</w:t>
      </w:r>
    </w:p>
    <w:p w14:paraId="3C6AA26D" w14:textId="77777777" w:rsidR="002923E2" w:rsidRPr="00343AE5" w:rsidRDefault="002923E2" w:rsidP="005355FB">
      <w:pPr>
        <w:spacing w:line="480" w:lineRule="auto"/>
        <w:rPr>
          <w:rFonts w:asciiTheme="majorBidi" w:hAnsiTheme="majorBidi" w:cstheme="majorBidi"/>
          <w:b/>
          <w:bCs/>
          <w:sz w:val="22"/>
        </w:rPr>
      </w:pPr>
    </w:p>
    <w:p w14:paraId="61E5F14F" w14:textId="77777777" w:rsidR="002923E2" w:rsidRPr="00343AE5" w:rsidRDefault="002923E2" w:rsidP="005355FB">
      <w:pPr>
        <w:spacing w:line="480" w:lineRule="auto"/>
        <w:rPr>
          <w:rFonts w:asciiTheme="majorBidi" w:hAnsiTheme="majorBidi" w:cstheme="majorBidi"/>
          <w:b/>
          <w:bCs/>
          <w:sz w:val="22"/>
        </w:rPr>
      </w:pPr>
      <w:r w:rsidRPr="00343AE5">
        <w:rPr>
          <w:rFonts w:asciiTheme="majorBidi" w:hAnsiTheme="majorBidi" w:cstheme="majorBidi"/>
          <w:b/>
          <w:bCs/>
          <w:sz w:val="22"/>
        </w:rPr>
        <w:t>Methylation analysis</w:t>
      </w:r>
    </w:p>
    <w:p w14:paraId="4D674900" w14:textId="77777777" w:rsidR="002923E2" w:rsidRPr="00343AE5" w:rsidRDefault="002923E2" w:rsidP="005355FB">
      <w:pPr>
        <w:spacing w:line="480" w:lineRule="auto"/>
        <w:rPr>
          <w:rFonts w:asciiTheme="majorBidi" w:eastAsia="等线" w:hAnsiTheme="majorBidi" w:cstheme="majorBidi"/>
          <w:sz w:val="22"/>
        </w:rPr>
      </w:pPr>
      <w:r w:rsidRPr="00343AE5">
        <w:rPr>
          <w:rFonts w:asciiTheme="majorBidi" w:hAnsiTheme="majorBidi" w:cstheme="majorBidi"/>
          <w:sz w:val="22"/>
        </w:rPr>
        <w:t xml:space="preserve">DNA methylation data (PANCAN_HumanMethylation450.betaValue file) for TCGA samples (Methylation450K, n = 9 639) were obtained from Xena (accessed on March 2022). We extracted all the probes corresponding to the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 based on the probe map, and subsequently screened the probes corresponding to the promoter region of the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 by MEXPRESS (</w:t>
      </w:r>
      <w:hyperlink r:id="rId10" w:history="1">
        <w:r w:rsidRPr="00343AE5">
          <w:rPr>
            <w:rStyle w:val="a8"/>
            <w:rFonts w:asciiTheme="majorBidi" w:hAnsiTheme="majorBidi" w:cstheme="majorBidi"/>
            <w:sz w:val="22"/>
          </w:rPr>
          <w:t>https://mexpress.be/</w:t>
        </w:r>
      </w:hyperlink>
      <w:r w:rsidRPr="00343AE5">
        <w:rPr>
          <w:rFonts w:asciiTheme="majorBidi" w:hAnsiTheme="majorBidi" w:cstheme="majorBidi"/>
          <w:sz w:val="22"/>
        </w:rPr>
        <w:t>).</w:t>
      </w:r>
      <w:r w:rsidRPr="00343AE5">
        <w:rPr>
          <w:rFonts w:asciiTheme="majorBidi" w:hAnsiTheme="majorBidi" w:cstheme="majorBidi" w:hint="eastAsia"/>
          <w:sz w:val="22"/>
        </w:rPr>
        <w:t xml:space="preserve"> </w:t>
      </w:r>
      <w:r w:rsidRPr="00343AE5">
        <w:rPr>
          <w:rFonts w:asciiTheme="majorBidi" w:hAnsiTheme="majorBidi" w:cstheme="majorBidi"/>
          <w:sz w:val="22"/>
        </w:rPr>
        <w:t xml:space="preserve">Only those probes that mapped to the promoter region of the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 </w:t>
      </w:r>
      <w:r w:rsidRPr="00343AE5">
        <w:rPr>
          <w:rFonts w:asciiTheme="majorBidi" w:eastAsia="等线" w:hAnsiTheme="majorBidi" w:cstheme="majorBidi"/>
          <w:sz w:val="22"/>
        </w:rPr>
        <w:t>were used for subsequent analysis.</w:t>
      </w:r>
      <w:r w:rsidRPr="00343AE5">
        <w:rPr>
          <w:rFonts w:asciiTheme="majorBidi" w:hAnsiTheme="majorBidi" w:cstheme="majorBidi"/>
          <w:sz w:val="22"/>
        </w:rPr>
        <w:t xml:space="preserve"> After extracting the methylation β values corresponding to these probes, the mean β value of the promoter region probes of single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 </w:t>
      </w:r>
      <w:r w:rsidRPr="00343AE5">
        <w:rPr>
          <w:rFonts w:asciiTheme="majorBidi" w:eastAsia="等线" w:hAnsiTheme="majorBidi" w:cstheme="majorBidi"/>
          <w:sz w:val="22"/>
        </w:rPr>
        <w:t xml:space="preserve">was used as the methylation level. The methylation levels of the </w:t>
      </w:r>
      <w:proofErr w:type="spellStart"/>
      <w:r w:rsidRPr="00343AE5">
        <w:rPr>
          <w:rFonts w:asciiTheme="majorBidi" w:eastAsia="等线" w:hAnsiTheme="majorBidi" w:cstheme="majorBidi"/>
          <w:sz w:val="22"/>
        </w:rPr>
        <w:t>cuproptosis</w:t>
      </w:r>
      <w:proofErr w:type="spellEnd"/>
      <w:r w:rsidRPr="00343AE5">
        <w:rPr>
          <w:rFonts w:asciiTheme="majorBidi" w:eastAsia="等线" w:hAnsiTheme="majorBidi" w:cstheme="majorBidi"/>
          <w:sz w:val="22"/>
        </w:rPr>
        <w:t xml:space="preserve"> regulators were then matched to the clinical data based on the barcode of each sample. </w:t>
      </w:r>
    </w:p>
    <w:p w14:paraId="0E687505" w14:textId="77777777" w:rsidR="002923E2" w:rsidRPr="00343AE5" w:rsidRDefault="002923E2" w:rsidP="005355FB">
      <w:pPr>
        <w:spacing w:line="480" w:lineRule="auto"/>
        <w:rPr>
          <w:rFonts w:asciiTheme="majorBidi" w:eastAsia="等线" w:hAnsiTheme="majorBidi" w:cstheme="majorBidi"/>
          <w:sz w:val="22"/>
        </w:rPr>
      </w:pPr>
    </w:p>
    <w:p w14:paraId="585E097F" w14:textId="3EC40B3E" w:rsidR="002923E2" w:rsidRPr="00343AE5" w:rsidRDefault="002923E2" w:rsidP="005355FB">
      <w:pPr>
        <w:spacing w:line="480" w:lineRule="auto"/>
        <w:rPr>
          <w:rFonts w:asciiTheme="majorBidi" w:eastAsia="等线" w:hAnsiTheme="majorBidi" w:cstheme="majorBidi"/>
          <w:sz w:val="22"/>
        </w:rPr>
      </w:pPr>
      <w:r w:rsidRPr="00343AE5">
        <w:rPr>
          <w:rFonts w:asciiTheme="majorBidi" w:eastAsia="等线" w:hAnsiTheme="majorBidi" w:cstheme="majorBidi"/>
          <w:sz w:val="22"/>
        </w:rPr>
        <w:t xml:space="preserve">For the </w:t>
      </w:r>
      <w:r w:rsidRPr="00343AE5">
        <w:rPr>
          <w:rFonts w:asciiTheme="majorBidi" w:hAnsiTheme="majorBidi" w:cstheme="majorBidi"/>
          <w:sz w:val="22"/>
        </w:rPr>
        <w:t>differential methylation analysis</w:t>
      </w:r>
      <w:r w:rsidRPr="00343AE5">
        <w:rPr>
          <w:rFonts w:asciiTheme="majorBidi" w:eastAsia="等线" w:hAnsiTheme="majorBidi" w:cstheme="majorBidi"/>
          <w:sz w:val="22"/>
        </w:rPr>
        <w:t>, only 16 tumor</w:t>
      </w:r>
      <w:r w:rsidRPr="00343AE5">
        <w:rPr>
          <w:rFonts w:asciiTheme="majorBidi" w:hAnsiTheme="majorBidi" w:cstheme="majorBidi"/>
          <w:sz w:val="22"/>
        </w:rPr>
        <w:t xml:space="preserve"> types with at least five tumor–normal pairs were retained. Then the fold changes and </w:t>
      </w:r>
      <w:r w:rsidR="00F21F54" w:rsidRPr="00A548A8">
        <w:rPr>
          <w:rFonts w:asciiTheme="majorBidi" w:hAnsiTheme="majorBidi" w:cstheme="majorBidi"/>
          <w:i/>
          <w:iCs/>
          <w:sz w:val="22"/>
        </w:rPr>
        <w:t>P</w:t>
      </w:r>
      <w:r w:rsidRPr="00343AE5">
        <w:rPr>
          <w:rFonts w:asciiTheme="majorBidi" w:hAnsiTheme="majorBidi" w:cstheme="majorBidi"/>
          <w:sz w:val="22"/>
        </w:rPr>
        <w:t xml:space="preserve">-values were calculated using the same method as that used for differential mRNA expression analysis. Subsequently, after integrating the methylation and gene expression data of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regulators, correlations and p-values were determined using Spearman</w:t>
      </w:r>
      <w:r w:rsidRPr="00343AE5">
        <w:rPr>
          <w:rFonts w:asciiTheme="majorBidi" w:eastAsia="等线" w:hAnsiTheme="majorBidi" w:cstheme="majorBidi"/>
          <w:sz w:val="22"/>
        </w:rPr>
        <w:t>’s correlation analysis for each tumor type.</w:t>
      </w:r>
      <w:r w:rsidRPr="00343AE5">
        <w:rPr>
          <w:rFonts w:asciiTheme="majorBidi" w:hAnsiTheme="majorBidi" w:cstheme="majorBidi"/>
          <w:sz w:val="22"/>
        </w:rPr>
        <w:t xml:space="preserve"> After extracting significant results, visualize them using the bubble plotting tool in </w:t>
      </w:r>
      <w:proofErr w:type="spellStart"/>
      <w:r w:rsidRPr="00343AE5">
        <w:rPr>
          <w:rFonts w:asciiTheme="majorBidi" w:hAnsiTheme="majorBidi" w:cstheme="majorBidi"/>
          <w:sz w:val="22"/>
        </w:rPr>
        <w:t>Sangerbox</w:t>
      </w:r>
      <w:proofErr w:type="spellEnd"/>
      <w:r w:rsidRPr="00343AE5">
        <w:rPr>
          <w:rFonts w:asciiTheme="majorBidi" w:hAnsiTheme="majorBidi" w:cstheme="majorBidi"/>
          <w:sz w:val="22"/>
        </w:rPr>
        <w:t>.</w:t>
      </w:r>
      <w:r w:rsidRPr="00343AE5">
        <w:rPr>
          <w:rFonts w:asciiTheme="majorBidi" w:eastAsia="等线" w:hAnsiTheme="majorBidi" w:cstheme="majorBidi"/>
          <w:sz w:val="22"/>
        </w:rPr>
        <w:t xml:space="preserve"> </w:t>
      </w:r>
      <w:r w:rsidRPr="00343AE5">
        <w:rPr>
          <w:rFonts w:asciiTheme="majorBidi" w:hAnsiTheme="majorBidi" w:cstheme="majorBidi"/>
          <w:sz w:val="22"/>
        </w:rPr>
        <w:t xml:space="preserve">After combining the methylation data of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regulators and survival data, the hazard ratio of regulator </w:t>
      </w:r>
      <w:r w:rsidRPr="00343AE5">
        <w:rPr>
          <w:rFonts w:asciiTheme="majorBidi" w:hAnsiTheme="majorBidi" w:cstheme="majorBidi"/>
          <w:sz w:val="22"/>
        </w:rPr>
        <w:lastRenderedPageBreak/>
        <w:t xml:space="preserve">methylation was calculated based on the Cox regression analysis in </w:t>
      </w:r>
      <w:proofErr w:type="spellStart"/>
      <w:r w:rsidRPr="00343AE5">
        <w:rPr>
          <w:rFonts w:asciiTheme="majorBidi" w:hAnsiTheme="majorBidi" w:cstheme="majorBidi"/>
          <w:sz w:val="22"/>
        </w:rPr>
        <w:t>Sangerbox</w:t>
      </w:r>
      <w:proofErr w:type="spellEnd"/>
      <w:r w:rsidRPr="00343AE5">
        <w:rPr>
          <w:rFonts w:asciiTheme="majorBidi" w:hAnsiTheme="majorBidi" w:cstheme="majorBidi"/>
          <w:sz w:val="22"/>
        </w:rPr>
        <w:t xml:space="preserve">. Hazard ratio &gt; 1 represented high methylation associated with poor OS, which indicates </w:t>
      </w:r>
      <w:r w:rsidRPr="00343AE5">
        <w:rPr>
          <w:rFonts w:asciiTheme="majorBidi" w:eastAsia="等线" w:hAnsiTheme="majorBidi" w:cstheme="majorBidi"/>
          <w:sz w:val="22"/>
        </w:rPr>
        <w:t xml:space="preserve">a </w:t>
      </w:r>
      <w:r w:rsidRPr="00343AE5">
        <w:rPr>
          <w:rFonts w:asciiTheme="majorBidi" w:hAnsiTheme="majorBidi" w:cstheme="majorBidi"/>
          <w:sz w:val="22"/>
        </w:rPr>
        <w:t xml:space="preserve">high risk. Each tumor type was divided into two groups based on the median methylation level of each regulator and a log-rank test was performed to calculate the </w:t>
      </w:r>
      <w:r w:rsidR="00F21F54" w:rsidRPr="00A548A8">
        <w:rPr>
          <w:rFonts w:asciiTheme="majorBidi" w:hAnsiTheme="majorBidi" w:cstheme="majorBidi"/>
          <w:i/>
          <w:iCs/>
          <w:sz w:val="22"/>
        </w:rPr>
        <w:t>P</w:t>
      </w:r>
      <w:r w:rsidRPr="00343AE5">
        <w:rPr>
          <w:rFonts w:asciiTheme="majorBidi" w:hAnsiTheme="majorBidi" w:cstheme="majorBidi"/>
          <w:sz w:val="22"/>
        </w:rPr>
        <w:t>-value.</w:t>
      </w:r>
    </w:p>
    <w:p w14:paraId="2A9F2E52" w14:textId="77777777" w:rsidR="002923E2" w:rsidRPr="00343AE5" w:rsidRDefault="002923E2" w:rsidP="005355FB">
      <w:pPr>
        <w:spacing w:line="480" w:lineRule="auto"/>
        <w:rPr>
          <w:rFonts w:asciiTheme="majorBidi" w:hAnsiTheme="majorBidi" w:cstheme="majorBidi"/>
          <w:sz w:val="22"/>
        </w:rPr>
      </w:pPr>
    </w:p>
    <w:p w14:paraId="37C0C9D2" w14:textId="77777777" w:rsidR="002923E2" w:rsidRPr="00343AE5" w:rsidRDefault="002923E2" w:rsidP="005355FB">
      <w:pPr>
        <w:spacing w:line="480" w:lineRule="auto"/>
        <w:rPr>
          <w:rFonts w:asciiTheme="majorBidi" w:hAnsiTheme="majorBidi" w:cstheme="majorBidi"/>
          <w:b/>
          <w:bCs/>
          <w:sz w:val="22"/>
        </w:rPr>
      </w:pPr>
      <w:r w:rsidRPr="00343AE5">
        <w:rPr>
          <w:rFonts w:asciiTheme="majorBidi" w:hAnsiTheme="majorBidi" w:cstheme="majorBidi"/>
          <w:b/>
          <w:bCs/>
          <w:sz w:val="22"/>
        </w:rPr>
        <w:t>miRNA, lncRNA, and TF analyses</w:t>
      </w:r>
    </w:p>
    <w:p w14:paraId="7A0B4272" w14:textId="77777777"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The miRNA expression data (</w:t>
      </w:r>
      <w:proofErr w:type="spellStart"/>
      <w:r w:rsidRPr="00343AE5">
        <w:rPr>
          <w:rFonts w:asciiTheme="majorBidi" w:hAnsiTheme="majorBidi" w:cstheme="majorBidi"/>
          <w:sz w:val="22"/>
        </w:rPr>
        <w:t>pancanMiRs</w:t>
      </w:r>
      <w:proofErr w:type="spellEnd"/>
      <w:r w:rsidRPr="00343AE5">
        <w:rPr>
          <w:rFonts w:asciiTheme="majorBidi" w:hAnsiTheme="majorBidi" w:cstheme="majorBidi"/>
          <w:sz w:val="22"/>
        </w:rPr>
        <w:t xml:space="preserve"> file) of TCGA samples (n = 10818) were downloaded from Xena </w:t>
      </w:r>
      <w:r w:rsidRPr="00343AE5">
        <w:rPr>
          <w:rFonts w:asciiTheme="majorBidi" w:eastAsia="等线" w:hAnsiTheme="majorBidi" w:cstheme="majorBidi"/>
          <w:sz w:val="22"/>
        </w:rPr>
        <w:t>(</w:t>
      </w:r>
      <w:r w:rsidRPr="00343AE5">
        <w:rPr>
          <w:rFonts w:asciiTheme="majorBidi" w:hAnsiTheme="majorBidi" w:cstheme="majorBidi"/>
          <w:sz w:val="22"/>
        </w:rPr>
        <w:t>accessed on March 2022)</w:t>
      </w:r>
      <w:r w:rsidRPr="00343AE5">
        <w:rPr>
          <w:rFonts w:asciiTheme="majorBidi" w:eastAsia="等线" w:hAnsiTheme="majorBidi" w:cstheme="majorBidi"/>
          <w:sz w:val="22"/>
        </w:rPr>
        <w:t>.</w:t>
      </w:r>
      <w:r w:rsidRPr="00343AE5">
        <w:rPr>
          <w:rFonts w:asciiTheme="majorBidi" w:hAnsiTheme="majorBidi" w:cstheme="majorBidi"/>
          <w:sz w:val="22"/>
        </w:rPr>
        <w:t xml:space="preserve"> This dataset was also generated by the TCGA </w:t>
      </w:r>
      <w:proofErr w:type="spellStart"/>
      <w:r w:rsidRPr="00343AE5">
        <w:rPr>
          <w:rFonts w:asciiTheme="majorBidi" w:hAnsiTheme="majorBidi" w:cstheme="majorBidi"/>
          <w:sz w:val="22"/>
        </w:rPr>
        <w:t>PanCan</w:t>
      </w:r>
      <w:proofErr w:type="spellEnd"/>
      <w:r w:rsidRPr="00343AE5">
        <w:rPr>
          <w:rFonts w:asciiTheme="majorBidi" w:hAnsiTheme="majorBidi" w:cstheme="majorBidi"/>
          <w:sz w:val="22"/>
        </w:rPr>
        <w:t xml:space="preserve"> Atlas project. It has been normalized for batch effects using a novel algorithm called EB++ and the expression data was log2(x+1) transformed by Hoadley et al [2]. Subsequently, miRNA and mRNA expression data from TCGA were integrated according to the barcode of each sample.</w:t>
      </w:r>
    </w:p>
    <w:p w14:paraId="1D01025B" w14:textId="77777777" w:rsidR="002923E2" w:rsidRPr="00343AE5" w:rsidRDefault="002923E2" w:rsidP="005355FB">
      <w:pPr>
        <w:spacing w:line="480" w:lineRule="auto"/>
        <w:rPr>
          <w:rFonts w:asciiTheme="majorBidi" w:hAnsiTheme="majorBidi" w:cstheme="majorBidi"/>
          <w:sz w:val="22"/>
        </w:rPr>
      </w:pPr>
    </w:p>
    <w:p w14:paraId="4AC4291C" w14:textId="77777777"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 xml:space="preserve">The miRNA regulatory data of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regulators were collected from databases</w:t>
      </w:r>
      <w:r w:rsidRPr="00343AE5">
        <w:rPr>
          <w:rFonts w:asciiTheme="majorBidi" w:eastAsia="等线" w:hAnsiTheme="majorBidi" w:cstheme="majorBidi"/>
          <w:sz w:val="22"/>
        </w:rPr>
        <w:t>,</w:t>
      </w:r>
      <w:r w:rsidRPr="00343AE5">
        <w:rPr>
          <w:rFonts w:asciiTheme="majorBidi" w:hAnsiTheme="majorBidi" w:cstheme="majorBidi"/>
          <w:sz w:val="22"/>
        </w:rPr>
        <w:t xml:space="preserve"> including experimentally validated and predicted miRNA–mRNA pairs. The experimentally validated miRNA–mRNA pairs were extracted from </w:t>
      </w:r>
      <w:proofErr w:type="spellStart"/>
      <w:r w:rsidRPr="00343AE5">
        <w:rPr>
          <w:rFonts w:asciiTheme="majorBidi" w:hAnsiTheme="majorBidi" w:cstheme="majorBidi"/>
          <w:sz w:val="22"/>
        </w:rPr>
        <w:t>miRTarBase</w:t>
      </w:r>
      <w:proofErr w:type="spellEnd"/>
      <w:r w:rsidRPr="00343AE5">
        <w:rPr>
          <w:rFonts w:asciiTheme="majorBidi" w:hAnsiTheme="majorBidi" w:cstheme="majorBidi"/>
          <w:sz w:val="22"/>
        </w:rPr>
        <w:t xml:space="preserve"> v9.0 (</w:t>
      </w:r>
      <w:hyperlink r:id="rId11" w:history="1">
        <w:r w:rsidRPr="00343AE5">
          <w:rPr>
            <w:rStyle w:val="a8"/>
            <w:rFonts w:asciiTheme="majorBidi" w:hAnsiTheme="majorBidi" w:cstheme="majorBidi"/>
            <w:sz w:val="22"/>
          </w:rPr>
          <w:t>https://mirtarbase.cuhk.edu.cn/</w:t>
        </w:r>
      </w:hyperlink>
      <w:r w:rsidRPr="00343AE5">
        <w:rPr>
          <w:rFonts w:asciiTheme="majorBidi" w:hAnsiTheme="majorBidi" w:cstheme="majorBidi"/>
          <w:sz w:val="22"/>
        </w:rPr>
        <w:t xml:space="preserve">, accessed on March 2022) and </w:t>
      </w:r>
      <w:proofErr w:type="spellStart"/>
      <w:r w:rsidRPr="00343AE5">
        <w:rPr>
          <w:rFonts w:asciiTheme="majorBidi" w:hAnsiTheme="majorBidi" w:cstheme="majorBidi"/>
          <w:sz w:val="22"/>
        </w:rPr>
        <w:t>TarBase</w:t>
      </w:r>
      <w:proofErr w:type="spellEnd"/>
      <w:r w:rsidRPr="00343AE5">
        <w:rPr>
          <w:rFonts w:asciiTheme="majorBidi" w:hAnsiTheme="majorBidi" w:cstheme="majorBidi"/>
          <w:sz w:val="22"/>
        </w:rPr>
        <w:t xml:space="preserve"> v8.0 (</w:t>
      </w:r>
      <w:hyperlink r:id="rId12" w:history="1">
        <w:r w:rsidRPr="00343AE5">
          <w:rPr>
            <w:rStyle w:val="a8"/>
            <w:rFonts w:asciiTheme="majorBidi" w:hAnsiTheme="majorBidi" w:cstheme="majorBidi"/>
            <w:sz w:val="22"/>
          </w:rPr>
          <w:t>https://dianalab.e-ce.uth.gr/html/diana/web/index.php?r=tarbasev8/index</w:t>
        </w:r>
      </w:hyperlink>
      <w:r w:rsidRPr="00343AE5">
        <w:rPr>
          <w:rFonts w:asciiTheme="majorBidi" w:hAnsiTheme="majorBidi" w:cstheme="majorBidi"/>
          <w:sz w:val="22"/>
        </w:rPr>
        <w:t xml:space="preserve">, accessed on March 2022). The predicted miRNA–mRNA pairs were extracted from </w:t>
      </w:r>
      <w:proofErr w:type="spellStart"/>
      <w:r w:rsidRPr="00343AE5">
        <w:rPr>
          <w:rFonts w:asciiTheme="majorBidi" w:hAnsiTheme="majorBidi" w:cstheme="majorBidi"/>
          <w:sz w:val="22"/>
        </w:rPr>
        <w:t>Targetscan</w:t>
      </w:r>
      <w:proofErr w:type="spellEnd"/>
      <w:r w:rsidRPr="00343AE5">
        <w:rPr>
          <w:rFonts w:asciiTheme="majorBidi" w:hAnsiTheme="majorBidi" w:cstheme="majorBidi"/>
          <w:sz w:val="22"/>
        </w:rPr>
        <w:t xml:space="preserve"> v8.0 (</w:t>
      </w:r>
      <w:hyperlink r:id="rId13" w:history="1">
        <w:r w:rsidRPr="00343AE5">
          <w:rPr>
            <w:rStyle w:val="a8"/>
            <w:rFonts w:asciiTheme="majorBidi" w:hAnsiTheme="majorBidi" w:cstheme="majorBidi"/>
            <w:sz w:val="22"/>
          </w:rPr>
          <w:t>https://www.targetscan.org/vert_80/</w:t>
        </w:r>
      </w:hyperlink>
      <w:r w:rsidRPr="00343AE5">
        <w:rPr>
          <w:rFonts w:asciiTheme="majorBidi" w:hAnsiTheme="majorBidi" w:cstheme="majorBidi"/>
          <w:sz w:val="22"/>
        </w:rPr>
        <w:t>, accessed on March 2022).</w:t>
      </w:r>
      <w:r w:rsidRPr="00343AE5">
        <w:rPr>
          <w:sz w:val="22"/>
        </w:rPr>
        <w:t xml:space="preserve"> </w:t>
      </w:r>
      <w:r w:rsidRPr="00343AE5">
        <w:rPr>
          <w:rFonts w:asciiTheme="majorBidi" w:hAnsiTheme="majorBidi" w:cstheme="majorBidi"/>
          <w:sz w:val="22"/>
        </w:rPr>
        <w:t xml:space="preserve">All three databases are easy to use, each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 was entered to display the paired miRNAs. Then we merged the results of the three databases to obtain the list of miRNA-mRNA pairs for each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w:t>
      </w:r>
      <w:r w:rsidRPr="00343AE5">
        <w:rPr>
          <w:rFonts w:asciiTheme="majorBidi" w:hAnsiTheme="majorBidi" w:cstheme="majorBidi"/>
          <w:sz w:val="22"/>
        </w:rPr>
        <w:lastRenderedPageBreak/>
        <w:t>regulator.</w:t>
      </w:r>
      <w:r w:rsidRPr="00343AE5">
        <w:rPr>
          <w:rFonts w:asciiTheme="majorBidi" w:hAnsiTheme="majorBidi" w:cstheme="majorBidi" w:hint="eastAsia"/>
          <w:sz w:val="22"/>
        </w:rPr>
        <w:t xml:space="preserve"> </w:t>
      </w:r>
      <w:r w:rsidRPr="00343AE5">
        <w:rPr>
          <w:rFonts w:asciiTheme="majorBidi" w:hAnsiTheme="majorBidi" w:cstheme="majorBidi"/>
          <w:sz w:val="22"/>
        </w:rPr>
        <w:t xml:space="preserve">For each tumor type, correlations were calculated separately for each miRNA–mRNA pair using Spearman’s correlation analysis. Only miRNA–mRNA pairs with correlation coefficients &lt; –0.2 and </w:t>
      </w:r>
      <w:r w:rsidRPr="00A548A8">
        <w:rPr>
          <w:rFonts w:asciiTheme="majorBidi" w:hAnsiTheme="majorBidi" w:cstheme="majorBidi"/>
          <w:i/>
          <w:iCs/>
          <w:sz w:val="22"/>
        </w:rPr>
        <w:t xml:space="preserve">P </w:t>
      </w:r>
      <w:r w:rsidRPr="00343AE5">
        <w:rPr>
          <w:rFonts w:asciiTheme="majorBidi" w:hAnsiTheme="majorBidi" w:cstheme="majorBidi"/>
          <w:sz w:val="22"/>
        </w:rPr>
        <w:t xml:space="preserve">&lt; 0.05 were considered as potential regulatory pairs. After calculation, we obtained miRNA-mRNA pairs for each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 in all tumor types. Subsequently, </w:t>
      </w:r>
      <w:bookmarkStart w:id="3" w:name="_Hlk113742302"/>
      <w:r w:rsidRPr="00343AE5">
        <w:rPr>
          <w:rFonts w:asciiTheme="majorBidi" w:hAnsiTheme="majorBidi" w:cstheme="majorBidi"/>
          <w:sz w:val="22"/>
        </w:rPr>
        <w:t xml:space="preserve">miRNA-mRNA pairs that appeared in at least five tumor types and targeted at least two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regulators were screened in Excel and made into a list.</w:t>
      </w:r>
      <w:bookmarkEnd w:id="3"/>
      <w:r w:rsidRPr="00343AE5">
        <w:rPr>
          <w:rFonts w:asciiTheme="majorBidi" w:hAnsiTheme="majorBidi" w:cstheme="majorBidi"/>
          <w:sz w:val="22"/>
        </w:rPr>
        <w:t xml:space="preserve"> Finally, the miRNA-mRNA list was imported into Cytoscape_v3.8.2 to construct and visualize the miRNA regulatory network.</w:t>
      </w:r>
    </w:p>
    <w:p w14:paraId="6269FF05" w14:textId="77777777" w:rsidR="002923E2" w:rsidRPr="00343AE5" w:rsidRDefault="002923E2" w:rsidP="005355FB">
      <w:pPr>
        <w:spacing w:line="480" w:lineRule="auto"/>
        <w:rPr>
          <w:rFonts w:asciiTheme="majorBidi" w:hAnsiTheme="majorBidi" w:cstheme="majorBidi"/>
          <w:sz w:val="22"/>
        </w:rPr>
      </w:pPr>
    </w:p>
    <w:p w14:paraId="17695995" w14:textId="77777777"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 xml:space="preserve">The lncRNA and TF regulatory data were obtained from a previous pan-cancer study [9]. Using this data, we screened potential lncRNA–mRNA pairs and TF–mRNA pairs targeting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regulators in each tumor and calculated the expression correlation of each lncRNA–mRNA and TF–mRNA pair using Spearman’s correlation analysis for each tumor type. Only lncRNA–mRNA pairs with absolute values of correlation coefficients &gt; 0.2 and </w:t>
      </w:r>
      <w:r w:rsidRPr="00A548A8">
        <w:rPr>
          <w:rFonts w:asciiTheme="majorBidi" w:hAnsiTheme="majorBidi" w:cstheme="majorBidi"/>
          <w:i/>
          <w:iCs/>
          <w:sz w:val="22"/>
        </w:rPr>
        <w:t>P</w:t>
      </w:r>
      <w:r w:rsidRPr="00343AE5">
        <w:rPr>
          <w:rFonts w:asciiTheme="majorBidi" w:hAnsiTheme="majorBidi" w:cstheme="majorBidi"/>
          <w:sz w:val="22"/>
        </w:rPr>
        <w:t xml:space="preserve"> &lt; 0.05</w:t>
      </w:r>
      <w:r w:rsidRPr="00343AE5">
        <w:rPr>
          <w:rFonts w:asciiTheme="majorBidi" w:eastAsia="等线" w:hAnsiTheme="majorBidi" w:cstheme="majorBidi"/>
          <w:sz w:val="22"/>
        </w:rPr>
        <w:t>, and TF–mRNA pairs with absolute values of correlation coefficients &gt; 0.</w:t>
      </w:r>
      <w:r w:rsidRPr="00343AE5">
        <w:rPr>
          <w:rFonts w:asciiTheme="majorBidi" w:hAnsiTheme="majorBidi" w:cstheme="majorBidi"/>
          <w:sz w:val="22"/>
        </w:rPr>
        <w:t xml:space="preserve">3 and </w:t>
      </w:r>
      <w:r w:rsidRPr="00A548A8">
        <w:rPr>
          <w:rFonts w:asciiTheme="majorBidi" w:hAnsiTheme="majorBidi" w:cstheme="majorBidi"/>
          <w:i/>
          <w:iCs/>
          <w:sz w:val="22"/>
        </w:rPr>
        <w:t>P</w:t>
      </w:r>
      <w:r w:rsidRPr="00343AE5">
        <w:rPr>
          <w:rFonts w:asciiTheme="majorBidi" w:hAnsiTheme="majorBidi" w:cstheme="majorBidi"/>
          <w:sz w:val="22"/>
        </w:rPr>
        <w:t xml:space="preserve"> &lt; 0.05</w:t>
      </w:r>
      <w:r w:rsidRPr="00343AE5">
        <w:rPr>
          <w:rFonts w:asciiTheme="majorBidi" w:eastAsia="等线" w:hAnsiTheme="majorBidi" w:cstheme="majorBidi"/>
          <w:sz w:val="22"/>
        </w:rPr>
        <w:t>, were retained</w:t>
      </w:r>
      <w:r w:rsidRPr="00343AE5">
        <w:rPr>
          <w:rFonts w:asciiTheme="majorBidi" w:hAnsiTheme="majorBidi" w:cstheme="majorBidi"/>
          <w:sz w:val="22"/>
        </w:rPr>
        <w:t xml:space="preserve">. LncRNA-mRNA pairs that targeted at least three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regulators and TF-mRNA pairs that targeted at least five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regulators were screened in Excel and made into two lists. The two lists were imported into Cytoscape_v3.8.2 to construct and visualize the LncRNA and TF regulatory networks.</w:t>
      </w:r>
    </w:p>
    <w:p w14:paraId="3F9E58C9" w14:textId="77777777" w:rsidR="002923E2" w:rsidRPr="00343AE5" w:rsidRDefault="002923E2" w:rsidP="005355FB">
      <w:pPr>
        <w:spacing w:line="480" w:lineRule="auto"/>
        <w:rPr>
          <w:rFonts w:asciiTheme="majorBidi" w:hAnsiTheme="majorBidi" w:cstheme="majorBidi"/>
          <w:sz w:val="22"/>
        </w:rPr>
      </w:pPr>
    </w:p>
    <w:p w14:paraId="38C0DE94" w14:textId="77777777" w:rsidR="002923E2" w:rsidRPr="00343AE5" w:rsidRDefault="002923E2" w:rsidP="005355FB">
      <w:pPr>
        <w:spacing w:line="480" w:lineRule="auto"/>
        <w:rPr>
          <w:rFonts w:asciiTheme="majorBidi" w:hAnsiTheme="majorBidi" w:cstheme="majorBidi"/>
          <w:b/>
          <w:bCs/>
          <w:sz w:val="22"/>
        </w:rPr>
      </w:pPr>
      <w:r w:rsidRPr="00343AE5">
        <w:rPr>
          <w:rFonts w:asciiTheme="majorBidi" w:hAnsiTheme="majorBidi" w:cstheme="majorBidi"/>
          <w:b/>
          <w:bCs/>
          <w:sz w:val="22"/>
        </w:rPr>
        <w:t>Survival analysis</w:t>
      </w:r>
    </w:p>
    <w:p w14:paraId="3C2B2849" w14:textId="70418A0B"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 xml:space="preserve">First, we integrated the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 expression data,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scores, and clinical </w:t>
      </w:r>
      <w:r w:rsidRPr="00343AE5">
        <w:rPr>
          <w:rFonts w:asciiTheme="majorBidi" w:hAnsiTheme="majorBidi" w:cstheme="majorBidi"/>
          <w:sz w:val="22"/>
        </w:rPr>
        <w:lastRenderedPageBreak/>
        <w:t xml:space="preserve">information. A total of 10058 tumor samples with matched expression data and clinical information. We inputted survival data of each tumor type into the bulk survival analysis tool (Using default parameters) of </w:t>
      </w:r>
      <w:proofErr w:type="spellStart"/>
      <w:r w:rsidRPr="00343AE5">
        <w:rPr>
          <w:rFonts w:asciiTheme="majorBidi" w:hAnsiTheme="majorBidi" w:cstheme="majorBidi"/>
          <w:sz w:val="22"/>
        </w:rPr>
        <w:t>Sangerbox</w:t>
      </w:r>
      <w:proofErr w:type="spellEnd"/>
      <w:r w:rsidRPr="00343AE5">
        <w:rPr>
          <w:rFonts w:asciiTheme="majorBidi" w:hAnsiTheme="majorBidi" w:cstheme="majorBidi"/>
          <w:sz w:val="22"/>
        </w:rPr>
        <w:t xml:space="preserve"> to calculate hazard ratios for each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 or score relative to OS, DFI and PFI. The calculation principle is based on based on Cox regression analysis. Hazard ratio </w:t>
      </w:r>
      <w:r w:rsidRPr="00343AE5">
        <w:rPr>
          <w:rFonts w:asciiTheme="majorBidi" w:hAnsiTheme="majorBidi" w:cstheme="majorBidi" w:hint="eastAsia"/>
          <w:sz w:val="22"/>
        </w:rPr>
        <w:t>&gt;</w:t>
      </w:r>
      <w:r w:rsidRPr="00343AE5">
        <w:rPr>
          <w:rFonts w:asciiTheme="majorBidi" w:hAnsiTheme="majorBidi" w:cstheme="majorBidi"/>
          <w:sz w:val="22"/>
        </w:rPr>
        <w:t xml:space="preserve">1 was considered high risk. Each tumor was divided into two groups using the median of each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 or score as the cutoff value</w:t>
      </w:r>
      <w:r w:rsidRPr="00343AE5">
        <w:rPr>
          <w:rFonts w:asciiTheme="majorBidi" w:eastAsia="等线" w:hAnsiTheme="majorBidi" w:cstheme="majorBidi"/>
          <w:sz w:val="22"/>
        </w:rPr>
        <w:t xml:space="preserve">, and </w:t>
      </w:r>
      <w:r w:rsidRPr="00343AE5">
        <w:rPr>
          <w:rFonts w:asciiTheme="majorBidi" w:hAnsiTheme="majorBidi" w:cstheme="majorBidi"/>
          <w:sz w:val="22"/>
        </w:rPr>
        <w:t xml:space="preserve">a log-rank test </w:t>
      </w:r>
      <w:r w:rsidRPr="00343AE5">
        <w:rPr>
          <w:rFonts w:asciiTheme="majorBidi" w:eastAsia="等线" w:hAnsiTheme="majorBidi" w:cstheme="majorBidi"/>
          <w:sz w:val="22"/>
        </w:rPr>
        <w:t xml:space="preserve">was performed to </w:t>
      </w:r>
      <w:r w:rsidRPr="00343AE5">
        <w:rPr>
          <w:rFonts w:asciiTheme="majorBidi" w:hAnsiTheme="majorBidi" w:cstheme="majorBidi"/>
          <w:sz w:val="22"/>
        </w:rPr>
        <w:t xml:space="preserve">determine </w:t>
      </w:r>
      <w:r w:rsidRPr="00343AE5">
        <w:rPr>
          <w:rFonts w:asciiTheme="majorBidi" w:eastAsia="等线" w:hAnsiTheme="majorBidi" w:cstheme="majorBidi"/>
          <w:sz w:val="22"/>
        </w:rPr>
        <w:t xml:space="preserve">the </w:t>
      </w:r>
      <w:r w:rsidRPr="00A548A8">
        <w:rPr>
          <w:rFonts w:asciiTheme="majorBidi" w:hAnsiTheme="majorBidi" w:cstheme="majorBidi"/>
          <w:i/>
          <w:iCs/>
          <w:sz w:val="22"/>
        </w:rPr>
        <w:t>P</w:t>
      </w:r>
      <w:r w:rsidRPr="00343AE5">
        <w:rPr>
          <w:rFonts w:asciiTheme="majorBidi" w:hAnsiTheme="majorBidi" w:cstheme="majorBidi"/>
          <w:sz w:val="22"/>
        </w:rPr>
        <w:t>-values.</w:t>
      </w:r>
      <w:r w:rsidR="00D46F33">
        <w:rPr>
          <w:rFonts w:asciiTheme="majorBidi" w:hAnsiTheme="majorBidi" w:cstheme="majorBidi"/>
          <w:sz w:val="22"/>
        </w:rPr>
        <w:t xml:space="preserve"> </w:t>
      </w:r>
      <w:r w:rsidRPr="00343AE5">
        <w:rPr>
          <w:rFonts w:asciiTheme="majorBidi" w:hAnsiTheme="majorBidi" w:cstheme="majorBidi"/>
          <w:sz w:val="22"/>
        </w:rPr>
        <w:t xml:space="preserve">Subsequently, results with significance were visualized using the bubble plotting tool of </w:t>
      </w:r>
      <w:proofErr w:type="spellStart"/>
      <w:r w:rsidRPr="00343AE5">
        <w:rPr>
          <w:rFonts w:asciiTheme="majorBidi" w:hAnsiTheme="majorBidi" w:cstheme="majorBidi"/>
          <w:sz w:val="22"/>
        </w:rPr>
        <w:t>Sangerbox</w:t>
      </w:r>
      <w:proofErr w:type="spellEnd"/>
      <w:r w:rsidRPr="00343AE5">
        <w:rPr>
          <w:rFonts w:asciiTheme="majorBidi" w:hAnsiTheme="majorBidi" w:cstheme="majorBidi"/>
          <w:sz w:val="22"/>
        </w:rPr>
        <w:t xml:space="preserve">. For OS, we also calculated the optimal cutoff value of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activity score in each tumor using the</w:t>
      </w:r>
      <w:r w:rsidRPr="00343AE5">
        <w:rPr>
          <w:sz w:val="22"/>
        </w:rPr>
        <w:t xml:space="preserve"> </w:t>
      </w:r>
      <w:bookmarkStart w:id="4" w:name="_Hlk113744961"/>
      <w:r w:rsidRPr="00343AE5">
        <w:rPr>
          <w:rFonts w:asciiTheme="majorBidi" w:hAnsiTheme="majorBidi" w:cstheme="majorBidi"/>
          <w:sz w:val="22"/>
        </w:rPr>
        <w:t>Kaplan Meier curve</w:t>
      </w:r>
      <w:bookmarkEnd w:id="4"/>
      <w:r w:rsidRPr="00343AE5">
        <w:rPr>
          <w:rFonts w:asciiTheme="majorBidi" w:hAnsiTheme="majorBidi" w:cstheme="majorBidi"/>
          <w:sz w:val="22"/>
        </w:rPr>
        <w:t xml:space="preserve"> plotting tool of </w:t>
      </w:r>
      <w:proofErr w:type="spellStart"/>
      <w:r w:rsidRPr="00343AE5">
        <w:rPr>
          <w:rFonts w:asciiTheme="majorBidi" w:hAnsiTheme="majorBidi" w:cstheme="majorBidi"/>
          <w:sz w:val="22"/>
        </w:rPr>
        <w:t>Sangerbox</w:t>
      </w:r>
      <w:proofErr w:type="spellEnd"/>
      <w:r w:rsidRPr="00343AE5">
        <w:rPr>
          <w:rFonts w:asciiTheme="majorBidi" w:hAnsiTheme="majorBidi" w:cstheme="majorBidi"/>
          <w:sz w:val="22"/>
        </w:rPr>
        <w:t>, and used optimal cutoff value to divide the tumors into two groups to plot the Kaplan–Meier survival curves.</w:t>
      </w:r>
    </w:p>
    <w:p w14:paraId="5EB55E6C" w14:textId="77777777" w:rsidR="002923E2" w:rsidRPr="00343AE5" w:rsidRDefault="002923E2" w:rsidP="005355FB">
      <w:pPr>
        <w:spacing w:line="480" w:lineRule="auto"/>
        <w:rPr>
          <w:rFonts w:asciiTheme="majorBidi" w:hAnsiTheme="majorBidi" w:cstheme="majorBidi"/>
          <w:sz w:val="22"/>
        </w:rPr>
      </w:pPr>
    </w:p>
    <w:p w14:paraId="6EF43045" w14:textId="77777777"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 xml:space="preserve">To validate the prognostic value of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regulators and scores, we obtained a LGG cohort from the Chinese Glioma Genome Atlas (CGGA) from GlioVis (</w:t>
      </w:r>
      <w:hyperlink r:id="rId14" w:history="1">
        <w:r w:rsidRPr="00343AE5">
          <w:rPr>
            <w:rStyle w:val="a8"/>
            <w:rFonts w:asciiTheme="majorBidi" w:hAnsiTheme="majorBidi" w:cstheme="majorBidi"/>
            <w:sz w:val="22"/>
          </w:rPr>
          <w:t>http://gliovis.bioinfo.cnio.es/</w:t>
        </w:r>
      </w:hyperlink>
      <w:r w:rsidRPr="00343AE5">
        <w:rPr>
          <w:rFonts w:asciiTheme="majorBidi" w:hAnsiTheme="majorBidi" w:cstheme="majorBidi"/>
          <w:sz w:val="22"/>
        </w:rPr>
        <w:t>, accessed on August 2022).</w:t>
      </w:r>
      <w:r w:rsidRPr="00343AE5">
        <w:rPr>
          <w:rFonts w:asciiTheme="majorBidi" w:hAnsiTheme="majorBidi" w:cstheme="majorBidi" w:hint="eastAsia"/>
          <w:sz w:val="22"/>
        </w:rPr>
        <w:t xml:space="preserve"> </w:t>
      </w:r>
      <w:r w:rsidRPr="00343AE5">
        <w:rPr>
          <w:rFonts w:asciiTheme="majorBidi" w:hAnsiTheme="majorBidi" w:cstheme="majorBidi"/>
          <w:sz w:val="22"/>
        </w:rPr>
        <w:t>The mRNA expression data of this cohort has been normalized in GlioVis and performed log2(x+0.5) transformation.</w:t>
      </w:r>
      <w:r w:rsidRPr="00343AE5">
        <w:rPr>
          <w:sz w:val="22"/>
        </w:rPr>
        <w:t xml:space="preserve"> </w:t>
      </w:r>
      <w:r w:rsidRPr="00343AE5">
        <w:rPr>
          <w:rFonts w:asciiTheme="majorBidi" w:hAnsiTheme="majorBidi" w:cstheme="majorBidi"/>
          <w:sz w:val="22"/>
        </w:rPr>
        <w:t>We extracted 431 LGG samples with complete clinical information from this cohort.</w:t>
      </w:r>
      <w:r w:rsidRPr="00343AE5">
        <w:rPr>
          <w:sz w:val="22"/>
        </w:rPr>
        <w:t xml:space="preserve"> </w:t>
      </w:r>
      <w:r w:rsidRPr="00343AE5">
        <w:rPr>
          <w:rFonts w:asciiTheme="majorBidi" w:hAnsiTheme="majorBidi" w:cstheme="majorBidi"/>
          <w:sz w:val="22"/>
        </w:rPr>
        <w:t xml:space="preserve">Then we calculated the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scores of this cohort using the same method as described earlier. We matched mRNA expression data of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regulators,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scores, and clinical information for each sample. Then Hazard ratios for each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regulator and score were calculated using Cox regression analysis and plotted a forest plot.</w:t>
      </w:r>
      <w:r w:rsidRPr="00343AE5">
        <w:rPr>
          <w:sz w:val="22"/>
        </w:rPr>
        <w:t xml:space="preserve"> </w:t>
      </w:r>
      <w:r w:rsidRPr="00343AE5">
        <w:rPr>
          <w:rFonts w:asciiTheme="majorBidi" w:hAnsiTheme="majorBidi" w:cstheme="majorBidi"/>
          <w:sz w:val="22"/>
        </w:rPr>
        <w:t xml:space="preserve">Kaplan Meier curves were generated in the single-variable survival analysis tool of </w:t>
      </w:r>
      <w:proofErr w:type="spellStart"/>
      <w:r w:rsidRPr="00343AE5">
        <w:rPr>
          <w:rFonts w:asciiTheme="majorBidi" w:hAnsiTheme="majorBidi" w:cstheme="majorBidi"/>
          <w:sz w:val="22"/>
        </w:rPr>
        <w:t>Sangebox</w:t>
      </w:r>
      <w:proofErr w:type="spellEnd"/>
      <w:r w:rsidRPr="00343AE5">
        <w:rPr>
          <w:rFonts w:asciiTheme="majorBidi" w:hAnsiTheme="majorBidi" w:cstheme="majorBidi"/>
          <w:sz w:val="22"/>
        </w:rPr>
        <w:t>.</w:t>
      </w:r>
    </w:p>
    <w:p w14:paraId="28ECBB82" w14:textId="77777777" w:rsidR="002923E2" w:rsidRPr="00343AE5" w:rsidRDefault="002923E2" w:rsidP="005355FB">
      <w:pPr>
        <w:spacing w:line="480" w:lineRule="auto"/>
        <w:rPr>
          <w:rFonts w:asciiTheme="majorBidi" w:hAnsiTheme="majorBidi" w:cstheme="majorBidi"/>
          <w:sz w:val="22"/>
        </w:rPr>
      </w:pPr>
    </w:p>
    <w:p w14:paraId="1CE22832" w14:textId="77777777" w:rsidR="002923E2" w:rsidRPr="00343AE5" w:rsidRDefault="002923E2" w:rsidP="005355FB">
      <w:pPr>
        <w:spacing w:line="480" w:lineRule="auto"/>
        <w:rPr>
          <w:rFonts w:asciiTheme="majorBidi" w:hAnsiTheme="majorBidi" w:cstheme="majorBidi"/>
          <w:b/>
          <w:bCs/>
          <w:sz w:val="22"/>
        </w:rPr>
      </w:pPr>
      <w:r w:rsidRPr="00343AE5">
        <w:rPr>
          <w:rFonts w:asciiTheme="majorBidi" w:hAnsiTheme="majorBidi" w:cstheme="majorBidi"/>
          <w:b/>
          <w:bCs/>
          <w:sz w:val="22"/>
        </w:rPr>
        <w:t>Pathway activity analyses</w:t>
      </w:r>
    </w:p>
    <w:p w14:paraId="2B2CC1F5" w14:textId="77777777"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 xml:space="preserve">The cancer hallmark gene sets (h.all.v7.5.1.symbols.gmt) were downloaded from the </w:t>
      </w:r>
      <w:proofErr w:type="spellStart"/>
      <w:r w:rsidRPr="00343AE5">
        <w:rPr>
          <w:rFonts w:asciiTheme="majorBidi" w:hAnsiTheme="majorBidi" w:cstheme="majorBidi"/>
          <w:sz w:val="22"/>
        </w:rPr>
        <w:t>MSigDB</w:t>
      </w:r>
      <w:proofErr w:type="spellEnd"/>
      <w:r w:rsidRPr="00343AE5">
        <w:rPr>
          <w:rFonts w:asciiTheme="majorBidi" w:hAnsiTheme="majorBidi" w:cstheme="majorBidi"/>
          <w:sz w:val="22"/>
        </w:rPr>
        <w:t xml:space="preserve"> (</w:t>
      </w:r>
      <w:hyperlink r:id="rId15" w:history="1">
        <w:r w:rsidRPr="00343AE5">
          <w:rPr>
            <w:rStyle w:val="a8"/>
            <w:rFonts w:asciiTheme="majorBidi" w:hAnsiTheme="majorBidi" w:cstheme="majorBidi"/>
            <w:sz w:val="22"/>
          </w:rPr>
          <w:t>https://www.gsea-msigdb.org/gsea/msigdb/</w:t>
        </w:r>
      </w:hyperlink>
      <w:r w:rsidRPr="00343AE5">
        <w:rPr>
          <w:rFonts w:asciiTheme="majorBidi" w:hAnsiTheme="majorBidi" w:cstheme="majorBidi"/>
          <w:sz w:val="22"/>
        </w:rPr>
        <w:t xml:space="preserve">, accessed on March 2022), and the GVSA algorithm was used to infer the hallmark pathway enrichment scores for all tumor samples in TCGA. The method is consistent with the generation of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scores. We obtained the latest gene set of cellular senescence from a recent study of Saul et al [10]. The cell cycle gene set was also obtained from the KEGG database, which can be accessed in the </w:t>
      </w:r>
      <w:proofErr w:type="spellStart"/>
      <w:r w:rsidRPr="00343AE5">
        <w:rPr>
          <w:rFonts w:asciiTheme="majorBidi" w:hAnsiTheme="majorBidi" w:cstheme="majorBidi"/>
          <w:sz w:val="22"/>
        </w:rPr>
        <w:t>MSigDB</w:t>
      </w:r>
      <w:proofErr w:type="spellEnd"/>
      <w:r w:rsidRPr="00343AE5">
        <w:rPr>
          <w:rFonts w:asciiTheme="majorBidi" w:hAnsiTheme="majorBidi" w:cstheme="majorBidi"/>
          <w:sz w:val="22"/>
        </w:rPr>
        <w:t xml:space="preserve"> database.  After matching the hallmark pathway score and clinical information, the correlation between the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activity score and each hallmark pathway was subsequently calculated for each tumor type using Spearman</w:t>
      </w:r>
      <w:r w:rsidRPr="00343AE5">
        <w:rPr>
          <w:rFonts w:asciiTheme="majorBidi" w:eastAsia="等线" w:hAnsiTheme="majorBidi" w:cstheme="majorBidi"/>
          <w:sz w:val="22"/>
        </w:rPr>
        <w:t>’s correlation analysis</w:t>
      </w:r>
      <w:r w:rsidRPr="00343AE5">
        <w:rPr>
          <w:rFonts w:asciiTheme="majorBidi" w:hAnsiTheme="majorBidi" w:cstheme="majorBidi"/>
          <w:sz w:val="22"/>
        </w:rPr>
        <w:t>.</w:t>
      </w:r>
      <w:r w:rsidRPr="00343AE5">
        <w:rPr>
          <w:rFonts w:asciiTheme="majorBidi" w:hAnsiTheme="majorBidi" w:cstheme="majorBidi" w:hint="eastAsia"/>
          <w:sz w:val="22"/>
        </w:rPr>
        <w:t xml:space="preserve"> </w:t>
      </w:r>
      <w:r w:rsidRPr="00343AE5">
        <w:rPr>
          <w:rFonts w:asciiTheme="majorBidi" w:hAnsiTheme="majorBidi" w:cstheme="majorBidi"/>
          <w:sz w:val="22"/>
        </w:rPr>
        <w:t xml:space="preserve">The correlation coefficients of each tumor type were then visualized using the heat map plotting tool of </w:t>
      </w:r>
      <w:proofErr w:type="spellStart"/>
      <w:r w:rsidRPr="00343AE5">
        <w:rPr>
          <w:rFonts w:asciiTheme="majorBidi" w:hAnsiTheme="majorBidi" w:cstheme="majorBidi"/>
          <w:sz w:val="22"/>
        </w:rPr>
        <w:t>Sangerbox</w:t>
      </w:r>
      <w:proofErr w:type="spellEnd"/>
      <w:r w:rsidRPr="00343AE5">
        <w:rPr>
          <w:rFonts w:asciiTheme="majorBidi" w:hAnsiTheme="majorBidi" w:cstheme="majorBidi"/>
          <w:sz w:val="22"/>
        </w:rPr>
        <w:t xml:space="preserve">.  In addition, </w:t>
      </w:r>
      <w:r w:rsidRPr="00343AE5">
        <w:rPr>
          <w:rFonts w:asciiTheme="majorBidi" w:eastAsia="等线" w:hAnsiTheme="majorBidi" w:cstheme="majorBidi"/>
          <w:sz w:val="22"/>
        </w:rPr>
        <w:t xml:space="preserve">the mutation burden, </w:t>
      </w:r>
      <w:r w:rsidRPr="00343AE5">
        <w:rPr>
          <w:rFonts w:ascii="Times New Roman" w:eastAsia="等线" w:hAnsi="Times New Roman" w:cs="Times New Roman"/>
          <w:sz w:val="22"/>
        </w:rPr>
        <w:t xml:space="preserve">HRD score, </w:t>
      </w:r>
      <w:r w:rsidRPr="00343AE5">
        <w:rPr>
          <w:rFonts w:ascii="Times New Roman" w:hAnsi="Times New Roman" w:cs="Times New Roman"/>
          <w:sz w:val="22"/>
        </w:rPr>
        <w:t>loss of heterozygosity (LOH) score, large-scale state transitions (LST) score, and telomeric allelic imbalance (TAI) score were collected f</w:t>
      </w:r>
      <w:r w:rsidRPr="00343AE5">
        <w:rPr>
          <w:rFonts w:asciiTheme="majorBidi" w:hAnsiTheme="majorBidi" w:cstheme="majorBidi"/>
          <w:sz w:val="22"/>
        </w:rPr>
        <w:t>rom a previous study [11].</w:t>
      </w:r>
      <w:r w:rsidRPr="00343AE5">
        <w:rPr>
          <w:rFonts w:ascii="Times New Roman" w:hAnsi="Times New Roman" w:cs="Times New Roman"/>
          <w:sz w:val="22"/>
        </w:rPr>
        <w:t xml:space="preserve"> </w:t>
      </w:r>
      <w:r w:rsidRPr="00343AE5">
        <w:rPr>
          <w:rFonts w:ascii="Times New Roman" w:eastAsia="等线" w:hAnsi="Times New Roman" w:cs="Times New Roman"/>
          <w:sz w:val="22"/>
        </w:rPr>
        <w:t>HRD score w</w:t>
      </w:r>
      <w:r w:rsidRPr="00343AE5">
        <w:rPr>
          <w:rFonts w:ascii="Times New Roman" w:hAnsi="Times New Roman" w:cs="Times New Roman"/>
          <w:sz w:val="22"/>
        </w:rPr>
        <w:t xml:space="preserve">as the sum of </w:t>
      </w:r>
      <w:r w:rsidRPr="00343AE5">
        <w:rPr>
          <w:rFonts w:ascii="Times New Roman" w:eastAsia="等线" w:hAnsi="Times New Roman" w:cs="Times New Roman"/>
          <w:sz w:val="22"/>
        </w:rPr>
        <w:t>LOH, LST, and TAI scores.</w:t>
      </w:r>
      <w:r w:rsidRPr="00343AE5">
        <w:rPr>
          <w:sz w:val="22"/>
        </w:rPr>
        <w:t xml:space="preserve"> </w:t>
      </w:r>
      <w:r w:rsidRPr="00343AE5">
        <w:rPr>
          <w:rFonts w:ascii="Times New Roman" w:eastAsia="等线" w:hAnsi="Times New Roman" w:cs="Times New Roman"/>
          <w:sz w:val="22"/>
        </w:rPr>
        <w:t xml:space="preserve">After matching </w:t>
      </w:r>
      <w:proofErr w:type="spellStart"/>
      <w:r w:rsidRPr="00343AE5">
        <w:rPr>
          <w:rFonts w:ascii="Times New Roman" w:eastAsia="等线" w:hAnsi="Times New Roman" w:cs="Times New Roman"/>
          <w:sz w:val="22"/>
        </w:rPr>
        <w:t>cuproptosis</w:t>
      </w:r>
      <w:proofErr w:type="spellEnd"/>
      <w:r w:rsidRPr="00343AE5">
        <w:rPr>
          <w:rFonts w:ascii="Times New Roman" w:eastAsia="等线" w:hAnsi="Times New Roman" w:cs="Times New Roman"/>
          <w:sz w:val="22"/>
        </w:rPr>
        <w:t xml:space="preserve"> activity score, HRD, LOH, LST, and TAI scores by barcode for each sample, we calculated the correlation using </w:t>
      </w:r>
      <w:r w:rsidRPr="00343AE5">
        <w:rPr>
          <w:rFonts w:asciiTheme="majorBidi" w:hAnsiTheme="majorBidi" w:cstheme="majorBidi"/>
          <w:sz w:val="22"/>
        </w:rPr>
        <w:t>Spearman</w:t>
      </w:r>
      <w:r w:rsidRPr="00343AE5">
        <w:rPr>
          <w:rFonts w:asciiTheme="majorBidi" w:eastAsia="等线" w:hAnsiTheme="majorBidi" w:cstheme="majorBidi"/>
          <w:sz w:val="22"/>
        </w:rPr>
        <w:t>’s correlation analysis and</w:t>
      </w:r>
      <w:r w:rsidRPr="00343AE5">
        <w:rPr>
          <w:rFonts w:ascii="Times New Roman" w:eastAsia="等线" w:hAnsi="Times New Roman" w:cs="Times New Roman"/>
          <w:sz w:val="22"/>
        </w:rPr>
        <w:t xml:space="preserve"> </w:t>
      </w:r>
      <w:r w:rsidRPr="00343AE5">
        <w:rPr>
          <w:rFonts w:asciiTheme="majorBidi" w:hAnsiTheme="majorBidi" w:cstheme="majorBidi"/>
          <w:sz w:val="22"/>
        </w:rPr>
        <w:t xml:space="preserve">visualized the significant results in </w:t>
      </w:r>
      <w:bookmarkStart w:id="5" w:name="_Hlk113746411"/>
      <w:r w:rsidRPr="00343AE5">
        <w:rPr>
          <w:rFonts w:asciiTheme="majorBidi" w:hAnsiTheme="majorBidi" w:cstheme="majorBidi"/>
          <w:sz w:val="22"/>
        </w:rPr>
        <w:t>the bubble plotting tool</w:t>
      </w:r>
      <w:bookmarkEnd w:id="5"/>
      <w:r w:rsidRPr="00343AE5">
        <w:rPr>
          <w:rFonts w:asciiTheme="majorBidi" w:hAnsiTheme="majorBidi" w:cstheme="majorBidi"/>
          <w:sz w:val="22"/>
        </w:rPr>
        <w:t xml:space="preserve">. In addition, we calculated the correlation between the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activity score and cell senescence/cycle markers in each tumor type using Spearman</w:t>
      </w:r>
      <w:r w:rsidRPr="00343AE5">
        <w:rPr>
          <w:rFonts w:asciiTheme="majorBidi" w:eastAsia="等线" w:hAnsiTheme="majorBidi" w:cstheme="majorBidi"/>
          <w:sz w:val="22"/>
        </w:rPr>
        <w:t>’s correlation analysis</w:t>
      </w:r>
      <w:r w:rsidRPr="00343AE5">
        <w:rPr>
          <w:rFonts w:asciiTheme="majorBidi" w:hAnsiTheme="majorBidi" w:cstheme="majorBidi"/>
          <w:sz w:val="22"/>
        </w:rPr>
        <w:t xml:space="preserve"> and visualized the correlation coefficients using the heatmap plotting tool of </w:t>
      </w:r>
      <w:proofErr w:type="spellStart"/>
      <w:r w:rsidRPr="00343AE5">
        <w:rPr>
          <w:rFonts w:asciiTheme="majorBidi" w:hAnsiTheme="majorBidi" w:cstheme="majorBidi"/>
          <w:sz w:val="22"/>
        </w:rPr>
        <w:t>Sangerbox</w:t>
      </w:r>
      <w:proofErr w:type="spellEnd"/>
      <w:r w:rsidRPr="00343AE5">
        <w:rPr>
          <w:rFonts w:asciiTheme="majorBidi" w:hAnsiTheme="majorBidi" w:cstheme="majorBidi"/>
          <w:sz w:val="22"/>
        </w:rPr>
        <w:t>.</w:t>
      </w:r>
    </w:p>
    <w:p w14:paraId="6F19ABE4" w14:textId="77777777" w:rsidR="002923E2" w:rsidRPr="00343AE5" w:rsidRDefault="002923E2" w:rsidP="005355FB">
      <w:pPr>
        <w:spacing w:line="480" w:lineRule="auto"/>
        <w:rPr>
          <w:rFonts w:asciiTheme="majorBidi" w:hAnsiTheme="majorBidi" w:cstheme="majorBidi"/>
          <w:sz w:val="22"/>
        </w:rPr>
      </w:pPr>
    </w:p>
    <w:p w14:paraId="46E44C81" w14:textId="77777777" w:rsidR="002923E2" w:rsidRPr="00343AE5" w:rsidRDefault="002923E2" w:rsidP="005355FB">
      <w:pPr>
        <w:spacing w:line="480" w:lineRule="auto"/>
        <w:rPr>
          <w:rFonts w:asciiTheme="majorBidi" w:hAnsiTheme="majorBidi" w:cstheme="majorBidi"/>
          <w:b/>
          <w:bCs/>
          <w:sz w:val="22"/>
        </w:rPr>
      </w:pPr>
      <w:r w:rsidRPr="00343AE5">
        <w:rPr>
          <w:rFonts w:asciiTheme="majorBidi" w:hAnsiTheme="majorBidi" w:cstheme="majorBidi"/>
          <w:b/>
          <w:bCs/>
          <w:sz w:val="22"/>
        </w:rPr>
        <w:t>Immune characteristic analysis</w:t>
      </w:r>
    </w:p>
    <w:p w14:paraId="3F57C250" w14:textId="77777777"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lastRenderedPageBreak/>
        <w:t xml:space="preserve">The </w:t>
      </w:r>
      <w:proofErr w:type="spellStart"/>
      <w:r w:rsidRPr="00343AE5">
        <w:rPr>
          <w:rFonts w:asciiTheme="majorBidi" w:hAnsiTheme="majorBidi" w:cstheme="majorBidi"/>
          <w:sz w:val="22"/>
        </w:rPr>
        <w:t>ImmuneScore</w:t>
      </w:r>
      <w:proofErr w:type="spellEnd"/>
      <w:r w:rsidRPr="00343AE5">
        <w:rPr>
          <w:rFonts w:asciiTheme="majorBidi" w:hAnsiTheme="majorBidi" w:cstheme="majorBidi"/>
          <w:sz w:val="22"/>
        </w:rPr>
        <w:t xml:space="preserve"> (representing the overall level of immune cell infiltration), </w:t>
      </w:r>
      <w:proofErr w:type="spellStart"/>
      <w:r w:rsidRPr="00343AE5">
        <w:rPr>
          <w:rFonts w:asciiTheme="majorBidi" w:hAnsiTheme="majorBidi" w:cstheme="majorBidi"/>
          <w:sz w:val="22"/>
        </w:rPr>
        <w:t>StromalScore</w:t>
      </w:r>
      <w:proofErr w:type="spellEnd"/>
      <w:r w:rsidRPr="00343AE5">
        <w:rPr>
          <w:rFonts w:asciiTheme="majorBidi" w:hAnsiTheme="majorBidi" w:cstheme="majorBidi"/>
          <w:sz w:val="22"/>
        </w:rPr>
        <w:t xml:space="preserve"> (representing the overall level of stromal infiltration)</w:t>
      </w:r>
      <w:r w:rsidRPr="00343AE5">
        <w:rPr>
          <w:rFonts w:asciiTheme="majorBidi" w:eastAsia="等线" w:hAnsiTheme="majorBidi" w:cstheme="majorBidi"/>
          <w:sz w:val="22"/>
        </w:rPr>
        <w:t xml:space="preserve">, and </w:t>
      </w:r>
      <w:proofErr w:type="spellStart"/>
      <w:r w:rsidRPr="00343AE5">
        <w:rPr>
          <w:rFonts w:asciiTheme="majorBidi" w:hAnsiTheme="majorBidi" w:cstheme="majorBidi"/>
          <w:sz w:val="22"/>
        </w:rPr>
        <w:t>ESTIMATE</w:t>
      </w:r>
      <w:r w:rsidRPr="00343AE5">
        <w:rPr>
          <w:rFonts w:ascii="Times New Roman" w:hAnsi="Times New Roman" w:cs="Times New Roman"/>
          <w:sz w:val="22"/>
        </w:rPr>
        <w:t>S</w:t>
      </w:r>
      <w:r w:rsidRPr="00343AE5">
        <w:rPr>
          <w:rFonts w:asciiTheme="majorBidi" w:hAnsiTheme="majorBidi" w:cstheme="majorBidi"/>
          <w:sz w:val="22"/>
        </w:rPr>
        <w:t>core</w:t>
      </w:r>
      <w:proofErr w:type="spellEnd"/>
      <w:r w:rsidRPr="00343AE5">
        <w:rPr>
          <w:rFonts w:asciiTheme="majorBidi" w:hAnsiTheme="majorBidi" w:cstheme="majorBidi"/>
          <w:sz w:val="22"/>
        </w:rPr>
        <w:t xml:space="preserve"> (negatively correlated with tumor purity) were inferred for each tumor sample using the ESTIMATE algorithm after inputting the mRNA expression data into R software [12], and the correlation between the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activity score and these three were calculated for each tumor type using Spearman’s correlation analysis. The bubble plotting tool was used for visualization. The abundance of 22 immune cells calculated based on the CIBERSORT algorithm was collected from a previous publication [13]</w:t>
      </w:r>
      <w:r w:rsidRPr="00343AE5">
        <w:rPr>
          <w:rFonts w:asciiTheme="majorBidi" w:eastAsia="等线" w:hAnsiTheme="majorBidi" w:cstheme="majorBidi"/>
          <w:sz w:val="22"/>
        </w:rPr>
        <w:t xml:space="preserve">. Subsequently, we matched the </w:t>
      </w:r>
      <w:proofErr w:type="spellStart"/>
      <w:r w:rsidRPr="00343AE5">
        <w:rPr>
          <w:rFonts w:asciiTheme="majorBidi" w:eastAsia="等线" w:hAnsiTheme="majorBidi" w:cstheme="majorBidi"/>
          <w:sz w:val="22"/>
        </w:rPr>
        <w:t>cuproptosis</w:t>
      </w:r>
      <w:proofErr w:type="spellEnd"/>
      <w:r w:rsidRPr="00343AE5">
        <w:rPr>
          <w:rFonts w:asciiTheme="majorBidi" w:eastAsia="等线" w:hAnsiTheme="majorBidi" w:cstheme="majorBidi"/>
          <w:sz w:val="22"/>
        </w:rPr>
        <w:t xml:space="preserve"> activity </w:t>
      </w:r>
      <w:proofErr w:type="spellStart"/>
      <w:r w:rsidRPr="00343AE5">
        <w:rPr>
          <w:rFonts w:asciiTheme="majorBidi" w:eastAsia="等线" w:hAnsiTheme="majorBidi" w:cstheme="majorBidi"/>
          <w:sz w:val="22"/>
        </w:rPr>
        <w:t>socre</w:t>
      </w:r>
      <w:proofErr w:type="spellEnd"/>
      <w:r w:rsidRPr="00343AE5">
        <w:rPr>
          <w:rFonts w:asciiTheme="majorBidi" w:eastAsia="等线" w:hAnsiTheme="majorBidi" w:cstheme="majorBidi"/>
          <w:sz w:val="22"/>
        </w:rPr>
        <w:t xml:space="preserve"> to the obtained immune cell infiltration data. The correlation between immune cell abundance and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activity was calculated for each tumor type using Spearman’s correlation analysis. In addition, immune activation-related genes, immune checkpoint-related genes</w:t>
      </w:r>
      <w:r w:rsidRPr="00343AE5">
        <w:rPr>
          <w:rFonts w:asciiTheme="majorBidi" w:eastAsia="等线" w:hAnsiTheme="majorBidi" w:cstheme="majorBidi"/>
          <w:sz w:val="22"/>
        </w:rPr>
        <w:t xml:space="preserve">, and TGFβ/EMT pathway-related genes </w:t>
      </w:r>
      <w:r w:rsidRPr="00343AE5">
        <w:rPr>
          <w:rFonts w:asciiTheme="majorBidi" w:hAnsiTheme="majorBidi" w:cstheme="majorBidi"/>
          <w:sz w:val="22"/>
        </w:rPr>
        <w:t>were collected from a previous publication by Zeng et al [14].</w:t>
      </w:r>
      <w:r w:rsidRPr="00343AE5">
        <w:rPr>
          <w:rFonts w:asciiTheme="majorBidi" w:hAnsiTheme="majorBidi" w:cstheme="majorBidi"/>
          <w:sz w:val="22"/>
          <w:vertAlign w:val="superscript"/>
        </w:rPr>
        <w:t xml:space="preserve"> </w:t>
      </w:r>
      <w:r w:rsidRPr="00343AE5">
        <w:rPr>
          <w:rFonts w:asciiTheme="majorBidi" w:hAnsiTheme="majorBidi" w:cstheme="majorBidi"/>
          <w:sz w:val="22"/>
        </w:rPr>
        <w:t xml:space="preserve">We extracted the expression data of these genes from the mRNA expression matrix. Then we matched the expression data and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activity score and calculated the Spearman’s correlation between them.</w:t>
      </w:r>
      <w:r w:rsidRPr="00343AE5">
        <w:rPr>
          <w:sz w:val="22"/>
        </w:rPr>
        <w:t xml:space="preserve"> </w:t>
      </w:r>
      <w:r w:rsidRPr="00343AE5">
        <w:rPr>
          <w:rFonts w:asciiTheme="majorBidi" w:hAnsiTheme="majorBidi" w:cstheme="majorBidi"/>
          <w:sz w:val="22"/>
        </w:rPr>
        <w:t>In addition, we obtained the pan-cancer immune subtype classification data from the study of Thorsson et al [13].</w:t>
      </w:r>
      <w:r w:rsidRPr="00343AE5">
        <w:rPr>
          <w:sz w:val="22"/>
        </w:rPr>
        <w:t xml:space="preserve"> </w:t>
      </w:r>
      <w:r w:rsidRPr="00343AE5">
        <w:rPr>
          <w:rFonts w:asciiTheme="majorBidi" w:hAnsiTheme="majorBidi" w:cstheme="majorBidi"/>
          <w:sz w:val="22"/>
        </w:rPr>
        <w:t xml:space="preserve">We compared the difference in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activity score among these immune subtypes after matching the immune subtype and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activity score for each sample by barcode.</w:t>
      </w:r>
    </w:p>
    <w:p w14:paraId="24C63B8D" w14:textId="77777777" w:rsidR="002923E2" w:rsidRPr="00343AE5" w:rsidRDefault="002923E2" w:rsidP="005355FB">
      <w:pPr>
        <w:spacing w:line="480" w:lineRule="auto"/>
        <w:rPr>
          <w:rFonts w:asciiTheme="majorBidi" w:hAnsiTheme="majorBidi" w:cstheme="majorBidi"/>
          <w:sz w:val="22"/>
        </w:rPr>
      </w:pPr>
    </w:p>
    <w:p w14:paraId="63E74472" w14:textId="77777777"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 xml:space="preserve">For the immunotherapy datasets, gene expression data and clinical information for the IMvigor210 cohort were obtained from IMvigor210 Core </w:t>
      </w:r>
      <w:proofErr w:type="spellStart"/>
      <w:r w:rsidRPr="00343AE5">
        <w:rPr>
          <w:rFonts w:asciiTheme="majorBidi" w:hAnsiTheme="majorBidi" w:cstheme="majorBidi"/>
          <w:sz w:val="22"/>
        </w:rPr>
        <w:t>Biologies</w:t>
      </w:r>
      <w:proofErr w:type="spellEnd"/>
      <w:r w:rsidRPr="00343AE5">
        <w:rPr>
          <w:rFonts w:asciiTheme="majorBidi" w:hAnsiTheme="majorBidi" w:cstheme="majorBidi"/>
          <w:sz w:val="22"/>
        </w:rPr>
        <w:t xml:space="preserve"> (</w:t>
      </w:r>
      <w:hyperlink r:id="rId16" w:history="1">
        <w:r w:rsidRPr="00343AE5">
          <w:rPr>
            <w:rStyle w:val="a8"/>
            <w:rFonts w:asciiTheme="majorBidi" w:hAnsiTheme="majorBidi" w:cstheme="majorBidi"/>
            <w:sz w:val="22"/>
          </w:rPr>
          <w:t>http://research-pub.gene.com/IMvigor210CoreBiologies</w:t>
        </w:r>
      </w:hyperlink>
      <w:r w:rsidRPr="00343AE5">
        <w:rPr>
          <w:rFonts w:asciiTheme="majorBidi" w:hAnsiTheme="majorBidi" w:cstheme="majorBidi"/>
          <w:sz w:val="22"/>
        </w:rPr>
        <w:t>, accessed on March 2022) [15],</w:t>
      </w:r>
      <w:r w:rsidRPr="00343AE5">
        <w:rPr>
          <w:sz w:val="22"/>
        </w:rPr>
        <w:t xml:space="preserve"> </w:t>
      </w:r>
      <w:r w:rsidRPr="00343AE5">
        <w:rPr>
          <w:rFonts w:asciiTheme="majorBidi" w:hAnsiTheme="majorBidi" w:cstheme="majorBidi"/>
          <w:sz w:val="22"/>
        </w:rPr>
        <w:t xml:space="preserve">and this link provides </w:t>
      </w:r>
      <w:r w:rsidRPr="00343AE5">
        <w:rPr>
          <w:rFonts w:asciiTheme="majorBidi" w:hAnsiTheme="majorBidi" w:cstheme="majorBidi"/>
          <w:sz w:val="22"/>
        </w:rPr>
        <w:lastRenderedPageBreak/>
        <w:t>details on how to use the IMvigor210 cohort. Gene expression data of IMvigor210 cohort were converted to transcripts per kilobase million values and log2(x</w:t>
      </w:r>
      <w:r w:rsidRPr="00343AE5">
        <w:rPr>
          <w:rFonts w:asciiTheme="majorBidi" w:eastAsia="等线" w:hAnsiTheme="majorBidi" w:cstheme="majorBidi"/>
          <w:sz w:val="22"/>
        </w:rPr>
        <w:t xml:space="preserve"> </w:t>
      </w:r>
      <w:r w:rsidRPr="00343AE5">
        <w:rPr>
          <w:rFonts w:asciiTheme="majorBidi" w:hAnsiTheme="majorBidi" w:cstheme="majorBidi"/>
          <w:sz w:val="22"/>
        </w:rPr>
        <w:t>+1) transformation</w:t>
      </w:r>
      <w:r w:rsidRPr="00343AE5">
        <w:rPr>
          <w:rFonts w:asciiTheme="majorBidi" w:eastAsia="等线" w:hAnsiTheme="majorBidi" w:cstheme="majorBidi"/>
          <w:sz w:val="22"/>
        </w:rPr>
        <w:t xml:space="preserve"> was performed</w:t>
      </w:r>
      <w:r w:rsidRPr="00343AE5">
        <w:rPr>
          <w:rFonts w:asciiTheme="majorBidi" w:hAnsiTheme="majorBidi" w:cstheme="majorBidi"/>
          <w:sz w:val="22"/>
        </w:rPr>
        <w:t xml:space="preserve">. Calculating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score by GSVA algorithm, and Calculating </w:t>
      </w:r>
      <w:proofErr w:type="spellStart"/>
      <w:r w:rsidRPr="00343AE5">
        <w:rPr>
          <w:rFonts w:asciiTheme="majorBidi" w:hAnsiTheme="majorBidi" w:cstheme="majorBidi"/>
          <w:sz w:val="22"/>
        </w:rPr>
        <w:t>ImmuneScore</w:t>
      </w:r>
      <w:proofErr w:type="spellEnd"/>
      <w:r w:rsidRPr="00343AE5">
        <w:rPr>
          <w:rFonts w:asciiTheme="majorBidi" w:hAnsiTheme="majorBidi" w:cstheme="majorBidi"/>
          <w:sz w:val="22"/>
        </w:rPr>
        <w:t xml:space="preserve">, </w:t>
      </w:r>
      <w:proofErr w:type="spellStart"/>
      <w:r w:rsidRPr="00343AE5">
        <w:rPr>
          <w:rFonts w:asciiTheme="majorBidi" w:hAnsiTheme="majorBidi" w:cstheme="majorBidi"/>
          <w:sz w:val="22"/>
        </w:rPr>
        <w:t>StromalScore</w:t>
      </w:r>
      <w:proofErr w:type="spellEnd"/>
      <w:r w:rsidRPr="00343AE5">
        <w:rPr>
          <w:rFonts w:asciiTheme="majorBidi" w:hAnsiTheme="majorBidi" w:cstheme="majorBidi"/>
          <w:sz w:val="22"/>
        </w:rPr>
        <w:t xml:space="preserve"> and </w:t>
      </w:r>
      <w:proofErr w:type="spellStart"/>
      <w:r w:rsidRPr="00343AE5">
        <w:rPr>
          <w:rFonts w:asciiTheme="majorBidi" w:hAnsiTheme="majorBidi" w:cstheme="majorBidi"/>
          <w:sz w:val="22"/>
        </w:rPr>
        <w:t>ESTIMATEScore</w:t>
      </w:r>
      <w:proofErr w:type="spellEnd"/>
      <w:r w:rsidRPr="00343AE5">
        <w:rPr>
          <w:rFonts w:asciiTheme="majorBidi" w:hAnsiTheme="majorBidi" w:cstheme="majorBidi"/>
          <w:sz w:val="22"/>
        </w:rPr>
        <w:t xml:space="preserve"> by ESTIMATE algorithm. We merged all data and only retained samples with complete survival information and treatment response information.</w:t>
      </w:r>
      <w:r w:rsidRPr="00343AE5">
        <w:rPr>
          <w:sz w:val="22"/>
        </w:rPr>
        <w:t xml:space="preserve"> </w:t>
      </w:r>
      <w:r w:rsidRPr="00343AE5">
        <w:rPr>
          <w:rFonts w:asciiTheme="majorBidi" w:hAnsiTheme="majorBidi" w:cstheme="majorBidi"/>
          <w:sz w:val="22"/>
        </w:rPr>
        <w:t xml:space="preserve">Then, we calculated the Spearman’s correlation between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activity score and PL-1 expression and plotted the Kaplan Meier survival curve of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activity score using the single-variable survival analysis tool in </w:t>
      </w:r>
      <w:proofErr w:type="spellStart"/>
      <w:r w:rsidRPr="00343AE5">
        <w:rPr>
          <w:rFonts w:asciiTheme="majorBidi" w:hAnsiTheme="majorBidi" w:cstheme="majorBidi"/>
          <w:sz w:val="22"/>
        </w:rPr>
        <w:t>Sangebox</w:t>
      </w:r>
      <w:proofErr w:type="spellEnd"/>
      <w:r w:rsidRPr="00343AE5">
        <w:rPr>
          <w:rFonts w:asciiTheme="majorBidi" w:hAnsiTheme="majorBidi" w:cstheme="majorBidi"/>
          <w:sz w:val="22"/>
        </w:rPr>
        <w:t>. In addition, normalized gene expression data and clinical information for the GSE78220 cohort were obtained from the Gene Expression Omnibus database (</w:t>
      </w:r>
      <w:hyperlink r:id="rId17" w:history="1">
        <w:r w:rsidRPr="00343AE5">
          <w:rPr>
            <w:rStyle w:val="a8"/>
            <w:rFonts w:asciiTheme="majorBidi" w:hAnsiTheme="majorBidi" w:cstheme="majorBidi"/>
            <w:sz w:val="22"/>
          </w:rPr>
          <w:t>https://www.ncbi.nlm.nih.gov/geo/</w:t>
        </w:r>
      </w:hyperlink>
      <w:r w:rsidRPr="00343AE5">
        <w:rPr>
          <w:rFonts w:asciiTheme="majorBidi" w:hAnsiTheme="majorBidi" w:cstheme="majorBidi"/>
          <w:sz w:val="22"/>
        </w:rPr>
        <w:t>, accessed on March 2022) [6], and gene expression data were transformed using log2(x+1).</w:t>
      </w:r>
      <w:r w:rsidRPr="00343AE5">
        <w:rPr>
          <w:sz w:val="22"/>
        </w:rPr>
        <w:t xml:space="preserve"> </w:t>
      </w:r>
      <w:r w:rsidRPr="00343AE5">
        <w:rPr>
          <w:rFonts w:asciiTheme="majorBidi" w:hAnsiTheme="majorBidi" w:cstheme="majorBidi"/>
          <w:sz w:val="22"/>
        </w:rPr>
        <w:t>We used the same method as the IMvigor210 cohort to analyze the GSE78220 cohort.</w:t>
      </w:r>
    </w:p>
    <w:p w14:paraId="3A39BA68" w14:textId="77777777" w:rsidR="002923E2" w:rsidRPr="00343AE5" w:rsidRDefault="002923E2" w:rsidP="005355FB">
      <w:pPr>
        <w:spacing w:line="480" w:lineRule="auto"/>
        <w:rPr>
          <w:rFonts w:asciiTheme="majorBidi" w:hAnsiTheme="majorBidi" w:cstheme="majorBidi"/>
          <w:sz w:val="22"/>
        </w:rPr>
      </w:pPr>
    </w:p>
    <w:p w14:paraId="53B0FE53" w14:textId="77777777" w:rsidR="002923E2" w:rsidRPr="00343AE5" w:rsidRDefault="002923E2" w:rsidP="005355FB">
      <w:pPr>
        <w:spacing w:line="480" w:lineRule="auto"/>
        <w:rPr>
          <w:rFonts w:asciiTheme="majorBidi" w:hAnsiTheme="majorBidi" w:cstheme="majorBidi"/>
          <w:b/>
          <w:bCs/>
          <w:sz w:val="22"/>
        </w:rPr>
      </w:pPr>
      <w:r w:rsidRPr="00343AE5">
        <w:rPr>
          <w:rFonts w:asciiTheme="majorBidi" w:hAnsiTheme="majorBidi" w:cstheme="majorBidi"/>
          <w:b/>
          <w:bCs/>
          <w:sz w:val="22"/>
        </w:rPr>
        <w:t>Drug sensitivity analysis</w:t>
      </w:r>
    </w:p>
    <w:p w14:paraId="48198820" w14:textId="77777777" w:rsidR="002923E2" w:rsidRPr="00343AE5" w:rsidRDefault="002923E2" w:rsidP="005355FB">
      <w:pPr>
        <w:spacing w:line="480" w:lineRule="auto"/>
        <w:rPr>
          <w:color w:val="FF0000"/>
          <w:sz w:val="22"/>
        </w:rPr>
      </w:pPr>
      <w:r w:rsidRPr="00343AE5">
        <w:rPr>
          <w:rFonts w:asciiTheme="majorBidi" w:hAnsiTheme="majorBidi" w:cstheme="majorBidi"/>
          <w:sz w:val="22"/>
        </w:rPr>
        <w:t>Normalized gene expression data of 809 tumor cell lines and response data for each cell line to 198 compounds were downloaded from the Genomics of Drug Sensitivity in Cancer</w:t>
      </w:r>
      <w:r w:rsidRPr="00343AE5" w:rsidDel="005140DF">
        <w:rPr>
          <w:rFonts w:asciiTheme="majorBidi" w:hAnsiTheme="majorBidi" w:cstheme="majorBidi"/>
          <w:sz w:val="22"/>
        </w:rPr>
        <w:t xml:space="preserve"> </w:t>
      </w:r>
      <w:r w:rsidRPr="00343AE5">
        <w:rPr>
          <w:rFonts w:asciiTheme="majorBidi" w:hAnsiTheme="majorBidi" w:cstheme="majorBidi"/>
          <w:sz w:val="22"/>
        </w:rPr>
        <w:t xml:space="preserve">database (GDSC, </w:t>
      </w:r>
      <w:hyperlink r:id="rId18" w:history="1">
        <w:r w:rsidRPr="00343AE5">
          <w:rPr>
            <w:rStyle w:val="a8"/>
            <w:rFonts w:asciiTheme="majorBidi" w:hAnsiTheme="majorBidi" w:cstheme="majorBidi"/>
            <w:sz w:val="22"/>
          </w:rPr>
          <w:t>https://www.cancerrxgene.org/</w:t>
        </w:r>
      </w:hyperlink>
      <w:r w:rsidRPr="00343AE5">
        <w:rPr>
          <w:rFonts w:asciiTheme="majorBidi" w:hAnsiTheme="majorBidi" w:cstheme="majorBidi"/>
          <w:sz w:val="22"/>
        </w:rPr>
        <w:t xml:space="preserve">, accessed on March 2022) [16], and </w:t>
      </w:r>
      <w:r w:rsidRPr="00343AE5">
        <w:rPr>
          <w:rFonts w:asciiTheme="majorBidi" w:eastAsia="等线" w:hAnsiTheme="majorBidi" w:cstheme="majorBidi"/>
          <w:sz w:val="22"/>
        </w:rPr>
        <w:t>the drug response data were converted to IC</w:t>
      </w:r>
      <w:r w:rsidRPr="00343AE5">
        <w:rPr>
          <w:rFonts w:asciiTheme="majorBidi" w:eastAsia="等线" w:hAnsiTheme="majorBidi" w:cstheme="majorBidi"/>
          <w:sz w:val="22"/>
          <w:vertAlign w:val="subscript"/>
        </w:rPr>
        <w:t>50</w:t>
      </w:r>
      <w:r w:rsidRPr="00343AE5">
        <w:rPr>
          <w:rFonts w:asciiTheme="majorBidi" w:eastAsia="等线" w:hAnsiTheme="majorBidi" w:cstheme="majorBidi"/>
          <w:sz w:val="22"/>
        </w:rPr>
        <w:t xml:space="preserve"> values. The </w:t>
      </w:r>
      <w:proofErr w:type="spellStart"/>
      <w:r w:rsidRPr="00343AE5">
        <w:rPr>
          <w:rFonts w:asciiTheme="majorBidi" w:eastAsia="等线" w:hAnsiTheme="majorBidi" w:cstheme="majorBidi"/>
          <w:sz w:val="22"/>
        </w:rPr>
        <w:t>cuproptosis</w:t>
      </w:r>
      <w:proofErr w:type="spellEnd"/>
      <w:r w:rsidRPr="00343AE5">
        <w:rPr>
          <w:rFonts w:asciiTheme="majorBidi" w:eastAsia="等线" w:hAnsiTheme="majorBidi" w:cstheme="majorBidi"/>
          <w:sz w:val="22"/>
        </w:rPr>
        <w:t xml:space="preserve"> scores were calculated for each cell line using the GSVA </w:t>
      </w:r>
      <w:r w:rsidRPr="00343AE5">
        <w:rPr>
          <w:rFonts w:asciiTheme="majorBidi" w:hAnsiTheme="majorBidi" w:cstheme="majorBidi"/>
          <w:sz w:val="22"/>
        </w:rPr>
        <w:t>algorithm</w:t>
      </w:r>
      <w:r w:rsidRPr="00343AE5">
        <w:rPr>
          <w:rFonts w:asciiTheme="majorBidi" w:eastAsia="等线" w:hAnsiTheme="majorBidi" w:cstheme="majorBidi"/>
          <w:sz w:val="22"/>
        </w:rPr>
        <w:t xml:space="preserve">. After matching the </w:t>
      </w:r>
      <w:proofErr w:type="spellStart"/>
      <w:r w:rsidRPr="00343AE5">
        <w:rPr>
          <w:rFonts w:asciiTheme="majorBidi" w:eastAsia="等线" w:hAnsiTheme="majorBidi" w:cstheme="majorBidi"/>
          <w:sz w:val="22"/>
        </w:rPr>
        <w:t>cuproptosis</w:t>
      </w:r>
      <w:proofErr w:type="spellEnd"/>
      <w:r w:rsidRPr="00343AE5">
        <w:rPr>
          <w:rFonts w:asciiTheme="majorBidi" w:eastAsia="等线" w:hAnsiTheme="majorBidi" w:cstheme="majorBidi"/>
          <w:sz w:val="22"/>
        </w:rPr>
        <w:t xml:space="preserve"> activity and IC</w:t>
      </w:r>
      <w:r w:rsidRPr="00343AE5">
        <w:rPr>
          <w:rFonts w:asciiTheme="majorBidi" w:eastAsia="等线" w:hAnsiTheme="majorBidi" w:cstheme="majorBidi"/>
          <w:sz w:val="22"/>
          <w:vertAlign w:val="subscript"/>
        </w:rPr>
        <w:t>50</w:t>
      </w:r>
      <w:r w:rsidRPr="00343AE5">
        <w:rPr>
          <w:rFonts w:asciiTheme="majorBidi" w:eastAsia="等线" w:hAnsiTheme="majorBidi" w:cstheme="majorBidi"/>
          <w:sz w:val="22"/>
        </w:rPr>
        <w:t xml:space="preserve"> values, </w:t>
      </w:r>
      <w:bookmarkStart w:id="6" w:name="_Hlk113749726"/>
      <w:r w:rsidRPr="00343AE5">
        <w:rPr>
          <w:rFonts w:asciiTheme="majorBidi" w:hAnsiTheme="majorBidi" w:cstheme="majorBidi"/>
          <w:sz w:val="22"/>
        </w:rPr>
        <w:t xml:space="preserve">Spearman’s correlations between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activity and IC</w:t>
      </w:r>
      <w:r w:rsidRPr="00343AE5">
        <w:rPr>
          <w:rFonts w:asciiTheme="majorBidi" w:hAnsiTheme="majorBidi" w:cstheme="majorBidi"/>
          <w:sz w:val="22"/>
          <w:vertAlign w:val="subscript"/>
        </w:rPr>
        <w:t xml:space="preserve">50 </w:t>
      </w:r>
      <w:r w:rsidRPr="00343AE5">
        <w:rPr>
          <w:rFonts w:asciiTheme="majorBidi" w:hAnsiTheme="majorBidi" w:cstheme="majorBidi"/>
          <w:sz w:val="22"/>
        </w:rPr>
        <w:t xml:space="preserve">value for each drug were subsequently calculated, and only drugs with absolute values of correlation coefficients &gt; 0.1 and </w:t>
      </w:r>
      <w:r w:rsidRPr="00A548A8">
        <w:rPr>
          <w:rFonts w:asciiTheme="majorBidi" w:hAnsiTheme="majorBidi" w:cstheme="majorBidi"/>
          <w:i/>
          <w:iCs/>
          <w:sz w:val="22"/>
        </w:rPr>
        <w:t>P</w:t>
      </w:r>
      <w:r w:rsidRPr="00343AE5">
        <w:rPr>
          <w:rFonts w:asciiTheme="majorBidi" w:hAnsiTheme="majorBidi" w:cstheme="majorBidi"/>
          <w:sz w:val="22"/>
        </w:rPr>
        <w:t xml:space="preserve"> &lt; 0.05 were considered to be</w:t>
      </w:r>
      <w:bookmarkEnd w:id="6"/>
      <w:r w:rsidRPr="00343AE5">
        <w:rPr>
          <w:rFonts w:asciiTheme="majorBidi" w:hAnsiTheme="majorBidi" w:cstheme="majorBidi"/>
          <w:sz w:val="22"/>
        </w:rPr>
        <w:t xml:space="preserve"> associated with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The target data of the drugs were then </w:t>
      </w:r>
      <w:r w:rsidRPr="00343AE5">
        <w:rPr>
          <w:rFonts w:asciiTheme="majorBidi" w:hAnsiTheme="majorBidi" w:cstheme="majorBidi"/>
          <w:sz w:val="22"/>
        </w:rPr>
        <w:lastRenderedPageBreak/>
        <w:t>matched with those of screened drugs.</w:t>
      </w:r>
      <w:r w:rsidRPr="00343AE5">
        <w:rPr>
          <w:sz w:val="22"/>
        </w:rPr>
        <w:t xml:space="preserve"> </w:t>
      </w:r>
      <w:r w:rsidRPr="00343AE5">
        <w:rPr>
          <w:rFonts w:asciiTheme="majorBidi" w:hAnsiTheme="majorBidi" w:cstheme="majorBidi"/>
          <w:sz w:val="22"/>
        </w:rPr>
        <w:t xml:space="preserve">We used the bar graph plotting tool of </w:t>
      </w:r>
      <w:proofErr w:type="spellStart"/>
      <w:r w:rsidRPr="00343AE5">
        <w:rPr>
          <w:rFonts w:asciiTheme="majorBidi" w:hAnsiTheme="majorBidi" w:cstheme="majorBidi"/>
          <w:sz w:val="22"/>
        </w:rPr>
        <w:t>Sangerbox</w:t>
      </w:r>
      <w:proofErr w:type="spellEnd"/>
      <w:r w:rsidRPr="00343AE5">
        <w:rPr>
          <w:rFonts w:asciiTheme="majorBidi" w:hAnsiTheme="majorBidi" w:cstheme="majorBidi"/>
          <w:sz w:val="22"/>
        </w:rPr>
        <w:t xml:space="preserve"> to visualize these results.</w:t>
      </w:r>
      <w:r w:rsidRPr="00343AE5">
        <w:rPr>
          <w:color w:val="FF0000"/>
          <w:sz w:val="22"/>
        </w:rPr>
        <w:t xml:space="preserve"> </w:t>
      </w:r>
    </w:p>
    <w:p w14:paraId="16880287" w14:textId="77777777" w:rsidR="002923E2" w:rsidRPr="00343AE5" w:rsidRDefault="002923E2" w:rsidP="005355FB">
      <w:pPr>
        <w:spacing w:line="480" w:lineRule="auto"/>
        <w:rPr>
          <w:color w:val="FF0000"/>
          <w:sz w:val="22"/>
        </w:rPr>
      </w:pPr>
    </w:p>
    <w:p w14:paraId="7AD5B2C8" w14:textId="77777777"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In addition, we extracted the mRNA expression data of ACC samples and estimated the IC</w:t>
      </w:r>
      <w:r w:rsidRPr="00343AE5">
        <w:rPr>
          <w:rFonts w:asciiTheme="majorBidi" w:hAnsiTheme="majorBidi" w:cstheme="majorBidi"/>
          <w:sz w:val="22"/>
          <w:vertAlign w:val="subscript"/>
        </w:rPr>
        <w:t>50</w:t>
      </w:r>
      <w:r w:rsidRPr="00343AE5">
        <w:rPr>
          <w:rFonts w:asciiTheme="majorBidi" w:hAnsiTheme="majorBidi" w:cstheme="majorBidi"/>
          <w:sz w:val="22"/>
        </w:rPr>
        <w:t xml:space="preserve"> of every drug using </w:t>
      </w:r>
      <w:proofErr w:type="spellStart"/>
      <w:r w:rsidRPr="00343AE5">
        <w:rPr>
          <w:rFonts w:asciiTheme="majorBidi" w:hAnsiTheme="majorBidi" w:cstheme="majorBidi"/>
          <w:sz w:val="22"/>
        </w:rPr>
        <w:t>oncoPredict</w:t>
      </w:r>
      <w:proofErr w:type="spellEnd"/>
      <w:r w:rsidRPr="00343AE5">
        <w:rPr>
          <w:rFonts w:asciiTheme="majorBidi" w:hAnsiTheme="majorBidi" w:cstheme="majorBidi"/>
          <w:sz w:val="22"/>
        </w:rPr>
        <w:t xml:space="preserve"> algorithm [17]. This algorithm is based on ridge regression. We used the gene expression profile of GDSC tumor cell lines </w:t>
      </w:r>
      <w:r w:rsidRPr="00343AE5">
        <w:rPr>
          <w:rFonts w:asciiTheme="majorBidi" w:hAnsiTheme="majorBidi" w:cstheme="majorBidi" w:hint="eastAsia"/>
          <w:sz w:val="22"/>
        </w:rPr>
        <w:t>and</w:t>
      </w:r>
      <w:r w:rsidRPr="00343AE5">
        <w:rPr>
          <w:rFonts w:asciiTheme="majorBidi" w:hAnsiTheme="majorBidi" w:cstheme="majorBidi"/>
          <w:sz w:val="22"/>
        </w:rPr>
        <w:t xml:space="preserve"> drug response data as </w:t>
      </w:r>
      <w:r w:rsidRPr="00343AE5">
        <w:rPr>
          <w:rFonts w:asciiTheme="majorBidi" w:hAnsiTheme="majorBidi" w:cstheme="majorBidi" w:hint="eastAsia"/>
          <w:sz w:val="22"/>
        </w:rPr>
        <w:t>the</w:t>
      </w:r>
      <w:r w:rsidRPr="00343AE5">
        <w:rPr>
          <w:rFonts w:asciiTheme="majorBidi" w:hAnsiTheme="majorBidi" w:cstheme="majorBidi"/>
          <w:sz w:val="22"/>
        </w:rPr>
        <w:t xml:space="preserve"> training set to infer the IC</w:t>
      </w:r>
      <w:r w:rsidRPr="00343AE5">
        <w:rPr>
          <w:rFonts w:asciiTheme="majorBidi" w:hAnsiTheme="majorBidi" w:cstheme="majorBidi"/>
          <w:sz w:val="22"/>
          <w:vertAlign w:val="subscript"/>
        </w:rPr>
        <w:t>50</w:t>
      </w:r>
      <w:r w:rsidRPr="00343AE5">
        <w:rPr>
          <w:rFonts w:asciiTheme="majorBidi" w:hAnsiTheme="majorBidi" w:cstheme="majorBidi"/>
          <w:sz w:val="22"/>
        </w:rPr>
        <w:t xml:space="preserve"> of 198 drugs in individual ACC sample. Then we calculated the correlation between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activity and IC</w:t>
      </w:r>
      <w:r w:rsidRPr="00343AE5">
        <w:rPr>
          <w:rFonts w:asciiTheme="majorBidi" w:hAnsiTheme="majorBidi" w:cstheme="majorBidi"/>
          <w:sz w:val="22"/>
          <w:vertAlign w:val="subscript"/>
        </w:rPr>
        <w:t>50</w:t>
      </w:r>
      <w:r w:rsidRPr="00343AE5">
        <w:rPr>
          <w:rFonts w:asciiTheme="majorBidi" w:hAnsiTheme="majorBidi" w:cstheme="majorBidi"/>
          <w:sz w:val="22"/>
        </w:rPr>
        <w:t xml:space="preserve"> value for each drug, and only drugs with absolute values of correlation coefficients &gt; 0.2 and </w:t>
      </w:r>
      <w:r w:rsidRPr="00A548A8">
        <w:rPr>
          <w:rFonts w:asciiTheme="majorBidi" w:hAnsiTheme="majorBidi" w:cstheme="majorBidi"/>
          <w:i/>
          <w:iCs/>
          <w:sz w:val="22"/>
        </w:rPr>
        <w:t>P</w:t>
      </w:r>
      <w:r w:rsidRPr="00343AE5">
        <w:rPr>
          <w:rFonts w:asciiTheme="majorBidi" w:hAnsiTheme="majorBidi" w:cstheme="majorBidi"/>
          <w:sz w:val="22"/>
        </w:rPr>
        <w:t xml:space="preserve"> &lt; 0.05 were considered to be significant. The target data of the drugs were then matched with those of screened drugs. </w:t>
      </w:r>
    </w:p>
    <w:p w14:paraId="73389645" w14:textId="77777777" w:rsidR="002923E2" w:rsidRPr="00343AE5" w:rsidRDefault="002923E2" w:rsidP="005355FB">
      <w:pPr>
        <w:spacing w:line="480" w:lineRule="auto"/>
        <w:rPr>
          <w:rFonts w:asciiTheme="majorBidi" w:hAnsiTheme="majorBidi" w:cstheme="majorBidi"/>
          <w:sz w:val="22"/>
        </w:rPr>
      </w:pPr>
    </w:p>
    <w:p w14:paraId="5CE9B965" w14:textId="77777777" w:rsidR="002923E2" w:rsidRPr="00343AE5" w:rsidRDefault="002923E2" w:rsidP="005355FB">
      <w:pPr>
        <w:spacing w:line="480" w:lineRule="auto"/>
        <w:rPr>
          <w:color w:val="FF0000"/>
          <w:sz w:val="22"/>
        </w:rPr>
      </w:pPr>
      <w:r w:rsidRPr="00343AE5">
        <w:rPr>
          <w:rFonts w:asciiTheme="majorBidi" w:hAnsiTheme="majorBidi" w:cstheme="majorBidi"/>
          <w:sz w:val="22"/>
        </w:rPr>
        <w:t xml:space="preserve">The cell model figure of </w:t>
      </w:r>
      <w:proofErr w:type="spellStart"/>
      <w:r w:rsidRPr="00343AE5">
        <w:rPr>
          <w:rFonts w:asciiTheme="majorBidi" w:hAnsiTheme="majorBidi" w:cstheme="majorBidi"/>
          <w:sz w:val="22"/>
        </w:rPr>
        <w:t>cuproptosis</w:t>
      </w:r>
      <w:proofErr w:type="spellEnd"/>
      <w:r w:rsidRPr="00343AE5">
        <w:rPr>
          <w:rFonts w:asciiTheme="majorBidi" w:hAnsiTheme="majorBidi" w:cstheme="majorBidi"/>
          <w:sz w:val="22"/>
        </w:rPr>
        <w:t xml:space="preserve"> was generated by </w:t>
      </w:r>
      <w:proofErr w:type="spellStart"/>
      <w:r w:rsidRPr="00343AE5">
        <w:rPr>
          <w:rFonts w:asciiTheme="majorBidi" w:hAnsiTheme="majorBidi" w:cstheme="majorBidi"/>
          <w:sz w:val="22"/>
        </w:rPr>
        <w:t>Figdraw</w:t>
      </w:r>
      <w:proofErr w:type="spellEnd"/>
      <w:r w:rsidRPr="00343AE5">
        <w:rPr>
          <w:rFonts w:asciiTheme="majorBidi" w:hAnsiTheme="majorBidi" w:cstheme="majorBidi"/>
          <w:sz w:val="22"/>
        </w:rPr>
        <w:t>.</w:t>
      </w:r>
    </w:p>
    <w:p w14:paraId="0D7A39ED" w14:textId="77777777" w:rsidR="002923E2" w:rsidRPr="00343AE5" w:rsidRDefault="002923E2" w:rsidP="005355FB">
      <w:pPr>
        <w:spacing w:line="480" w:lineRule="auto"/>
        <w:rPr>
          <w:rFonts w:ascii="Times New Roman" w:hAnsi="Times New Roman" w:cs="Times New Roman"/>
          <w:b/>
          <w:bCs/>
          <w:sz w:val="22"/>
        </w:rPr>
      </w:pPr>
    </w:p>
    <w:p w14:paraId="250CF198" w14:textId="77777777" w:rsidR="002923E2" w:rsidRPr="00343AE5" w:rsidRDefault="002923E2" w:rsidP="005355FB">
      <w:pPr>
        <w:spacing w:line="480" w:lineRule="auto"/>
        <w:rPr>
          <w:rFonts w:ascii="Times New Roman" w:hAnsi="Times New Roman" w:cs="Times New Roman"/>
          <w:b/>
          <w:bCs/>
          <w:sz w:val="22"/>
        </w:rPr>
      </w:pPr>
      <w:r w:rsidRPr="00343AE5">
        <w:rPr>
          <w:rFonts w:ascii="Times New Roman" w:hAnsi="Times New Roman" w:cs="Times New Roman" w:hint="eastAsia"/>
          <w:b/>
          <w:bCs/>
          <w:sz w:val="22"/>
        </w:rPr>
        <w:t>R</w:t>
      </w:r>
      <w:r w:rsidRPr="00343AE5">
        <w:rPr>
          <w:rFonts w:ascii="Times New Roman" w:hAnsi="Times New Roman" w:cs="Times New Roman"/>
          <w:b/>
          <w:bCs/>
          <w:sz w:val="22"/>
        </w:rPr>
        <w:t>eferences</w:t>
      </w:r>
    </w:p>
    <w:p w14:paraId="7C9D2C68" w14:textId="5C256B29" w:rsidR="002923E2" w:rsidRPr="00D12CDC" w:rsidRDefault="002923E2" w:rsidP="00D12CDC">
      <w:pPr>
        <w:pStyle w:val="EndNoteBibliography"/>
        <w:spacing w:line="480" w:lineRule="auto"/>
        <w:rPr>
          <w:rFonts w:ascii="Times New Roman" w:hAnsi="Times New Roman" w:cs="Times New Roman" w:hint="eastAsia"/>
          <w:sz w:val="22"/>
        </w:rPr>
      </w:pPr>
      <w:r w:rsidRPr="00343AE5">
        <w:rPr>
          <w:rFonts w:asciiTheme="majorBidi" w:hAnsiTheme="majorBidi" w:cstheme="majorBidi"/>
          <w:sz w:val="22"/>
        </w:rPr>
        <w:t>1.</w:t>
      </w:r>
      <w:r w:rsidRPr="00343AE5">
        <w:rPr>
          <w:rFonts w:asciiTheme="majorBidi" w:hAnsiTheme="majorBidi" w:cstheme="majorBidi"/>
          <w:sz w:val="22"/>
        </w:rPr>
        <w:tab/>
      </w:r>
      <w:r w:rsidR="00D12CDC" w:rsidRPr="00426912">
        <w:rPr>
          <w:rFonts w:ascii="Times New Roman" w:hAnsi="Times New Roman" w:cs="Times New Roman"/>
          <w:sz w:val="22"/>
        </w:rPr>
        <w:t xml:space="preserve">Beroukhim, Rameen, Craig H. Mermel, Dale Porter, Guo Wei, Soumya Raychaudhuri, Jerry Donovan, Jordi Barretina, et al. 2010. “The landscape of somatic copy-number alteration across human cancers.” </w:t>
      </w:r>
      <w:r w:rsidR="00D12CDC" w:rsidRPr="00426912">
        <w:rPr>
          <w:rFonts w:ascii="Times New Roman" w:hAnsi="Times New Roman" w:cs="Times New Roman"/>
          <w:i/>
          <w:sz w:val="22"/>
        </w:rPr>
        <w:t>Nature</w:t>
      </w:r>
      <w:r w:rsidR="00D12CDC" w:rsidRPr="00426912">
        <w:rPr>
          <w:rFonts w:ascii="Times New Roman" w:hAnsi="Times New Roman" w:cs="Times New Roman"/>
          <w:sz w:val="22"/>
        </w:rPr>
        <w:t xml:space="preserve"> 463: 899-905. </w:t>
      </w:r>
      <w:hyperlink r:id="rId19" w:history="1">
        <w:r w:rsidR="00D12CDC" w:rsidRPr="00426912">
          <w:rPr>
            <w:rStyle w:val="a8"/>
            <w:rFonts w:ascii="Times New Roman" w:hAnsi="Times New Roman" w:cs="Times New Roman"/>
            <w:sz w:val="22"/>
          </w:rPr>
          <w:t>https://doi.org/10.1038/nature08822</w:t>
        </w:r>
      </w:hyperlink>
    </w:p>
    <w:p w14:paraId="34BD89F8" w14:textId="1EF4C082"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2.</w:t>
      </w:r>
      <w:r w:rsidR="007119BC">
        <w:rPr>
          <w:rFonts w:asciiTheme="majorBidi" w:hAnsiTheme="majorBidi" w:cstheme="majorBidi"/>
          <w:sz w:val="22"/>
        </w:rPr>
        <w:tab/>
      </w:r>
      <w:r w:rsidR="00CC4662" w:rsidRPr="00CC4662">
        <w:rPr>
          <w:rFonts w:asciiTheme="majorBidi" w:hAnsiTheme="majorBidi" w:cstheme="majorBidi"/>
          <w:sz w:val="22"/>
        </w:rPr>
        <w:t xml:space="preserve">Hoadley, Katherine A., Christina Yau, </w:t>
      </w:r>
      <w:proofErr w:type="spellStart"/>
      <w:r w:rsidR="00CC4662" w:rsidRPr="00CC4662">
        <w:rPr>
          <w:rFonts w:asciiTheme="majorBidi" w:hAnsiTheme="majorBidi" w:cstheme="majorBidi"/>
          <w:sz w:val="22"/>
        </w:rPr>
        <w:t>Toshinori</w:t>
      </w:r>
      <w:proofErr w:type="spellEnd"/>
      <w:r w:rsidR="00CC4662" w:rsidRPr="00CC4662">
        <w:rPr>
          <w:rFonts w:asciiTheme="majorBidi" w:hAnsiTheme="majorBidi" w:cstheme="majorBidi"/>
          <w:sz w:val="22"/>
        </w:rPr>
        <w:t xml:space="preserve"> </w:t>
      </w:r>
      <w:proofErr w:type="spellStart"/>
      <w:r w:rsidR="00CC4662" w:rsidRPr="00CC4662">
        <w:rPr>
          <w:rFonts w:asciiTheme="majorBidi" w:hAnsiTheme="majorBidi" w:cstheme="majorBidi"/>
          <w:sz w:val="22"/>
        </w:rPr>
        <w:t>Hinoue</w:t>
      </w:r>
      <w:proofErr w:type="spellEnd"/>
      <w:r w:rsidR="00CC4662" w:rsidRPr="00CC4662">
        <w:rPr>
          <w:rFonts w:asciiTheme="majorBidi" w:hAnsiTheme="majorBidi" w:cstheme="majorBidi"/>
          <w:sz w:val="22"/>
        </w:rPr>
        <w:t xml:space="preserve">, Denise M. Wolf, Alexander J. Lazar, Esther Drill, </w:t>
      </w:r>
      <w:proofErr w:type="spellStart"/>
      <w:r w:rsidR="00CC4662" w:rsidRPr="00CC4662">
        <w:rPr>
          <w:rFonts w:asciiTheme="majorBidi" w:hAnsiTheme="majorBidi" w:cstheme="majorBidi"/>
          <w:sz w:val="22"/>
        </w:rPr>
        <w:t>Ronglai</w:t>
      </w:r>
      <w:proofErr w:type="spellEnd"/>
      <w:r w:rsidR="00CC4662" w:rsidRPr="00CC4662">
        <w:rPr>
          <w:rFonts w:asciiTheme="majorBidi" w:hAnsiTheme="majorBidi" w:cstheme="majorBidi"/>
          <w:sz w:val="22"/>
        </w:rPr>
        <w:t xml:space="preserve"> Shen, et al. 2018. “Cell-of-Origin Patterns Dominate the Molecular Classification of 10,000 Tumors from 33 Types of Cancer.” </w:t>
      </w:r>
      <w:r w:rsidR="00CC4662" w:rsidRPr="00CC4662">
        <w:rPr>
          <w:rFonts w:asciiTheme="majorBidi" w:hAnsiTheme="majorBidi" w:cstheme="majorBidi"/>
          <w:i/>
          <w:iCs/>
          <w:sz w:val="22"/>
        </w:rPr>
        <w:t>Cell</w:t>
      </w:r>
      <w:r w:rsidR="00CC4662" w:rsidRPr="00CC4662">
        <w:rPr>
          <w:rFonts w:asciiTheme="majorBidi" w:hAnsiTheme="majorBidi" w:cstheme="majorBidi"/>
          <w:sz w:val="22"/>
        </w:rPr>
        <w:t xml:space="preserve"> 173: 291-304.e296. https://doi.org/10.1016/j.cell.2018.03.022</w:t>
      </w:r>
    </w:p>
    <w:p w14:paraId="6662B00E" w14:textId="0D6DA1DA" w:rsidR="002923E2" w:rsidRPr="00CA186C" w:rsidRDefault="002923E2" w:rsidP="00CA186C">
      <w:pPr>
        <w:pStyle w:val="EndNoteBibliography"/>
        <w:spacing w:line="480" w:lineRule="auto"/>
        <w:rPr>
          <w:rFonts w:ascii="Times New Roman" w:hAnsi="Times New Roman" w:cs="Times New Roman" w:hint="eastAsia"/>
          <w:sz w:val="22"/>
        </w:rPr>
      </w:pPr>
      <w:r w:rsidRPr="00343AE5">
        <w:rPr>
          <w:rFonts w:asciiTheme="majorBidi" w:hAnsiTheme="majorBidi" w:cstheme="majorBidi"/>
          <w:sz w:val="22"/>
        </w:rPr>
        <w:t>3.</w:t>
      </w:r>
      <w:r w:rsidRPr="00343AE5">
        <w:rPr>
          <w:rFonts w:asciiTheme="majorBidi" w:hAnsiTheme="majorBidi" w:cstheme="majorBidi"/>
          <w:sz w:val="22"/>
        </w:rPr>
        <w:tab/>
      </w:r>
      <w:r w:rsidR="00CA186C" w:rsidRPr="00426912">
        <w:rPr>
          <w:rFonts w:ascii="Times New Roman" w:hAnsi="Times New Roman" w:cs="Times New Roman"/>
          <w:sz w:val="22"/>
        </w:rPr>
        <w:t xml:space="preserve">Wilkerson, Matthew D., D. Neil Hayes. 2010. “ConsensusClusterPlus: a class discovery </w:t>
      </w:r>
      <w:r w:rsidR="00CA186C" w:rsidRPr="00426912">
        <w:rPr>
          <w:rFonts w:ascii="Times New Roman" w:hAnsi="Times New Roman" w:cs="Times New Roman"/>
          <w:sz w:val="22"/>
        </w:rPr>
        <w:lastRenderedPageBreak/>
        <w:t xml:space="preserve">tool with confidence assessments and item tracking.” </w:t>
      </w:r>
      <w:r w:rsidR="00CA186C" w:rsidRPr="00426912">
        <w:rPr>
          <w:rFonts w:ascii="Times New Roman" w:hAnsi="Times New Roman" w:cs="Times New Roman"/>
          <w:i/>
          <w:sz w:val="22"/>
        </w:rPr>
        <w:t>Bioinformatics</w:t>
      </w:r>
      <w:r w:rsidR="00CA186C" w:rsidRPr="00426912">
        <w:rPr>
          <w:rFonts w:ascii="Times New Roman" w:hAnsi="Times New Roman" w:cs="Times New Roman"/>
          <w:sz w:val="22"/>
        </w:rPr>
        <w:t xml:space="preserve"> 26: 1572-1573. </w:t>
      </w:r>
      <w:hyperlink r:id="rId20" w:history="1">
        <w:r w:rsidR="00CA186C" w:rsidRPr="00426912">
          <w:rPr>
            <w:rStyle w:val="a8"/>
            <w:rFonts w:ascii="Times New Roman" w:hAnsi="Times New Roman" w:cs="Times New Roman"/>
            <w:sz w:val="22"/>
          </w:rPr>
          <w:t>https://doi.org/10.1093/bioinformatics/btq170</w:t>
        </w:r>
      </w:hyperlink>
    </w:p>
    <w:p w14:paraId="7308F56E" w14:textId="6B892D5E"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hint="eastAsia"/>
          <w:sz w:val="22"/>
        </w:rPr>
        <w:t>4</w:t>
      </w:r>
      <w:r w:rsidRPr="00343AE5">
        <w:rPr>
          <w:rFonts w:asciiTheme="majorBidi" w:hAnsiTheme="majorBidi" w:cstheme="majorBidi"/>
          <w:sz w:val="22"/>
        </w:rPr>
        <w:t xml:space="preserve">. </w:t>
      </w:r>
      <w:r w:rsidR="00CA186C" w:rsidRPr="00426912">
        <w:rPr>
          <w:rFonts w:ascii="Times New Roman" w:hAnsi="Times New Roman" w:cs="Times New Roman"/>
          <w:sz w:val="22"/>
        </w:rPr>
        <w:t xml:space="preserve">Shen, Weitao, </w:t>
      </w:r>
      <w:proofErr w:type="spellStart"/>
      <w:r w:rsidR="00CA186C" w:rsidRPr="00426912">
        <w:rPr>
          <w:rFonts w:ascii="Times New Roman" w:hAnsi="Times New Roman" w:cs="Times New Roman"/>
          <w:sz w:val="22"/>
        </w:rPr>
        <w:t>Ziguang</w:t>
      </w:r>
      <w:proofErr w:type="spellEnd"/>
      <w:r w:rsidR="00CA186C" w:rsidRPr="00426912">
        <w:rPr>
          <w:rFonts w:ascii="Times New Roman" w:hAnsi="Times New Roman" w:cs="Times New Roman"/>
          <w:sz w:val="22"/>
        </w:rPr>
        <w:t xml:space="preserve"> Song, Xiao Zhong, Mei Huang, Danting Shen, Pingping Gao, </w:t>
      </w:r>
      <w:proofErr w:type="spellStart"/>
      <w:r w:rsidR="00CA186C" w:rsidRPr="00426912">
        <w:rPr>
          <w:rFonts w:ascii="Times New Roman" w:hAnsi="Times New Roman" w:cs="Times New Roman"/>
          <w:sz w:val="22"/>
        </w:rPr>
        <w:t>Xiaoqian</w:t>
      </w:r>
      <w:proofErr w:type="spellEnd"/>
      <w:r w:rsidR="00CA186C" w:rsidRPr="00426912">
        <w:rPr>
          <w:rFonts w:ascii="Times New Roman" w:hAnsi="Times New Roman" w:cs="Times New Roman"/>
          <w:sz w:val="22"/>
        </w:rPr>
        <w:t xml:space="preserve"> Qian, et al. 2022. “</w:t>
      </w:r>
      <w:proofErr w:type="spellStart"/>
      <w:r w:rsidR="00CA186C" w:rsidRPr="00426912">
        <w:rPr>
          <w:rFonts w:ascii="Times New Roman" w:hAnsi="Times New Roman" w:cs="Times New Roman"/>
          <w:sz w:val="22"/>
        </w:rPr>
        <w:t>Sangerbox</w:t>
      </w:r>
      <w:proofErr w:type="spellEnd"/>
      <w:r w:rsidR="00CA186C" w:rsidRPr="00426912">
        <w:rPr>
          <w:rFonts w:ascii="Times New Roman" w:hAnsi="Times New Roman" w:cs="Times New Roman"/>
          <w:sz w:val="22"/>
        </w:rPr>
        <w:t xml:space="preserve">: A comprehensive, interaction-friendly clinical bioinformatics analysis platform.” </w:t>
      </w:r>
      <w:proofErr w:type="spellStart"/>
      <w:r w:rsidR="00CA186C" w:rsidRPr="00426912">
        <w:rPr>
          <w:rFonts w:ascii="Times New Roman" w:hAnsi="Times New Roman" w:cs="Times New Roman"/>
          <w:i/>
          <w:sz w:val="22"/>
        </w:rPr>
        <w:t>iMeta</w:t>
      </w:r>
      <w:proofErr w:type="spellEnd"/>
      <w:r w:rsidR="00CA186C" w:rsidRPr="00426912">
        <w:rPr>
          <w:rFonts w:ascii="Times New Roman" w:hAnsi="Times New Roman" w:cs="Times New Roman"/>
          <w:sz w:val="22"/>
        </w:rPr>
        <w:t xml:space="preserve"> 1: e36. </w:t>
      </w:r>
      <w:r w:rsidR="00CA186C" w:rsidRPr="00191CBC">
        <w:rPr>
          <w:rFonts w:ascii="Times New Roman" w:hAnsi="Times New Roman" w:cs="Times New Roman"/>
          <w:sz w:val="22"/>
        </w:rPr>
        <w:t>https://doi.org/10.1002/imt2.36</w:t>
      </w:r>
    </w:p>
    <w:p w14:paraId="39BC6FD4" w14:textId="3488A094"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 xml:space="preserve">5. </w:t>
      </w:r>
      <w:proofErr w:type="spellStart"/>
      <w:r w:rsidR="00CA186C" w:rsidRPr="00426912">
        <w:rPr>
          <w:rFonts w:ascii="Times New Roman" w:hAnsi="Times New Roman" w:cs="Times New Roman"/>
          <w:sz w:val="22"/>
        </w:rPr>
        <w:t>Hänzelmann</w:t>
      </w:r>
      <w:proofErr w:type="spellEnd"/>
      <w:r w:rsidR="00CA186C" w:rsidRPr="00426912">
        <w:rPr>
          <w:rFonts w:ascii="Times New Roman" w:hAnsi="Times New Roman" w:cs="Times New Roman"/>
          <w:sz w:val="22"/>
        </w:rPr>
        <w:t xml:space="preserve">, Sonja, Robert Castelo, Justin </w:t>
      </w:r>
      <w:proofErr w:type="spellStart"/>
      <w:r w:rsidR="00CA186C" w:rsidRPr="00426912">
        <w:rPr>
          <w:rFonts w:ascii="Times New Roman" w:hAnsi="Times New Roman" w:cs="Times New Roman"/>
          <w:sz w:val="22"/>
        </w:rPr>
        <w:t>Guinney</w:t>
      </w:r>
      <w:proofErr w:type="spellEnd"/>
      <w:r w:rsidR="00CA186C" w:rsidRPr="00426912">
        <w:rPr>
          <w:rFonts w:ascii="Times New Roman" w:hAnsi="Times New Roman" w:cs="Times New Roman"/>
          <w:sz w:val="22"/>
        </w:rPr>
        <w:t xml:space="preserve">. 2013. “GSVA: gene set variation analysis for microarray and RNA-Seq data.” </w:t>
      </w:r>
      <w:r w:rsidR="00CA186C" w:rsidRPr="00426912">
        <w:rPr>
          <w:rFonts w:ascii="Times New Roman" w:hAnsi="Times New Roman" w:cs="Times New Roman"/>
          <w:i/>
          <w:sz w:val="22"/>
        </w:rPr>
        <w:t>BMC Bioinformatics</w:t>
      </w:r>
      <w:r w:rsidR="00CA186C" w:rsidRPr="00426912">
        <w:rPr>
          <w:rFonts w:ascii="Times New Roman" w:hAnsi="Times New Roman" w:cs="Times New Roman"/>
          <w:sz w:val="22"/>
        </w:rPr>
        <w:t xml:space="preserve"> 14: 7. </w:t>
      </w:r>
      <w:hyperlink r:id="rId21" w:history="1">
        <w:r w:rsidR="00CA186C" w:rsidRPr="00426912">
          <w:rPr>
            <w:rStyle w:val="a8"/>
            <w:rFonts w:ascii="Times New Roman" w:hAnsi="Times New Roman" w:cs="Times New Roman"/>
            <w:sz w:val="22"/>
          </w:rPr>
          <w:t>https://doi.org/10.1186/1471-2105-14-7</w:t>
        </w:r>
      </w:hyperlink>
      <w:r w:rsidRPr="00343AE5">
        <w:rPr>
          <w:rFonts w:asciiTheme="majorBidi" w:hAnsiTheme="majorBidi" w:cstheme="majorBidi"/>
          <w:sz w:val="22"/>
        </w:rPr>
        <w:t xml:space="preserve"> </w:t>
      </w:r>
    </w:p>
    <w:p w14:paraId="0D1ADD07" w14:textId="70FB10C9"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 xml:space="preserve">6. </w:t>
      </w:r>
      <w:r w:rsidR="00CA186C" w:rsidRPr="00426912">
        <w:rPr>
          <w:rFonts w:ascii="Times New Roman" w:hAnsi="Times New Roman" w:cs="Times New Roman"/>
          <w:sz w:val="22"/>
        </w:rPr>
        <w:t xml:space="preserve">Hugo, Willy, Jesse M. Zaretsky, Lu Sun, Chunying Song, Blanca </w:t>
      </w:r>
      <w:proofErr w:type="spellStart"/>
      <w:r w:rsidR="00CA186C" w:rsidRPr="00426912">
        <w:rPr>
          <w:rFonts w:ascii="Times New Roman" w:hAnsi="Times New Roman" w:cs="Times New Roman"/>
          <w:sz w:val="22"/>
        </w:rPr>
        <w:t>Homet</w:t>
      </w:r>
      <w:proofErr w:type="spellEnd"/>
      <w:r w:rsidR="00CA186C" w:rsidRPr="00426912">
        <w:rPr>
          <w:rFonts w:ascii="Times New Roman" w:hAnsi="Times New Roman" w:cs="Times New Roman"/>
          <w:sz w:val="22"/>
        </w:rPr>
        <w:t xml:space="preserve"> Moreno, </w:t>
      </w:r>
      <w:proofErr w:type="spellStart"/>
      <w:r w:rsidR="00CA186C" w:rsidRPr="00426912">
        <w:rPr>
          <w:rFonts w:ascii="Times New Roman" w:hAnsi="Times New Roman" w:cs="Times New Roman"/>
          <w:sz w:val="22"/>
        </w:rPr>
        <w:t>Siwen</w:t>
      </w:r>
      <w:proofErr w:type="spellEnd"/>
      <w:r w:rsidR="00CA186C" w:rsidRPr="00426912">
        <w:rPr>
          <w:rFonts w:ascii="Times New Roman" w:hAnsi="Times New Roman" w:cs="Times New Roman"/>
          <w:sz w:val="22"/>
        </w:rPr>
        <w:t xml:space="preserve"> Hu-</w:t>
      </w:r>
      <w:proofErr w:type="spellStart"/>
      <w:r w:rsidR="00CA186C" w:rsidRPr="00426912">
        <w:rPr>
          <w:rFonts w:ascii="Times New Roman" w:hAnsi="Times New Roman" w:cs="Times New Roman"/>
          <w:sz w:val="22"/>
        </w:rPr>
        <w:t>Lieskovan</w:t>
      </w:r>
      <w:proofErr w:type="spellEnd"/>
      <w:r w:rsidR="00CA186C" w:rsidRPr="00426912">
        <w:rPr>
          <w:rFonts w:ascii="Times New Roman" w:hAnsi="Times New Roman" w:cs="Times New Roman"/>
          <w:sz w:val="22"/>
        </w:rPr>
        <w:t xml:space="preserve">, Beata Berent-Maoz, et al. 2017. “Genomic and Transcriptomic Features of Response to Anti-PD-1 Therapy in Metastatic Melanoma.” </w:t>
      </w:r>
      <w:r w:rsidR="00CA186C" w:rsidRPr="00426912">
        <w:rPr>
          <w:rFonts w:ascii="Times New Roman" w:hAnsi="Times New Roman" w:cs="Times New Roman"/>
          <w:i/>
          <w:sz w:val="22"/>
        </w:rPr>
        <w:t>Cell</w:t>
      </w:r>
      <w:r w:rsidR="00CA186C" w:rsidRPr="00426912">
        <w:rPr>
          <w:rFonts w:ascii="Times New Roman" w:hAnsi="Times New Roman" w:cs="Times New Roman"/>
          <w:sz w:val="22"/>
        </w:rPr>
        <w:t xml:space="preserve"> 168: 542. </w:t>
      </w:r>
      <w:hyperlink r:id="rId22" w:history="1">
        <w:r w:rsidR="00CA186C" w:rsidRPr="00426912">
          <w:rPr>
            <w:rStyle w:val="a8"/>
            <w:rFonts w:ascii="Times New Roman" w:hAnsi="Times New Roman" w:cs="Times New Roman"/>
            <w:sz w:val="22"/>
          </w:rPr>
          <w:t>https://doi.org/10.1016/j.cell.2017.01.010</w:t>
        </w:r>
      </w:hyperlink>
    </w:p>
    <w:p w14:paraId="5A9E142F" w14:textId="557ACCEE"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7.</w:t>
      </w:r>
      <w:r w:rsidRPr="00343AE5">
        <w:rPr>
          <w:rFonts w:asciiTheme="majorBidi" w:hAnsiTheme="majorBidi" w:cstheme="majorBidi"/>
          <w:sz w:val="22"/>
        </w:rPr>
        <w:tab/>
      </w:r>
      <w:r w:rsidR="00CA186C" w:rsidRPr="00426912">
        <w:rPr>
          <w:rFonts w:ascii="Times New Roman" w:hAnsi="Times New Roman" w:cs="Times New Roman"/>
          <w:sz w:val="22"/>
        </w:rPr>
        <w:t xml:space="preserve">Bailey, Peter, David K. Chang, Katia Nones, Amber L. Johns, Ann-Marie Patch, Marie-Claude Gingras, David K. Miller, et al. 2016. “Genomic analyses identify molecular subtypes of pancreatic cancer.” </w:t>
      </w:r>
      <w:r w:rsidR="00CA186C" w:rsidRPr="00426912">
        <w:rPr>
          <w:rFonts w:ascii="Times New Roman" w:hAnsi="Times New Roman" w:cs="Times New Roman"/>
          <w:i/>
          <w:sz w:val="22"/>
        </w:rPr>
        <w:t>Nature</w:t>
      </w:r>
      <w:r w:rsidR="00CA186C" w:rsidRPr="00426912">
        <w:rPr>
          <w:rFonts w:ascii="Times New Roman" w:hAnsi="Times New Roman" w:cs="Times New Roman"/>
          <w:sz w:val="22"/>
        </w:rPr>
        <w:t xml:space="preserve"> 531: 47-52. </w:t>
      </w:r>
      <w:hyperlink r:id="rId23" w:history="1">
        <w:r w:rsidR="00CA186C" w:rsidRPr="00426912">
          <w:rPr>
            <w:rStyle w:val="a8"/>
            <w:rFonts w:ascii="Times New Roman" w:hAnsi="Times New Roman" w:cs="Times New Roman"/>
            <w:sz w:val="22"/>
          </w:rPr>
          <w:t>https://doi.org/10.1038/nature16965</w:t>
        </w:r>
      </w:hyperlink>
    </w:p>
    <w:p w14:paraId="7D792337" w14:textId="1FC49DF5"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8.</w:t>
      </w:r>
      <w:r w:rsidRPr="00343AE5">
        <w:rPr>
          <w:rFonts w:asciiTheme="majorBidi" w:hAnsiTheme="majorBidi" w:cstheme="majorBidi"/>
          <w:sz w:val="22"/>
        </w:rPr>
        <w:tab/>
      </w:r>
      <w:r w:rsidR="00CA186C" w:rsidRPr="00426912">
        <w:rPr>
          <w:rFonts w:ascii="Times New Roman" w:hAnsi="Times New Roman" w:cs="Times New Roman"/>
          <w:sz w:val="22"/>
        </w:rPr>
        <w:t xml:space="preserve">Ye, </w:t>
      </w:r>
      <w:proofErr w:type="spellStart"/>
      <w:r w:rsidR="00CA186C" w:rsidRPr="00426912">
        <w:rPr>
          <w:rFonts w:ascii="Times New Roman" w:hAnsi="Times New Roman" w:cs="Times New Roman"/>
          <w:sz w:val="22"/>
        </w:rPr>
        <w:t>Youqiong</w:t>
      </w:r>
      <w:proofErr w:type="spellEnd"/>
      <w:r w:rsidR="00CA186C" w:rsidRPr="00426912">
        <w:rPr>
          <w:rFonts w:ascii="Times New Roman" w:hAnsi="Times New Roman" w:cs="Times New Roman"/>
          <w:sz w:val="22"/>
        </w:rPr>
        <w:t xml:space="preserve">, </w:t>
      </w:r>
      <w:proofErr w:type="spellStart"/>
      <w:r w:rsidR="00CA186C" w:rsidRPr="00426912">
        <w:rPr>
          <w:rFonts w:ascii="Times New Roman" w:hAnsi="Times New Roman" w:cs="Times New Roman"/>
          <w:sz w:val="22"/>
        </w:rPr>
        <w:t>Qingsong</w:t>
      </w:r>
      <w:proofErr w:type="spellEnd"/>
      <w:r w:rsidR="00CA186C" w:rsidRPr="00426912">
        <w:rPr>
          <w:rFonts w:ascii="Times New Roman" w:hAnsi="Times New Roman" w:cs="Times New Roman"/>
          <w:sz w:val="22"/>
        </w:rPr>
        <w:t xml:space="preserve"> Hu, Hu Chen, </w:t>
      </w:r>
      <w:proofErr w:type="spellStart"/>
      <w:r w:rsidR="00CA186C" w:rsidRPr="00426912">
        <w:rPr>
          <w:rFonts w:ascii="Times New Roman" w:hAnsi="Times New Roman" w:cs="Times New Roman"/>
          <w:sz w:val="22"/>
        </w:rPr>
        <w:t>Ke</w:t>
      </w:r>
      <w:proofErr w:type="spellEnd"/>
      <w:r w:rsidR="00CA186C" w:rsidRPr="00426912">
        <w:rPr>
          <w:rFonts w:ascii="Times New Roman" w:hAnsi="Times New Roman" w:cs="Times New Roman"/>
          <w:sz w:val="22"/>
        </w:rPr>
        <w:t xml:space="preserve"> Liang, Yuan </w:t>
      </w:r>
      <w:proofErr w:type="spellStart"/>
      <w:r w:rsidR="00CA186C" w:rsidRPr="00426912">
        <w:rPr>
          <w:rFonts w:ascii="Times New Roman" w:hAnsi="Times New Roman" w:cs="Times New Roman"/>
          <w:sz w:val="22"/>
        </w:rPr>
        <w:t>Yuan</w:t>
      </w:r>
      <w:proofErr w:type="spellEnd"/>
      <w:r w:rsidR="00CA186C" w:rsidRPr="00426912">
        <w:rPr>
          <w:rFonts w:ascii="Times New Roman" w:hAnsi="Times New Roman" w:cs="Times New Roman"/>
          <w:sz w:val="22"/>
        </w:rPr>
        <w:t xml:space="preserve">, Yu Xiang, Hang Ruan, et al. 2019. “Characterization of hypoxia-associated molecular features to aid hypoxia-targeted therapy.” </w:t>
      </w:r>
      <w:r w:rsidR="00CA186C" w:rsidRPr="00426912">
        <w:rPr>
          <w:rFonts w:ascii="Times New Roman" w:hAnsi="Times New Roman" w:cs="Times New Roman"/>
          <w:i/>
          <w:sz w:val="22"/>
        </w:rPr>
        <w:t>Nature Metabolism</w:t>
      </w:r>
      <w:r w:rsidR="00CA186C" w:rsidRPr="00426912">
        <w:rPr>
          <w:rFonts w:ascii="Times New Roman" w:hAnsi="Times New Roman" w:cs="Times New Roman"/>
          <w:sz w:val="22"/>
        </w:rPr>
        <w:t xml:space="preserve"> 1: 431-444. </w:t>
      </w:r>
      <w:hyperlink r:id="rId24" w:history="1">
        <w:r w:rsidR="00CA186C" w:rsidRPr="00426912">
          <w:rPr>
            <w:rStyle w:val="a8"/>
            <w:rFonts w:ascii="Times New Roman" w:hAnsi="Times New Roman" w:cs="Times New Roman"/>
            <w:sz w:val="22"/>
          </w:rPr>
          <w:t>https://doi.org/10.1038/s42255-019-0045-8</w:t>
        </w:r>
      </w:hyperlink>
    </w:p>
    <w:p w14:paraId="2B48F483" w14:textId="19316301"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9.</w:t>
      </w:r>
      <w:r w:rsidRPr="00343AE5">
        <w:rPr>
          <w:rFonts w:asciiTheme="majorBidi" w:hAnsiTheme="majorBidi" w:cstheme="majorBidi"/>
          <w:sz w:val="22"/>
        </w:rPr>
        <w:tab/>
      </w:r>
      <w:r w:rsidR="00CA186C" w:rsidRPr="00426912">
        <w:rPr>
          <w:rFonts w:ascii="Times New Roman" w:hAnsi="Times New Roman" w:cs="Times New Roman"/>
          <w:sz w:val="22"/>
        </w:rPr>
        <w:t xml:space="preserve">Chiu, Hua-Sheng, Sonal </w:t>
      </w:r>
      <w:proofErr w:type="spellStart"/>
      <w:r w:rsidR="00CA186C" w:rsidRPr="00426912">
        <w:rPr>
          <w:rFonts w:ascii="Times New Roman" w:hAnsi="Times New Roman" w:cs="Times New Roman"/>
          <w:sz w:val="22"/>
        </w:rPr>
        <w:t>Somvanshi</w:t>
      </w:r>
      <w:proofErr w:type="spellEnd"/>
      <w:r w:rsidR="00CA186C" w:rsidRPr="00426912">
        <w:rPr>
          <w:rFonts w:ascii="Times New Roman" w:hAnsi="Times New Roman" w:cs="Times New Roman"/>
          <w:sz w:val="22"/>
        </w:rPr>
        <w:t xml:space="preserve">, </w:t>
      </w:r>
      <w:proofErr w:type="spellStart"/>
      <w:r w:rsidR="00CA186C" w:rsidRPr="00426912">
        <w:rPr>
          <w:rFonts w:ascii="Times New Roman" w:hAnsi="Times New Roman" w:cs="Times New Roman"/>
          <w:sz w:val="22"/>
        </w:rPr>
        <w:t>Ektaben</w:t>
      </w:r>
      <w:proofErr w:type="spellEnd"/>
      <w:r w:rsidR="00CA186C" w:rsidRPr="00426912">
        <w:rPr>
          <w:rFonts w:ascii="Times New Roman" w:hAnsi="Times New Roman" w:cs="Times New Roman"/>
          <w:sz w:val="22"/>
        </w:rPr>
        <w:t xml:space="preserve"> Patel, Ting-Wen Chen, Vivek P. Singh, Barry Zorman, Sagar L. Patil, et al. 2018. “Pan-Cancer Analysis of lncRNA Regulation Supports Their Targeting of Cancer Genes in Each Tumor Context.” </w:t>
      </w:r>
      <w:r w:rsidR="00CA186C" w:rsidRPr="00426912">
        <w:rPr>
          <w:rFonts w:ascii="Times New Roman" w:hAnsi="Times New Roman" w:cs="Times New Roman"/>
          <w:i/>
          <w:sz w:val="22"/>
        </w:rPr>
        <w:t>Cell Reports</w:t>
      </w:r>
      <w:r w:rsidR="00CA186C" w:rsidRPr="00426912">
        <w:rPr>
          <w:rFonts w:ascii="Times New Roman" w:hAnsi="Times New Roman" w:cs="Times New Roman"/>
          <w:sz w:val="22"/>
        </w:rPr>
        <w:t xml:space="preserve"> 23: 297-312.e212. </w:t>
      </w:r>
      <w:hyperlink r:id="rId25" w:history="1">
        <w:r w:rsidR="00CA186C" w:rsidRPr="00426912">
          <w:rPr>
            <w:rStyle w:val="a8"/>
            <w:rFonts w:ascii="Times New Roman" w:hAnsi="Times New Roman" w:cs="Times New Roman"/>
            <w:sz w:val="22"/>
          </w:rPr>
          <w:t>https://doi.org/10.1016/j.celrep.2018.03.064</w:t>
        </w:r>
      </w:hyperlink>
    </w:p>
    <w:p w14:paraId="28D8FF10" w14:textId="447FE785"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lastRenderedPageBreak/>
        <w:t xml:space="preserve">10. </w:t>
      </w:r>
      <w:r w:rsidR="00CA186C" w:rsidRPr="00426912">
        <w:rPr>
          <w:rFonts w:ascii="Times New Roman" w:hAnsi="Times New Roman" w:cs="Times New Roman"/>
          <w:sz w:val="22"/>
        </w:rPr>
        <w:t xml:space="preserve">Saul, Dominik, Robyn Laura </w:t>
      </w:r>
      <w:proofErr w:type="spellStart"/>
      <w:r w:rsidR="00CA186C" w:rsidRPr="00426912">
        <w:rPr>
          <w:rFonts w:ascii="Times New Roman" w:hAnsi="Times New Roman" w:cs="Times New Roman"/>
          <w:sz w:val="22"/>
        </w:rPr>
        <w:t>Kosinsky</w:t>
      </w:r>
      <w:proofErr w:type="spellEnd"/>
      <w:r w:rsidR="00CA186C" w:rsidRPr="00426912">
        <w:rPr>
          <w:rFonts w:ascii="Times New Roman" w:hAnsi="Times New Roman" w:cs="Times New Roman"/>
          <w:sz w:val="22"/>
        </w:rPr>
        <w:t xml:space="preserve">, Elizabeth J. Atkinson, Madison L. Doolittle, Xu Zhang, Nathan K. LeBrasseur, Robert J. </w:t>
      </w:r>
      <w:proofErr w:type="spellStart"/>
      <w:r w:rsidR="00CA186C" w:rsidRPr="00426912">
        <w:rPr>
          <w:rFonts w:ascii="Times New Roman" w:hAnsi="Times New Roman" w:cs="Times New Roman"/>
          <w:sz w:val="22"/>
        </w:rPr>
        <w:t>Pignolo</w:t>
      </w:r>
      <w:proofErr w:type="spellEnd"/>
      <w:r w:rsidR="00CA186C" w:rsidRPr="00426912">
        <w:rPr>
          <w:rFonts w:ascii="Times New Roman" w:hAnsi="Times New Roman" w:cs="Times New Roman"/>
          <w:sz w:val="22"/>
        </w:rPr>
        <w:t xml:space="preserve">, et al. 2022. “A new gene set identifies senescent cells and predicts senescence-associated pathways across tissues.” </w:t>
      </w:r>
      <w:r w:rsidR="00CA186C" w:rsidRPr="00426912">
        <w:rPr>
          <w:rFonts w:ascii="Times New Roman" w:hAnsi="Times New Roman" w:cs="Times New Roman"/>
          <w:i/>
          <w:sz w:val="22"/>
        </w:rPr>
        <w:t>Nature Communications</w:t>
      </w:r>
      <w:r w:rsidR="00CA186C" w:rsidRPr="00426912">
        <w:rPr>
          <w:rFonts w:ascii="Times New Roman" w:hAnsi="Times New Roman" w:cs="Times New Roman"/>
          <w:sz w:val="22"/>
        </w:rPr>
        <w:t xml:space="preserve"> 13: 4827. </w:t>
      </w:r>
      <w:r w:rsidR="00CA186C" w:rsidRPr="00A4088D">
        <w:rPr>
          <w:rFonts w:ascii="Times New Roman" w:hAnsi="Times New Roman" w:cs="Times New Roman"/>
          <w:sz w:val="22"/>
        </w:rPr>
        <w:t>https://doi.org/10.1038/s41467-022-32552-1</w:t>
      </w:r>
    </w:p>
    <w:p w14:paraId="27BDC881" w14:textId="574B23C9"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11.</w:t>
      </w:r>
      <w:r w:rsidRPr="00343AE5">
        <w:rPr>
          <w:rFonts w:asciiTheme="majorBidi" w:hAnsiTheme="majorBidi" w:cstheme="majorBidi"/>
          <w:sz w:val="22"/>
        </w:rPr>
        <w:tab/>
      </w:r>
      <w:proofErr w:type="spellStart"/>
      <w:r w:rsidR="00CA186C" w:rsidRPr="00426912">
        <w:rPr>
          <w:rFonts w:ascii="Times New Roman" w:hAnsi="Times New Roman" w:cs="Times New Roman"/>
          <w:sz w:val="22"/>
        </w:rPr>
        <w:t>Knijnenburg</w:t>
      </w:r>
      <w:proofErr w:type="spellEnd"/>
      <w:r w:rsidR="00CA186C" w:rsidRPr="00426912">
        <w:rPr>
          <w:rFonts w:ascii="Times New Roman" w:hAnsi="Times New Roman" w:cs="Times New Roman"/>
          <w:sz w:val="22"/>
        </w:rPr>
        <w:t xml:space="preserve">, Theo A., </w:t>
      </w:r>
      <w:proofErr w:type="spellStart"/>
      <w:r w:rsidR="00CA186C" w:rsidRPr="00426912">
        <w:rPr>
          <w:rFonts w:ascii="Times New Roman" w:hAnsi="Times New Roman" w:cs="Times New Roman"/>
          <w:sz w:val="22"/>
        </w:rPr>
        <w:t>Linghua</w:t>
      </w:r>
      <w:proofErr w:type="spellEnd"/>
      <w:r w:rsidR="00CA186C" w:rsidRPr="00426912">
        <w:rPr>
          <w:rFonts w:ascii="Times New Roman" w:hAnsi="Times New Roman" w:cs="Times New Roman"/>
          <w:sz w:val="22"/>
        </w:rPr>
        <w:t xml:space="preserve"> Wang, Michael T. Zimmermann, Nyasha </w:t>
      </w:r>
      <w:proofErr w:type="spellStart"/>
      <w:r w:rsidR="00CA186C" w:rsidRPr="00426912">
        <w:rPr>
          <w:rFonts w:ascii="Times New Roman" w:hAnsi="Times New Roman" w:cs="Times New Roman"/>
          <w:sz w:val="22"/>
        </w:rPr>
        <w:t>Chambwe</w:t>
      </w:r>
      <w:proofErr w:type="spellEnd"/>
      <w:r w:rsidR="00CA186C" w:rsidRPr="00426912">
        <w:rPr>
          <w:rFonts w:ascii="Times New Roman" w:hAnsi="Times New Roman" w:cs="Times New Roman"/>
          <w:sz w:val="22"/>
        </w:rPr>
        <w:t xml:space="preserve">, Galen F. Gao, Andrew D. </w:t>
      </w:r>
      <w:proofErr w:type="spellStart"/>
      <w:r w:rsidR="00CA186C" w:rsidRPr="00426912">
        <w:rPr>
          <w:rFonts w:ascii="Times New Roman" w:hAnsi="Times New Roman" w:cs="Times New Roman"/>
          <w:sz w:val="22"/>
        </w:rPr>
        <w:t>Cherniack</w:t>
      </w:r>
      <w:proofErr w:type="spellEnd"/>
      <w:r w:rsidR="00CA186C" w:rsidRPr="00426912">
        <w:rPr>
          <w:rFonts w:ascii="Times New Roman" w:hAnsi="Times New Roman" w:cs="Times New Roman"/>
          <w:sz w:val="22"/>
        </w:rPr>
        <w:t xml:space="preserve">, Huihui Fan, et al. 2018. “Genomic and Molecular Landscape of DNA Damage Repair Deficiency across The Cancer Genome Atlas.” </w:t>
      </w:r>
      <w:r w:rsidR="00CA186C" w:rsidRPr="00426912">
        <w:rPr>
          <w:rFonts w:ascii="Times New Roman" w:hAnsi="Times New Roman" w:cs="Times New Roman"/>
          <w:i/>
          <w:sz w:val="22"/>
        </w:rPr>
        <w:t>Cell Reports</w:t>
      </w:r>
      <w:r w:rsidR="00CA186C" w:rsidRPr="00426912">
        <w:rPr>
          <w:rFonts w:ascii="Times New Roman" w:hAnsi="Times New Roman" w:cs="Times New Roman"/>
          <w:sz w:val="22"/>
        </w:rPr>
        <w:t xml:space="preserve"> 23: 239-254.e236. </w:t>
      </w:r>
      <w:hyperlink r:id="rId26" w:history="1">
        <w:r w:rsidR="00CA186C" w:rsidRPr="00426912">
          <w:rPr>
            <w:rStyle w:val="a8"/>
            <w:rFonts w:ascii="Times New Roman" w:hAnsi="Times New Roman" w:cs="Times New Roman"/>
            <w:sz w:val="22"/>
          </w:rPr>
          <w:t>https://doi.org/10.1016/j.celrep.2018.03.076</w:t>
        </w:r>
      </w:hyperlink>
    </w:p>
    <w:p w14:paraId="36C1BF7A" w14:textId="0F1C5A35"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12.</w:t>
      </w:r>
      <w:r w:rsidRPr="00343AE5">
        <w:rPr>
          <w:rFonts w:asciiTheme="majorBidi" w:hAnsiTheme="majorBidi" w:cstheme="majorBidi"/>
          <w:sz w:val="22"/>
        </w:rPr>
        <w:tab/>
      </w:r>
      <w:r w:rsidR="00CA186C" w:rsidRPr="00426912">
        <w:rPr>
          <w:rFonts w:ascii="Times New Roman" w:hAnsi="Times New Roman" w:cs="Times New Roman"/>
          <w:sz w:val="22"/>
        </w:rPr>
        <w:t xml:space="preserve">Yoshihara, Kosuke, Maria </w:t>
      </w:r>
      <w:proofErr w:type="spellStart"/>
      <w:r w:rsidR="00CA186C" w:rsidRPr="00426912">
        <w:rPr>
          <w:rFonts w:ascii="Times New Roman" w:hAnsi="Times New Roman" w:cs="Times New Roman"/>
          <w:sz w:val="22"/>
        </w:rPr>
        <w:t>Shahmoradgoli</w:t>
      </w:r>
      <w:proofErr w:type="spellEnd"/>
      <w:r w:rsidR="00CA186C" w:rsidRPr="00426912">
        <w:rPr>
          <w:rFonts w:ascii="Times New Roman" w:hAnsi="Times New Roman" w:cs="Times New Roman"/>
          <w:sz w:val="22"/>
        </w:rPr>
        <w:t xml:space="preserve">, Emmanuel Martínez, </w:t>
      </w:r>
      <w:proofErr w:type="spellStart"/>
      <w:r w:rsidR="00CA186C" w:rsidRPr="00426912">
        <w:rPr>
          <w:rFonts w:ascii="Times New Roman" w:hAnsi="Times New Roman" w:cs="Times New Roman"/>
          <w:sz w:val="22"/>
        </w:rPr>
        <w:t>Rahulsimham</w:t>
      </w:r>
      <w:proofErr w:type="spellEnd"/>
      <w:r w:rsidR="00CA186C" w:rsidRPr="00426912">
        <w:rPr>
          <w:rFonts w:ascii="Times New Roman" w:hAnsi="Times New Roman" w:cs="Times New Roman"/>
          <w:sz w:val="22"/>
        </w:rPr>
        <w:t xml:space="preserve"> Vegesna, Hoon Kim, </w:t>
      </w:r>
      <w:proofErr w:type="spellStart"/>
      <w:r w:rsidR="00CA186C" w:rsidRPr="00426912">
        <w:rPr>
          <w:rFonts w:ascii="Times New Roman" w:hAnsi="Times New Roman" w:cs="Times New Roman"/>
          <w:sz w:val="22"/>
        </w:rPr>
        <w:t>Wandaliz</w:t>
      </w:r>
      <w:proofErr w:type="spellEnd"/>
      <w:r w:rsidR="00CA186C" w:rsidRPr="00426912">
        <w:rPr>
          <w:rFonts w:ascii="Times New Roman" w:hAnsi="Times New Roman" w:cs="Times New Roman"/>
          <w:sz w:val="22"/>
        </w:rPr>
        <w:t xml:space="preserve"> Torres-Garcia, Victor Treviño, et al. 2013. “Inferring </w:t>
      </w:r>
      <w:proofErr w:type="spellStart"/>
      <w:r w:rsidR="00CA186C" w:rsidRPr="00426912">
        <w:rPr>
          <w:rFonts w:ascii="Times New Roman" w:hAnsi="Times New Roman" w:cs="Times New Roman"/>
          <w:sz w:val="22"/>
        </w:rPr>
        <w:t>tumour</w:t>
      </w:r>
      <w:proofErr w:type="spellEnd"/>
      <w:r w:rsidR="00CA186C" w:rsidRPr="00426912">
        <w:rPr>
          <w:rFonts w:ascii="Times New Roman" w:hAnsi="Times New Roman" w:cs="Times New Roman"/>
          <w:sz w:val="22"/>
        </w:rPr>
        <w:t xml:space="preserve"> purity and stromal and immune cell admixture from expression data.” </w:t>
      </w:r>
      <w:r w:rsidR="00CA186C" w:rsidRPr="00426912">
        <w:rPr>
          <w:rFonts w:ascii="Times New Roman" w:hAnsi="Times New Roman" w:cs="Times New Roman"/>
          <w:i/>
          <w:sz w:val="22"/>
        </w:rPr>
        <w:t>Nature Communications</w:t>
      </w:r>
      <w:r w:rsidR="00CA186C" w:rsidRPr="00426912">
        <w:rPr>
          <w:rFonts w:ascii="Times New Roman" w:hAnsi="Times New Roman" w:cs="Times New Roman"/>
          <w:sz w:val="22"/>
        </w:rPr>
        <w:t xml:space="preserve"> 4: 2612. </w:t>
      </w:r>
      <w:hyperlink r:id="rId27" w:history="1">
        <w:r w:rsidR="00CA186C" w:rsidRPr="00426912">
          <w:rPr>
            <w:rStyle w:val="a8"/>
            <w:rFonts w:ascii="Times New Roman" w:hAnsi="Times New Roman" w:cs="Times New Roman"/>
            <w:sz w:val="22"/>
          </w:rPr>
          <w:t>https://doi.org/10.1038/ncomms3612</w:t>
        </w:r>
      </w:hyperlink>
    </w:p>
    <w:p w14:paraId="41DB7127" w14:textId="677C29CB"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hint="eastAsia"/>
          <w:sz w:val="22"/>
        </w:rPr>
        <w:t>1</w:t>
      </w:r>
      <w:r w:rsidRPr="00343AE5">
        <w:rPr>
          <w:rFonts w:asciiTheme="majorBidi" w:hAnsiTheme="majorBidi" w:cstheme="majorBidi"/>
          <w:sz w:val="22"/>
        </w:rPr>
        <w:t xml:space="preserve">3. </w:t>
      </w:r>
      <w:r w:rsidR="00CA186C" w:rsidRPr="00426912">
        <w:rPr>
          <w:rFonts w:ascii="Times New Roman" w:hAnsi="Times New Roman" w:cs="Times New Roman"/>
          <w:sz w:val="22"/>
        </w:rPr>
        <w:t xml:space="preserve">Thorsson, Vésteinn, David L. Gibbs, Scott D. Brown, Denise Wolf, Dante S. Bortone, Tai-Hsien </w:t>
      </w:r>
      <w:proofErr w:type="spellStart"/>
      <w:r w:rsidR="00CA186C" w:rsidRPr="00426912">
        <w:rPr>
          <w:rFonts w:ascii="Times New Roman" w:hAnsi="Times New Roman" w:cs="Times New Roman"/>
          <w:sz w:val="22"/>
        </w:rPr>
        <w:t>Ou</w:t>
      </w:r>
      <w:proofErr w:type="spellEnd"/>
      <w:r w:rsidR="00CA186C" w:rsidRPr="00426912">
        <w:rPr>
          <w:rFonts w:ascii="Times New Roman" w:hAnsi="Times New Roman" w:cs="Times New Roman"/>
          <w:sz w:val="22"/>
        </w:rPr>
        <w:t xml:space="preserve"> Yang, Eduard Porta-Pardo, et al. 2018. “The Immune Landscape of Cancer.” </w:t>
      </w:r>
      <w:r w:rsidR="00CA186C" w:rsidRPr="00426912">
        <w:rPr>
          <w:rFonts w:ascii="Times New Roman" w:hAnsi="Times New Roman" w:cs="Times New Roman"/>
          <w:i/>
          <w:sz w:val="22"/>
        </w:rPr>
        <w:t>Immunity</w:t>
      </w:r>
      <w:r w:rsidR="00CA186C" w:rsidRPr="00426912">
        <w:rPr>
          <w:rFonts w:ascii="Times New Roman" w:hAnsi="Times New Roman" w:cs="Times New Roman"/>
          <w:sz w:val="22"/>
        </w:rPr>
        <w:t xml:space="preserve"> 48: 812-830.e814. </w:t>
      </w:r>
      <w:hyperlink r:id="rId28" w:history="1">
        <w:r w:rsidR="00CA186C" w:rsidRPr="00426912">
          <w:rPr>
            <w:rStyle w:val="a8"/>
            <w:rFonts w:ascii="Times New Roman" w:hAnsi="Times New Roman" w:cs="Times New Roman"/>
            <w:sz w:val="22"/>
          </w:rPr>
          <w:t>https://doi.org/10.1016/j.immuni.2018.03.023</w:t>
        </w:r>
      </w:hyperlink>
    </w:p>
    <w:p w14:paraId="1A90CA19" w14:textId="155159B3"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14.</w:t>
      </w:r>
      <w:r w:rsidRPr="00343AE5">
        <w:rPr>
          <w:rFonts w:asciiTheme="majorBidi" w:hAnsiTheme="majorBidi" w:cstheme="majorBidi"/>
          <w:sz w:val="22"/>
        </w:rPr>
        <w:tab/>
      </w:r>
      <w:r w:rsidR="00CA186C" w:rsidRPr="00426912">
        <w:rPr>
          <w:rFonts w:ascii="Times New Roman" w:hAnsi="Times New Roman" w:cs="Times New Roman"/>
          <w:sz w:val="22"/>
        </w:rPr>
        <w:t xml:space="preserve">Zeng, </w:t>
      </w:r>
      <w:proofErr w:type="spellStart"/>
      <w:r w:rsidR="00CA186C" w:rsidRPr="00426912">
        <w:rPr>
          <w:rFonts w:ascii="Times New Roman" w:hAnsi="Times New Roman" w:cs="Times New Roman"/>
          <w:sz w:val="22"/>
        </w:rPr>
        <w:t>Dongqiang</w:t>
      </w:r>
      <w:proofErr w:type="spellEnd"/>
      <w:r w:rsidR="00CA186C" w:rsidRPr="00426912">
        <w:rPr>
          <w:rFonts w:ascii="Times New Roman" w:hAnsi="Times New Roman" w:cs="Times New Roman"/>
          <w:sz w:val="22"/>
        </w:rPr>
        <w:t xml:space="preserve">, Meiyi Li, Rui Zhou, </w:t>
      </w:r>
      <w:proofErr w:type="spellStart"/>
      <w:r w:rsidR="00CA186C" w:rsidRPr="00426912">
        <w:rPr>
          <w:rFonts w:ascii="Times New Roman" w:hAnsi="Times New Roman" w:cs="Times New Roman"/>
          <w:sz w:val="22"/>
        </w:rPr>
        <w:t>Jingwen</w:t>
      </w:r>
      <w:proofErr w:type="spellEnd"/>
      <w:r w:rsidR="00CA186C" w:rsidRPr="00426912">
        <w:rPr>
          <w:rFonts w:ascii="Times New Roman" w:hAnsi="Times New Roman" w:cs="Times New Roman"/>
          <w:sz w:val="22"/>
        </w:rPr>
        <w:t xml:space="preserve"> Zhang, Huiying Sun, Min Shi, Jianping Bin, Yulin Liao, </w:t>
      </w:r>
      <w:proofErr w:type="spellStart"/>
      <w:r w:rsidR="00CA186C" w:rsidRPr="00426912">
        <w:rPr>
          <w:rFonts w:ascii="Times New Roman" w:hAnsi="Times New Roman" w:cs="Times New Roman"/>
          <w:sz w:val="22"/>
        </w:rPr>
        <w:t>Jinjun</w:t>
      </w:r>
      <w:proofErr w:type="spellEnd"/>
      <w:r w:rsidR="00CA186C" w:rsidRPr="00426912">
        <w:rPr>
          <w:rFonts w:ascii="Times New Roman" w:hAnsi="Times New Roman" w:cs="Times New Roman"/>
          <w:sz w:val="22"/>
        </w:rPr>
        <w:t xml:space="preserve"> Rao, </w:t>
      </w:r>
      <w:proofErr w:type="spellStart"/>
      <w:r w:rsidR="00CA186C" w:rsidRPr="00426912">
        <w:rPr>
          <w:rFonts w:ascii="Times New Roman" w:hAnsi="Times New Roman" w:cs="Times New Roman"/>
          <w:sz w:val="22"/>
        </w:rPr>
        <w:t>Wangjun</w:t>
      </w:r>
      <w:proofErr w:type="spellEnd"/>
      <w:r w:rsidR="00CA186C" w:rsidRPr="00426912">
        <w:rPr>
          <w:rFonts w:ascii="Times New Roman" w:hAnsi="Times New Roman" w:cs="Times New Roman"/>
          <w:sz w:val="22"/>
        </w:rPr>
        <w:t xml:space="preserve"> Liao. 2019. “Tumor Microenvironment Characterization in Gastric Cancer Identifies Prognostic and </w:t>
      </w:r>
      <w:proofErr w:type="spellStart"/>
      <w:r w:rsidR="00CA186C" w:rsidRPr="00426912">
        <w:rPr>
          <w:rFonts w:ascii="Times New Roman" w:hAnsi="Times New Roman" w:cs="Times New Roman"/>
          <w:sz w:val="22"/>
        </w:rPr>
        <w:t>Immunotherapeutically</w:t>
      </w:r>
      <w:proofErr w:type="spellEnd"/>
      <w:r w:rsidR="00CA186C" w:rsidRPr="00426912">
        <w:rPr>
          <w:rFonts w:ascii="Times New Roman" w:hAnsi="Times New Roman" w:cs="Times New Roman"/>
          <w:sz w:val="22"/>
        </w:rPr>
        <w:t xml:space="preserve"> Relevant Gene Signatures.” </w:t>
      </w:r>
      <w:r w:rsidR="00CA186C" w:rsidRPr="00426912">
        <w:rPr>
          <w:rFonts w:ascii="Times New Roman" w:hAnsi="Times New Roman" w:cs="Times New Roman"/>
          <w:i/>
          <w:sz w:val="22"/>
        </w:rPr>
        <w:t>Cancer Immunology Research</w:t>
      </w:r>
      <w:r w:rsidR="00CA186C" w:rsidRPr="00426912">
        <w:rPr>
          <w:rFonts w:ascii="Times New Roman" w:hAnsi="Times New Roman" w:cs="Times New Roman"/>
          <w:sz w:val="22"/>
        </w:rPr>
        <w:t xml:space="preserve"> 7: 737-750. </w:t>
      </w:r>
      <w:hyperlink r:id="rId29" w:history="1">
        <w:r w:rsidR="00CA186C" w:rsidRPr="00426912">
          <w:rPr>
            <w:rStyle w:val="a8"/>
            <w:rFonts w:ascii="Times New Roman" w:hAnsi="Times New Roman" w:cs="Times New Roman"/>
            <w:sz w:val="22"/>
          </w:rPr>
          <w:t>https://doi.org/10.1158/2326-6066.Cir-18-0436</w:t>
        </w:r>
      </w:hyperlink>
    </w:p>
    <w:p w14:paraId="3FA5EE42" w14:textId="12969954"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15.</w:t>
      </w:r>
      <w:r w:rsidRPr="00343AE5">
        <w:rPr>
          <w:rFonts w:asciiTheme="majorBidi" w:hAnsiTheme="majorBidi" w:cstheme="majorBidi"/>
          <w:sz w:val="22"/>
        </w:rPr>
        <w:tab/>
      </w:r>
      <w:proofErr w:type="spellStart"/>
      <w:r w:rsidR="00CA186C" w:rsidRPr="00426912">
        <w:rPr>
          <w:rFonts w:ascii="Times New Roman" w:hAnsi="Times New Roman" w:cs="Times New Roman"/>
          <w:sz w:val="22"/>
        </w:rPr>
        <w:t>Mariathasan</w:t>
      </w:r>
      <w:proofErr w:type="spellEnd"/>
      <w:r w:rsidR="00CA186C" w:rsidRPr="00426912">
        <w:rPr>
          <w:rFonts w:ascii="Times New Roman" w:hAnsi="Times New Roman" w:cs="Times New Roman"/>
          <w:sz w:val="22"/>
        </w:rPr>
        <w:t xml:space="preserve">, Sanjeev, Shannon J. Turley, Dorothee Nickles, Alessandra Castiglioni, Kobe Yuen, </w:t>
      </w:r>
      <w:proofErr w:type="spellStart"/>
      <w:r w:rsidR="00CA186C" w:rsidRPr="00426912">
        <w:rPr>
          <w:rFonts w:ascii="Times New Roman" w:hAnsi="Times New Roman" w:cs="Times New Roman"/>
          <w:sz w:val="22"/>
        </w:rPr>
        <w:t>Yulei</w:t>
      </w:r>
      <w:proofErr w:type="spellEnd"/>
      <w:r w:rsidR="00CA186C" w:rsidRPr="00426912">
        <w:rPr>
          <w:rFonts w:ascii="Times New Roman" w:hAnsi="Times New Roman" w:cs="Times New Roman"/>
          <w:sz w:val="22"/>
        </w:rPr>
        <w:t xml:space="preserve"> Wang, Edward E. Kadel </w:t>
      </w:r>
      <w:proofErr w:type="spellStart"/>
      <w:r w:rsidR="00CA186C" w:rsidRPr="00426912">
        <w:rPr>
          <w:rFonts w:ascii="Times New Roman" w:hAnsi="Times New Roman" w:cs="Times New Roman"/>
          <w:sz w:val="22"/>
        </w:rPr>
        <w:t>Iii</w:t>
      </w:r>
      <w:proofErr w:type="spellEnd"/>
      <w:r w:rsidR="00CA186C" w:rsidRPr="00426912">
        <w:rPr>
          <w:rFonts w:ascii="Times New Roman" w:hAnsi="Times New Roman" w:cs="Times New Roman"/>
          <w:sz w:val="22"/>
        </w:rPr>
        <w:t xml:space="preserve">, et al. 2018. “TGFβ attenuates </w:t>
      </w:r>
      <w:proofErr w:type="spellStart"/>
      <w:r w:rsidR="00CA186C" w:rsidRPr="00426912">
        <w:rPr>
          <w:rFonts w:ascii="Times New Roman" w:hAnsi="Times New Roman" w:cs="Times New Roman"/>
          <w:sz w:val="22"/>
        </w:rPr>
        <w:t>tumour</w:t>
      </w:r>
      <w:proofErr w:type="spellEnd"/>
      <w:r w:rsidR="00CA186C" w:rsidRPr="00426912">
        <w:rPr>
          <w:rFonts w:ascii="Times New Roman" w:hAnsi="Times New Roman" w:cs="Times New Roman"/>
          <w:sz w:val="22"/>
        </w:rPr>
        <w:t xml:space="preserve"> response to PD-L1 blockade by contributing to exclusion of T cells.” </w:t>
      </w:r>
      <w:r w:rsidR="00CA186C" w:rsidRPr="00426912">
        <w:rPr>
          <w:rFonts w:ascii="Times New Roman" w:hAnsi="Times New Roman" w:cs="Times New Roman"/>
          <w:i/>
          <w:sz w:val="22"/>
        </w:rPr>
        <w:t>Nature</w:t>
      </w:r>
      <w:r w:rsidR="00CA186C" w:rsidRPr="00426912">
        <w:rPr>
          <w:rFonts w:ascii="Times New Roman" w:hAnsi="Times New Roman" w:cs="Times New Roman"/>
          <w:sz w:val="22"/>
        </w:rPr>
        <w:t xml:space="preserve"> 554: 544-548. </w:t>
      </w:r>
      <w:hyperlink r:id="rId30" w:history="1">
        <w:r w:rsidR="00CA186C" w:rsidRPr="00426912">
          <w:rPr>
            <w:rStyle w:val="a8"/>
            <w:rFonts w:ascii="Times New Roman" w:hAnsi="Times New Roman" w:cs="Times New Roman"/>
            <w:sz w:val="22"/>
          </w:rPr>
          <w:t>https://doi.org/10.1038/nature25501</w:t>
        </w:r>
      </w:hyperlink>
    </w:p>
    <w:p w14:paraId="5BB23743" w14:textId="0EA9897C" w:rsidR="002923E2" w:rsidRP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16.</w:t>
      </w:r>
      <w:r w:rsidRPr="00343AE5">
        <w:rPr>
          <w:rFonts w:asciiTheme="majorBidi" w:hAnsiTheme="majorBidi" w:cstheme="majorBidi"/>
          <w:sz w:val="22"/>
        </w:rPr>
        <w:tab/>
      </w:r>
      <w:r w:rsidR="00CA186C" w:rsidRPr="00426912">
        <w:rPr>
          <w:rFonts w:ascii="Times New Roman" w:hAnsi="Times New Roman" w:cs="Times New Roman"/>
          <w:sz w:val="22"/>
        </w:rPr>
        <w:t xml:space="preserve">Yang, </w:t>
      </w:r>
      <w:proofErr w:type="spellStart"/>
      <w:r w:rsidR="00CA186C" w:rsidRPr="00426912">
        <w:rPr>
          <w:rFonts w:ascii="Times New Roman" w:hAnsi="Times New Roman" w:cs="Times New Roman"/>
          <w:sz w:val="22"/>
        </w:rPr>
        <w:t>Wanjuan</w:t>
      </w:r>
      <w:proofErr w:type="spellEnd"/>
      <w:r w:rsidR="00CA186C" w:rsidRPr="00426912">
        <w:rPr>
          <w:rFonts w:ascii="Times New Roman" w:hAnsi="Times New Roman" w:cs="Times New Roman"/>
          <w:sz w:val="22"/>
        </w:rPr>
        <w:t xml:space="preserve">, Jorge Soares, Patricia Greninger, Elena J. Edelman, Howard Lightfoot, Simon Forbes, Nidhi Bindal, et al. 2012. “Genomics of Drug Sensitivity in Cancer (GDSC): a resource for therapeutic biomarker discovery in cancer cells.” </w:t>
      </w:r>
      <w:r w:rsidR="00CA186C" w:rsidRPr="00426912">
        <w:rPr>
          <w:rFonts w:ascii="Times New Roman" w:hAnsi="Times New Roman" w:cs="Times New Roman"/>
          <w:i/>
          <w:sz w:val="22"/>
        </w:rPr>
        <w:t>Nucleic Acids Research</w:t>
      </w:r>
      <w:r w:rsidR="00CA186C" w:rsidRPr="00426912">
        <w:rPr>
          <w:rFonts w:ascii="Times New Roman" w:hAnsi="Times New Roman" w:cs="Times New Roman"/>
          <w:sz w:val="22"/>
        </w:rPr>
        <w:t xml:space="preserve"> 41: D955-D961. </w:t>
      </w:r>
      <w:hyperlink r:id="rId31" w:history="1">
        <w:r w:rsidR="00CA186C" w:rsidRPr="00426912">
          <w:rPr>
            <w:rStyle w:val="a8"/>
            <w:rFonts w:ascii="Times New Roman" w:hAnsi="Times New Roman" w:cs="Times New Roman"/>
            <w:sz w:val="22"/>
          </w:rPr>
          <w:t>https://doi.org/10.1093/nar/gks1111</w:t>
        </w:r>
      </w:hyperlink>
    </w:p>
    <w:p w14:paraId="73968FF0" w14:textId="70BC9721" w:rsidR="00343AE5" w:rsidRDefault="002923E2" w:rsidP="005355FB">
      <w:pPr>
        <w:spacing w:line="480" w:lineRule="auto"/>
        <w:rPr>
          <w:rFonts w:asciiTheme="majorBidi" w:hAnsiTheme="majorBidi" w:cstheme="majorBidi"/>
          <w:sz w:val="22"/>
        </w:rPr>
      </w:pPr>
      <w:r w:rsidRPr="00343AE5">
        <w:rPr>
          <w:rFonts w:asciiTheme="majorBidi" w:hAnsiTheme="majorBidi" w:cstheme="majorBidi"/>
          <w:sz w:val="22"/>
        </w:rPr>
        <w:t xml:space="preserve">17. </w:t>
      </w:r>
      <w:r w:rsidR="00CC4662" w:rsidRPr="00CC4662">
        <w:rPr>
          <w:rFonts w:asciiTheme="majorBidi" w:hAnsiTheme="majorBidi" w:cstheme="majorBidi"/>
          <w:sz w:val="22"/>
        </w:rPr>
        <w:t>Maeser, Danielle, Robert F Gruener, Rong Stephanie Huang. 2021. “</w:t>
      </w:r>
      <w:proofErr w:type="spellStart"/>
      <w:r w:rsidR="00CC4662" w:rsidRPr="00CC4662">
        <w:rPr>
          <w:rFonts w:asciiTheme="majorBidi" w:hAnsiTheme="majorBidi" w:cstheme="majorBidi"/>
          <w:sz w:val="22"/>
        </w:rPr>
        <w:t>oncoPredict</w:t>
      </w:r>
      <w:proofErr w:type="spellEnd"/>
      <w:r w:rsidR="00CC4662" w:rsidRPr="00CC4662">
        <w:rPr>
          <w:rFonts w:asciiTheme="majorBidi" w:hAnsiTheme="majorBidi" w:cstheme="majorBidi"/>
          <w:sz w:val="22"/>
        </w:rPr>
        <w:t xml:space="preserve">: an R package for predicting in vivo or cancer patient drug response and biomarkers from cell line screening data.” </w:t>
      </w:r>
      <w:r w:rsidR="00CC4662" w:rsidRPr="00CC4662">
        <w:rPr>
          <w:rFonts w:asciiTheme="majorBidi" w:hAnsiTheme="majorBidi" w:cstheme="majorBidi"/>
          <w:i/>
          <w:iCs/>
          <w:sz w:val="22"/>
        </w:rPr>
        <w:t xml:space="preserve">Briefings in Bioinformatics </w:t>
      </w:r>
      <w:r w:rsidR="00CC4662" w:rsidRPr="00CC4662">
        <w:rPr>
          <w:rFonts w:asciiTheme="majorBidi" w:hAnsiTheme="majorBidi" w:cstheme="majorBidi"/>
          <w:sz w:val="22"/>
        </w:rPr>
        <w:t>22</w:t>
      </w:r>
      <w:r w:rsidR="00CC4662">
        <w:rPr>
          <w:rFonts w:asciiTheme="majorBidi" w:hAnsiTheme="majorBidi" w:cstheme="majorBidi"/>
          <w:sz w:val="22"/>
        </w:rPr>
        <w:t>.</w:t>
      </w:r>
      <w:r w:rsidR="00CC4662" w:rsidRPr="00CC4662">
        <w:rPr>
          <w:rFonts w:asciiTheme="majorBidi" w:hAnsiTheme="majorBidi" w:cstheme="majorBidi"/>
          <w:sz w:val="22"/>
        </w:rPr>
        <w:t xml:space="preserve"> https://doi.org/10.1093/bib/bbab260</w:t>
      </w:r>
    </w:p>
    <w:p w14:paraId="79CEC330" w14:textId="77777777" w:rsidR="00343AE5" w:rsidRDefault="00343AE5" w:rsidP="005355FB">
      <w:pPr>
        <w:widowControl/>
        <w:spacing w:line="480" w:lineRule="auto"/>
        <w:jc w:val="left"/>
        <w:rPr>
          <w:rFonts w:asciiTheme="majorBidi" w:hAnsiTheme="majorBidi" w:cstheme="majorBidi"/>
          <w:sz w:val="22"/>
        </w:rPr>
      </w:pPr>
      <w:r>
        <w:rPr>
          <w:rFonts w:asciiTheme="majorBidi" w:hAnsiTheme="majorBidi" w:cstheme="majorBidi"/>
          <w:sz w:val="22"/>
        </w:rPr>
        <w:br w:type="page"/>
      </w:r>
    </w:p>
    <w:p w14:paraId="2C30437B" w14:textId="42D3F65B" w:rsidR="00725FC5" w:rsidRDefault="00725FC5" w:rsidP="005355FB">
      <w:pPr>
        <w:spacing w:line="480" w:lineRule="auto"/>
        <w:rPr>
          <w:rFonts w:ascii="Times New Roman" w:hAnsi="Times New Roman" w:cs="Times New Roman"/>
          <w:b/>
          <w:bCs/>
          <w:sz w:val="24"/>
          <w:szCs w:val="24"/>
        </w:rPr>
      </w:pPr>
      <w:r w:rsidRPr="00343AE5">
        <w:rPr>
          <w:rFonts w:ascii="Times New Roman" w:hAnsi="Times New Roman" w:cs="Times New Roman"/>
          <w:b/>
          <w:bCs/>
          <w:sz w:val="24"/>
          <w:szCs w:val="24"/>
        </w:rPr>
        <w:lastRenderedPageBreak/>
        <w:t xml:space="preserve">Supplementary </w:t>
      </w:r>
      <w:r w:rsidR="00001583" w:rsidRPr="00343AE5">
        <w:rPr>
          <w:rFonts w:ascii="Times New Roman" w:hAnsi="Times New Roman" w:cs="Times New Roman"/>
          <w:b/>
          <w:bCs/>
          <w:sz w:val="24"/>
          <w:szCs w:val="24"/>
        </w:rPr>
        <w:t>F</w:t>
      </w:r>
      <w:r w:rsidR="00001583" w:rsidRPr="00343AE5">
        <w:rPr>
          <w:rFonts w:ascii="Times New Roman" w:hAnsi="Times New Roman" w:cs="Times New Roman" w:hint="eastAsia"/>
          <w:b/>
          <w:bCs/>
          <w:sz w:val="24"/>
          <w:szCs w:val="24"/>
        </w:rPr>
        <w:t>igure</w:t>
      </w:r>
      <w:r w:rsidRPr="00343AE5">
        <w:rPr>
          <w:rFonts w:ascii="Times New Roman" w:hAnsi="Times New Roman" w:cs="Times New Roman" w:hint="eastAsia"/>
          <w:b/>
          <w:bCs/>
          <w:sz w:val="24"/>
          <w:szCs w:val="24"/>
        </w:rPr>
        <w:t>s</w:t>
      </w:r>
    </w:p>
    <w:p w14:paraId="589ED6C6" w14:textId="77777777" w:rsidR="00605C36" w:rsidRPr="00343AE5" w:rsidRDefault="00605C36" w:rsidP="005355FB">
      <w:pPr>
        <w:spacing w:line="480" w:lineRule="auto"/>
        <w:rPr>
          <w:rFonts w:ascii="Times New Roman" w:hAnsi="Times New Roman" w:cs="Times New Roman"/>
          <w:b/>
          <w:bCs/>
          <w:sz w:val="24"/>
          <w:szCs w:val="24"/>
        </w:rPr>
      </w:pPr>
    </w:p>
    <w:p w14:paraId="6AF6E46F" w14:textId="4DCEE4AC" w:rsidR="00725FC5" w:rsidRPr="00343AE5" w:rsidRDefault="00725FC5" w:rsidP="005355FB">
      <w:pPr>
        <w:spacing w:line="480" w:lineRule="auto"/>
        <w:rPr>
          <w:rFonts w:ascii="Times New Roman" w:hAnsi="Times New Roman" w:cs="Times New Roman"/>
          <w:b/>
          <w:bCs/>
          <w:sz w:val="22"/>
        </w:rPr>
      </w:pPr>
      <w:r w:rsidRPr="00343AE5">
        <w:rPr>
          <w:noProof/>
          <w:sz w:val="22"/>
          <w14:ligatures w14:val="none"/>
        </w:rPr>
        <w:drawing>
          <wp:inline distT="0" distB="0" distL="0" distR="0" wp14:anchorId="47436465" wp14:editId="34EEF236">
            <wp:extent cx="5274310" cy="3881120"/>
            <wp:effectExtent l="0" t="0" r="2540"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4310" cy="3881120"/>
                    </a:xfrm>
                    <a:prstGeom prst="rect">
                      <a:avLst/>
                    </a:prstGeom>
                    <a:noFill/>
                    <a:ln>
                      <a:noFill/>
                    </a:ln>
                  </pic:spPr>
                </pic:pic>
              </a:graphicData>
            </a:graphic>
          </wp:inline>
        </w:drawing>
      </w:r>
    </w:p>
    <w:p w14:paraId="56021170" w14:textId="54578152" w:rsidR="00725FC5" w:rsidRPr="00343AE5" w:rsidRDefault="00725FC5" w:rsidP="005355FB">
      <w:pPr>
        <w:spacing w:line="480" w:lineRule="auto"/>
        <w:rPr>
          <w:rFonts w:ascii="Times New Roman" w:hAnsi="Times New Roman" w:cs="Times New Roman"/>
          <w:sz w:val="22"/>
        </w:rPr>
      </w:pPr>
      <w:r w:rsidRPr="00343AE5">
        <w:rPr>
          <w:rFonts w:ascii="Times New Roman" w:hAnsi="Times New Roman" w:cs="Times New Roman"/>
          <w:b/>
          <w:bCs/>
          <w:sz w:val="22"/>
        </w:rPr>
        <w:t xml:space="preserve">Figure S1. The SNV landscape of </w:t>
      </w:r>
      <w:proofErr w:type="spellStart"/>
      <w:r w:rsidRPr="00343AE5">
        <w:rPr>
          <w:rFonts w:ascii="Times New Roman" w:hAnsi="Times New Roman" w:cs="Times New Roman"/>
          <w:b/>
          <w:bCs/>
          <w:sz w:val="22"/>
        </w:rPr>
        <w:t>cuproptosis</w:t>
      </w:r>
      <w:proofErr w:type="spellEnd"/>
      <w:r w:rsidRPr="00343AE5">
        <w:rPr>
          <w:rFonts w:ascii="Times New Roman" w:hAnsi="Times New Roman" w:cs="Times New Roman"/>
          <w:b/>
          <w:bCs/>
          <w:sz w:val="22"/>
        </w:rPr>
        <w:t xml:space="preserve"> regulators in cancer.</w:t>
      </w:r>
      <w:r w:rsidRPr="00343AE5">
        <w:rPr>
          <w:sz w:val="22"/>
        </w:rPr>
        <w:t xml:space="preserve"> </w:t>
      </w:r>
      <w:r w:rsidRPr="00343AE5">
        <w:rPr>
          <w:rFonts w:ascii="Times New Roman" w:hAnsi="Times New Roman" w:cs="Times New Roman"/>
          <w:sz w:val="22"/>
        </w:rPr>
        <w:t>Each row represents a gene, and each column represents a patient. The frequen</w:t>
      </w:r>
      <w:bookmarkStart w:id="7" w:name="_Hlk113567258"/>
      <w:r w:rsidRPr="00343AE5">
        <w:rPr>
          <w:rFonts w:ascii="Times New Roman" w:hAnsi="Times New Roman" w:cs="Times New Roman"/>
          <w:sz w:val="22"/>
        </w:rPr>
        <w:t>cies</w:t>
      </w:r>
      <w:bookmarkEnd w:id="7"/>
      <w:r w:rsidRPr="00343AE5">
        <w:rPr>
          <w:rFonts w:ascii="Times New Roman" w:hAnsi="Times New Roman" w:cs="Times New Roman"/>
          <w:sz w:val="22"/>
        </w:rPr>
        <w:t xml:space="preserve"> of SNV of 10 </w:t>
      </w:r>
      <w:proofErr w:type="spellStart"/>
      <w:r w:rsidRPr="00343AE5">
        <w:rPr>
          <w:rFonts w:ascii="Times New Roman" w:hAnsi="Times New Roman" w:cs="Times New Roman"/>
          <w:sz w:val="22"/>
        </w:rPr>
        <w:t>cuproptosis</w:t>
      </w:r>
      <w:proofErr w:type="spellEnd"/>
      <w:r w:rsidRPr="00343AE5">
        <w:rPr>
          <w:rFonts w:ascii="Times New Roman" w:hAnsi="Times New Roman" w:cs="Times New Roman"/>
          <w:sz w:val="22"/>
        </w:rPr>
        <w:t xml:space="preserve"> regulators are presented. Only patients with SNV in the </w:t>
      </w:r>
      <w:proofErr w:type="spellStart"/>
      <w:r w:rsidRPr="00343AE5">
        <w:rPr>
          <w:rFonts w:ascii="Times New Roman" w:hAnsi="Times New Roman" w:cs="Times New Roman"/>
          <w:sz w:val="22"/>
        </w:rPr>
        <w:t>cuproptosis</w:t>
      </w:r>
      <w:proofErr w:type="spellEnd"/>
      <w:r w:rsidRPr="00343AE5">
        <w:rPr>
          <w:rFonts w:ascii="Times New Roman" w:hAnsi="Times New Roman" w:cs="Times New Roman"/>
          <w:sz w:val="22"/>
        </w:rPr>
        <w:t xml:space="preserve"> regulators are shown. Alteration rate of each gene is displayed in the right labels.</w:t>
      </w:r>
    </w:p>
    <w:p w14:paraId="618AAFC0" w14:textId="77777777" w:rsidR="00923FA0" w:rsidRPr="00343AE5" w:rsidRDefault="00923FA0" w:rsidP="005355FB">
      <w:pPr>
        <w:spacing w:line="480" w:lineRule="auto"/>
        <w:rPr>
          <w:rFonts w:ascii="Times New Roman" w:hAnsi="Times New Roman" w:cs="Times New Roman"/>
          <w:b/>
          <w:bCs/>
          <w:sz w:val="22"/>
        </w:rPr>
      </w:pPr>
    </w:p>
    <w:p w14:paraId="15277946" w14:textId="467DB1D7" w:rsidR="00725FC5" w:rsidRPr="00343AE5" w:rsidRDefault="00725FC5" w:rsidP="005355FB">
      <w:pPr>
        <w:spacing w:line="480" w:lineRule="auto"/>
        <w:rPr>
          <w:rFonts w:ascii="Times New Roman" w:hAnsi="Times New Roman" w:cs="Times New Roman"/>
          <w:b/>
          <w:bCs/>
          <w:sz w:val="22"/>
        </w:rPr>
      </w:pPr>
      <w:r w:rsidRPr="00343AE5">
        <w:rPr>
          <w:noProof/>
          <w:sz w:val="22"/>
          <w14:ligatures w14:val="none"/>
        </w:rPr>
        <w:lastRenderedPageBreak/>
        <w:drawing>
          <wp:inline distT="0" distB="0" distL="0" distR="0" wp14:anchorId="6B6CAE29" wp14:editId="74F92819">
            <wp:extent cx="5274310" cy="2586990"/>
            <wp:effectExtent l="0" t="0" r="2540"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4310" cy="2586990"/>
                    </a:xfrm>
                    <a:prstGeom prst="rect">
                      <a:avLst/>
                    </a:prstGeom>
                    <a:noFill/>
                    <a:ln>
                      <a:noFill/>
                    </a:ln>
                  </pic:spPr>
                </pic:pic>
              </a:graphicData>
            </a:graphic>
          </wp:inline>
        </w:drawing>
      </w:r>
    </w:p>
    <w:p w14:paraId="61393BA4" w14:textId="3C0910BD" w:rsidR="00725FC5" w:rsidRPr="00343AE5" w:rsidRDefault="00725FC5" w:rsidP="005355FB">
      <w:pPr>
        <w:spacing w:line="480" w:lineRule="auto"/>
        <w:rPr>
          <w:rFonts w:ascii="Times New Roman" w:hAnsi="Times New Roman" w:cs="Times New Roman"/>
          <w:sz w:val="22"/>
        </w:rPr>
      </w:pPr>
      <w:r w:rsidRPr="00343AE5">
        <w:rPr>
          <w:rFonts w:ascii="Times New Roman" w:hAnsi="Times New Roman" w:cs="Times New Roman"/>
          <w:b/>
          <w:bCs/>
          <w:sz w:val="22"/>
        </w:rPr>
        <w:t xml:space="preserve">Figure S2. The relationship between CNV and </w:t>
      </w:r>
      <w:proofErr w:type="spellStart"/>
      <w:r w:rsidRPr="00343AE5">
        <w:rPr>
          <w:rFonts w:ascii="Times New Roman" w:hAnsi="Times New Roman" w:cs="Times New Roman"/>
          <w:b/>
          <w:bCs/>
          <w:sz w:val="22"/>
        </w:rPr>
        <w:t>cuproptosis</w:t>
      </w:r>
      <w:proofErr w:type="spellEnd"/>
      <w:r w:rsidRPr="00343AE5">
        <w:rPr>
          <w:rFonts w:ascii="Times New Roman" w:hAnsi="Times New Roman" w:cs="Times New Roman"/>
          <w:b/>
          <w:bCs/>
          <w:sz w:val="22"/>
        </w:rPr>
        <w:t xml:space="preserve"> regulators expression. </w:t>
      </w:r>
      <w:r w:rsidRPr="00343AE5">
        <w:rPr>
          <w:rFonts w:ascii="Times New Roman" w:hAnsi="Times New Roman" w:cs="Times New Roman"/>
          <w:sz w:val="22"/>
        </w:rPr>
        <w:t>Boxplots showing expression of individual</w:t>
      </w:r>
      <w:r w:rsidRPr="00343AE5">
        <w:rPr>
          <w:sz w:val="22"/>
        </w:rPr>
        <w:t xml:space="preserve"> </w:t>
      </w:r>
      <w:proofErr w:type="spellStart"/>
      <w:r w:rsidRPr="00343AE5">
        <w:rPr>
          <w:rFonts w:ascii="Times New Roman" w:hAnsi="Times New Roman" w:cs="Times New Roman"/>
          <w:sz w:val="22"/>
        </w:rPr>
        <w:t>cuproptosis</w:t>
      </w:r>
      <w:proofErr w:type="spellEnd"/>
      <w:r w:rsidRPr="00343AE5">
        <w:rPr>
          <w:rFonts w:ascii="Times New Roman" w:hAnsi="Times New Roman" w:cs="Times New Roman"/>
          <w:sz w:val="22"/>
        </w:rPr>
        <w:t xml:space="preserve"> regulators in patient samples with no alteration, amplification and deep deletion of correspondent regulator. The differences between any two groups were tested by Student’s t test. *** </w:t>
      </w:r>
      <w:r w:rsidRPr="00343AE5">
        <w:rPr>
          <w:rFonts w:ascii="Times New Roman" w:hAnsi="Times New Roman" w:cs="Times New Roman"/>
          <w:i/>
          <w:iCs/>
          <w:sz w:val="22"/>
        </w:rPr>
        <w:t>P </w:t>
      </w:r>
      <w:r w:rsidRPr="00343AE5">
        <w:rPr>
          <w:rFonts w:ascii="Times New Roman" w:hAnsi="Times New Roman" w:cs="Times New Roman"/>
          <w:sz w:val="22"/>
        </w:rPr>
        <w:t xml:space="preserve">&lt; 0.001, **** </w:t>
      </w:r>
      <w:r w:rsidRPr="00343AE5">
        <w:rPr>
          <w:rFonts w:ascii="Times New Roman" w:hAnsi="Times New Roman" w:cs="Times New Roman"/>
          <w:i/>
          <w:iCs/>
          <w:sz w:val="22"/>
        </w:rPr>
        <w:t>P </w:t>
      </w:r>
      <w:r w:rsidRPr="00343AE5">
        <w:rPr>
          <w:rFonts w:ascii="Times New Roman" w:hAnsi="Times New Roman" w:cs="Times New Roman"/>
          <w:sz w:val="22"/>
        </w:rPr>
        <w:t>&lt; 0.0001</w:t>
      </w:r>
    </w:p>
    <w:p w14:paraId="193F025F" w14:textId="77777777" w:rsidR="00725FC5" w:rsidRPr="00343AE5" w:rsidRDefault="00725FC5" w:rsidP="005355FB">
      <w:pPr>
        <w:spacing w:line="480" w:lineRule="auto"/>
        <w:rPr>
          <w:rFonts w:ascii="Times New Roman" w:hAnsi="Times New Roman" w:cs="Times New Roman"/>
          <w:sz w:val="22"/>
        </w:rPr>
      </w:pPr>
    </w:p>
    <w:p w14:paraId="6F814AB0" w14:textId="60A26256" w:rsidR="00725FC5" w:rsidRPr="00343AE5" w:rsidRDefault="00725FC5" w:rsidP="005355FB">
      <w:pPr>
        <w:spacing w:line="480" w:lineRule="auto"/>
        <w:rPr>
          <w:rFonts w:ascii="Times New Roman" w:hAnsi="Times New Roman" w:cs="Times New Roman"/>
          <w:b/>
          <w:bCs/>
          <w:sz w:val="22"/>
        </w:rPr>
      </w:pPr>
      <w:r w:rsidRPr="00343AE5">
        <w:rPr>
          <w:noProof/>
          <w:sz w:val="22"/>
          <w14:ligatures w14:val="none"/>
        </w:rPr>
        <w:lastRenderedPageBreak/>
        <w:drawing>
          <wp:inline distT="0" distB="0" distL="0" distR="0" wp14:anchorId="5DC2BDEB" wp14:editId="7CDF68BA">
            <wp:extent cx="5274310" cy="4239895"/>
            <wp:effectExtent l="0" t="0" r="2540" b="825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4310" cy="4239895"/>
                    </a:xfrm>
                    <a:prstGeom prst="rect">
                      <a:avLst/>
                    </a:prstGeom>
                    <a:noFill/>
                    <a:ln>
                      <a:noFill/>
                    </a:ln>
                  </pic:spPr>
                </pic:pic>
              </a:graphicData>
            </a:graphic>
          </wp:inline>
        </w:drawing>
      </w:r>
      <w:r w:rsidRPr="00343AE5">
        <w:rPr>
          <w:rFonts w:ascii="Times New Roman" w:hAnsi="Times New Roman" w:cs="Times New Roman"/>
          <w:b/>
          <w:bCs/>
          <w:sz w:val="22"/>
        </w:rPr>
        <w:t xml:space="preserve"> Figure S3.</w:t>
      </w:r>
      <w:r w:rsidRPr="00343AE5">
        <w:rPr>
          <w:sz w:val="22"/>
        </w:rPr>
        <w:t xml:space="preserve"> </w:t>
      </w:r>
      <w:r w:rsidRPr="00343AE5">
        <w:rPr>
          <w:rFonts w:ascii="Times New Roman" w:hAnsi="Times New Roman" w:cs="Times New Roman"/>
          <w:b/>
          <w:bCs/>
          <w:sz w:val="22"/>
        </w:rPr>
        <w:t xml:space="preserve">The interaction relationships among </w:t>
      </w:r>
      <w:proofErr w:type="spellStart"/>
      <w:r w:rsidRPr="00343AE5">
        <w:rPr>
          <w:rFonts w:ascii="Times New Roman" w:hAnsi="Times New Roman" w:cs="Times New Roman"/>
          <w:b/>
          <w:bCs/>
          <w:sz w:val="22"/>
        </w:rPr>
        <w:t>cuproptosis</w:t>
      </w:r>
      <w:proofErr w:type="spellEnd"/>
      <w:r w:rsidRPr="00343AE5">
        <w:rPr>
          <w:rFonts w:ascii="Times New Roman" w:hAnsi="Times New Roman" w:cs="Times New Roman"/>
          <w:b/>
          <w:bCs/>
          <w:sz w:val="22"/>
        </w:rPr>
        <w:t xml:space="preserve"> regulators. </w:t>
      </w:r>
      <w:r w:rsidRPr="00343AE5">
        <w:rPr>
          <w:rFonts w:ascii="Times New Roman" w:hAnsi="Times New Roman" w:cs="Times New Roman"/>
          <w:sz w:val="22"/>
        </w:rPr>
        <w:t xml:space="preserve">An interaction network among </w:t>
      </w:r>
      <w:proofErr w:type="spellStart"/>
      <w:r w:rsidRPr="00343AE5">
        <w:rPr>
          <w:rFonts w:ascii="Times New Roman" w:hAnsi="Times New Roman" w:cs="Times New Roman"/>
          <w:sz w:val="22"/>
        </w:rPr>
        <w:t>cuproptosis</w:t>
      </w:r>
      <w:proofErr w:type="spellEnd"/>
      <w:r w:rsidRPr="00343AE5">
        <w:rPr>
          <w:rFonts w:ascii="Times New Roman" w:hAnsi="Times New Roman" w:cs="Times New Roman"/>
          <w:sz w:val="22"/>
        </w:rPr>
        <w:t xml:space="preserve"> regulators based on String database.</w:t>
      </w:r>
    </w:p>
    <w:p w14:paraId="1A2A9ACC" w14:textId="1D965EBB" w:rsidR="005355FB" w:rsidRDefault="005355FB">
      <w:pPr>
        <w:widowControl/>
        <w:jc w:val="left"/>
        <w:rPr>
          <w:sz w:val="22"/>
        </w:rPr>
      </w:pPr>
      <w:r>
        <w:rPr>
          <w:sz w:val="22"/>
        </w:rPr>
        <w:br w:type="page"/>
      </w:r>
    </w:p>
    <w:p w14:paraId="2CBCF1FE" w14:textId="77777777" w:rsidR="00725FC5" w:rsidRPr="00343AE5" w:rsidRDefault="00725FC5" w:rsidP="005355FB">
      <w:pPr>
        <w:spacing w:line="480" w:lineRule="auto"/>
        <w:rPr>
          <w:sz w:val="22"/>
        </w:rPr>
      </w:pPr>
    </w:p>
    <w:p w14:paraId="271E3574" w14:textId="2840FB7B" w:rsidR="00725FC5" w:rsidRPr="00343AE5" w:rsidRDefault="00725FC5" w:rsidP="005355FB">
      <w:pPr>
        <w:spacing w:line="480" w:lineRule="auto"/>
        <w:rPr>
          <w:sz w:val="22"/>
        </w:rPr>
      </w:pPr>
      <w:r w:rsidRPr="00343AE5">
        <w:rPr>
          <w:noProof/>
          <w:sz w:val="22"/>
          <w14:ligatures w14:val="none"/>
        </w:rPr>
        <w:drawing>
          <wp:inline distT="0" distB="0" distL="0" distR="0" wp14:anchorId="3DBA48D3" wp14:editId="73D13031">
            <wp:extent cx="5274310" cy="1515110"/>
            <wp:effectExtent l="0" t="0" r="2540" b="889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4310" cy="1515110"/>
                    </a:xfrm>
                    <a:prstGeom prst="rect">
                      <a:avLst/>
                    </a:prstGeom>
                    <a:noFill/>
                    <a:ln>
                      <a:noFill/>
                    </a:ln>
                  </pic:spPr>
                </pic:pic>
              </a:graphicData>
            </a:graphic>
          </wp:inline>
        </w:drawing>
      </w:r>
    </w:p>
    <w:p w14:paraId="635532F9" w14:textId="50A37979" w:rsidR="00725FC5" w:rsidRPr="00343AE5" w:rsidRDefault="00725FC5" w:rsidP="005355FB">
      <w:pPr>
        <w:spacing w:line="480" w:lineRule="auto"/>
        <w:rPr>
          <w:rFonts w:ascii="Times New Roman" w:hAnsi="Times New Roman" w:cs="Times New Roman"/>
          <w:sz w:val="22"/>
        </w:rPr>
      </w:pPr>
      <w:r w:rsidRPr="00343AE5">
        <w:rPr>
          <w:rFonts w:ascii="Times New Roman" w:hAnsi="Times New Roman" w:cs="Times New Roman"/>
          <w:b/>
          <w:bCs/>
          <w:sz w:val="22"/>
        </w:rPr>
        <w:t>Figure S4.</w:t>
      </w:r>
      <w:r w:rsidRPr="00343AE5">
        <w:rPr>
          <w:sz w:val="22"/>
        </w:rPr>
        <w:t xml:space="preserve"> </w:t>
      </w:r>
      <w:r w:rsidRPr="00343AE5">
        <w:rPr>
          <w:rFonts w:ascii="Times New Roman" w:hAnsi="Times New Roman" w:cs="Times New Roman"/>
          <w:b/>
          <w:bCs/>
          <w:sz w:val="22"/>
        </w:rPr>
        <w:t xml:space="preserve">Expression of </w:t>
      </w:r>
      <w:proofErr w:type="spellStart"/>
      <w:r w:rsidRPr="00343AE5">
        <w:rPr>
          <w:rFonts w:ascii="Times New Roman" w:hAnsi="Times New Roman" w:cs="Times New Roman"/>
          <w:b/>
          <w:bCs/>
          <w:sz w:val="22"/>
        </w:rPr>
        <w:t>cuproptosis</w:t>
      </w:r>
      <w:proofErr w:type="spellEnd"/>
      <w:r w:rsidRPr="00343AE5">
        <w:rPr>
          <w:rFonts w:ascii="Times New Roman" w:hAnsi="Times New Roman" w:cs="Times New Roman"/>
          <w:b/>
          <w:bCs/>
          <w:sz w:val="22"/>
        </w:rPr>
        <w:t xml:space="preserve"> regulators in normal tissues.</w:t>
      </w:r>
      <w:r w:rsidRPr="00343AE5">
        <w:rPr>
          <w:rFonts w:ascii="Times New Roman" w:hAnsi="Times New Roman" w:cs="Times New Roman" w:hint="eastAsia"/>
          <w:b/>
          <w:bCs/>
          <w:sz w:val="22"/>
        </w:rPr>
        <w:t xml:space="preserve"> </w:t>
      </w:r>
      <w:r w:rsidRPr="00343AE5">
        <w:rPr>
          <w:rFonts w:ascii="Times New Roman" w:hAnsi="Times New Roman" w:cs="Times New Roman"/>
          <w:sz w:val="22"/>
        </w:rPr>
        <w:t xml:space="preserve">The heatmap showing </w:t>
      </w:r>
      <w:proofErr w:type="spellStart"/>
      <w:r w:rsidRPr="00343AE5">
        <w:rPr>
          <w:rFonts w:ascii="Times New Roman" w:hAnsi="Times New Roman" w:cs="Times New Roman"/>
          <w:sz w:val="22"/>
        </w:rPr>
        <w:t>cuproptosis</w:t>
      </w:r>
      <w:proofErr w:type="spellEnd"/>
      <w:r w:rsidRPr="00343AE5">
        <w:rPr>
          <w:rFonts w:ascii="Times New Roman" w:hAnsi="Times New Roman" w:cs="Times New Roman"/>
          <w:sz w:val="22"/>
        </w:rPr>
        <w:t xml:space="preserve"> regulator expression in 28 normal tissues. The intensity of red is proportional to the expression. Each row represents a </w:t>
      </w:r>
      <w:proofErr w:type="spellStart"/>
      <w:r w:rsidRPr="00343AE5">
        <w:rPr>
          <w:rFonts w:ascii="Times New Roman" w:hAnsi="Times New Roman" w:cs="Times New Roman"/>
          <w:sz w:val="22"/>
        </w:rPr>
        <w:t>cuproptosis</w:t>
      </w:r>
      <w:proofErr w:type="spellEnd"/>
      <w:r w:rsidRPr="00343AE5">
        <w:rPr>
          <w:rFonts w:ascii="Times New Roman" w:hAnsi="Times New Roman" w:cs="Times New Roman"/>
          <w:sz w:val="22"/>
        </w:rPr>
        <w:t xml:space="preserve"> regulator, and each column is a normal tissue.</w:t>
      </w:r>
    </w:p>
    <w:p w14:paraId="7D89C03A" w14:textId="5F72AC38" w:rsidR="00725FC5" w:rsidRPr="00343AE5" w:rsidRDefault="00725FC5" w:rsidP="005355FB">
      <w:pPr>
        <w:spacing w:line="480" w:lineRule="auto"/>
        <w:rPr>
          <w:sz w:val="22"/>
        </w:rPr>
      </w:pPr>
    </w:p>
    <w:p w14:paraId="4D45BAB5" w14:textId="0CEBCB73" w:rsidR="00725FC5" w:rsidRPr="00343AE5" w:rsidRDefault="00725FC5" w:rsidP="005355FB">
      <w:pPr>
        <w:spacing w:line="480" w:lineRule="auto"/>
        <w:rPr>
          <w:sz w:val="22"/>
        </w:rPr>
      </w:pPr>
      <w:r w:rsidRPr="00343AE5">
        <w:rPr>
          <w:noProof/>
          <w:sz w:val="22"/>
          <w14:ligatures w14:val="none"/>
        </w:rPr>
        <w:lastRenderedPageBreak/>
        <w:drawing>
          <wp:inline distT="0" distB="0" distL="0" distR="0" wp14:anchorId="11D1C7F1" wp14:editId="37E95196">
            <wp:extent cx="5274310" cy="5556250"/>
            <wp:effectExtent l="0" t="0" r="2540" b="63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5556250"/>
                    </a:xfrm>
                    <a:prstGeom prst="rect">
                      <a:avLst/>
                    </a:prstGeom>
                    <a:noFill/>
                    <a:ln>
                      <a:noFill/>
                    </a:ln>
                  </pic:spPr>
                </pic:pic>
              </a:graphicData>
            </a:graphic>
          </wp:inline>
        </w:drawing>
      </w:r>
    </w:p>
    <w:p w14:paraId="11084E67" w14:textId="2D26087B" w:rsidR="00725FC5" w:rsidRPr="00343AE5" w:rsidRDefault="00725FC5" w:rsidP="005355FB">
      <w:pPr>
        <w:spacing w:line="480" w:lineRule="auto"/>
        <w:rPr>
          <w:rFonts w:ascii="Times New Roman" w:hAnsi="Times New Roman" w:cs="Times New Roman"/>
          <w:sz w:val="22"/>
        </w:rPr>
      </w:pPr>
      <w:r w:rsidRPr="00343AE5">
        <w:rPr>
          <w:rFonts w:ascii="Times New Roman" w:hAnsi="Times New Roman" w:cs="Times New Roman"/>
          <w:b/>
          <w:bCs/>
          <w:sz w:val="22"/>
        </w:rPr>
        <w:t>Figure S5.</w:t>
      </w:r>
      <w:r w:rsidRPr="00343AE5">
        <w:rPr>
          <w:sz w:val="22"/>
        </w:rPr>
        <w:t xml:space="preserve"> </w:t>
      </w:r>
      <w:r w:rsidRPr="00343AE5">
        <w:rPr>
          <w:rFonts w:ascii="Times New Roman" w:hAnsi="Times New Roman" w:cs="Times New Roman"/>
          <w:b/>
          <w:bCs/>
          <w:sz w:val="22"/>
        </w:rPr>
        <w:t xml:space="preserve">Correlation between </w:t>
      </w:r>
      <w:proofErr w:type="spellStart"/>
      <w:r w:rsidRPr="00343AE5">
        <w:rPr>
          <w:rFonts w:ascii="Times New Roman" w:hAnsi="Times New Roman" w:cs="Times New Roman"/>
          <w:b/>
          <w:bCs/>
          <w:sz w:val="22"/>
        </w:rPr>
        <w:t>cuproptosis</w:t>
      </w:r>
      <w:proofErr w:type="spellEnd"/>
      <w:r w:rsidRPr="00343AE5">
        <w:rPr>
          <w:rFonts w:ascii="Times New Roman" w:hAnsi="Times New Roman" w:cs="Times New Roman"/>
          <w:b/>
          <w:bCs/>
          <w:sz w:val="22"/>
        </w:rPr>
        <w:t xml:space="preserve"> regulators/scores. </w:t>
      </w:r>
      <w:r w:rsidRPr="00343AE5">
        <w:rPr>
          <w:rFonts w:ascii="Times New Roman" w:hAnsi="Times New Roman" w:cs="Times New Roman"/>
          <w:sz w:val="22"/>
        </w:rPr>
        <w:t xml:space="preserve">Correlations between </w:t>
      </w:r>
      <w:proofErr w:type="spellStart"/>
      <w:r w:rsidRPr="00343AE5">
        <w:rPr>
          <w:rFonts w:ascii="Times New Roman" w:hAnsi="Times New Roman" w:cs="Times New Roman"/>
          <w:sz w:val="22"/>
        </w:rPr>
        <w:t>cuproptosis</w:t>
      </w:r>
      <w:proofErr w:type="spellEnd"/>
      <w:r w:rsidRPr="00343AE5">
        <w:rPr>
          <w:rFonts w:ascii="Times New Roman" w:hAnsi="Times New Roman" w:cs="Times New Roman"/>
          <w:sz w:val="22"/>
        </w:rPr>
        <w:t xml:space="preserve"> regulators, </w:t>
      </w:r>
      <w:proofErr w:type="spellStart"/>
      <w:r w:rsidRPr="00343AE5">
        <w:rPr>
          <w:rFonts w:ascii="Times New Roman" w:hAnsi="Times New Roman" w:cs="Times New Roman"/>
          <w:sz w:val="22"/>
        </w:rPr>
        <w:t>cuproptosis</w:t>
      </w:r>
      <w:proofErr w:type="spellEnd"/>
      <w:r w:rsidRPr="00343AE5">
        <w:rPr>
          <w:rFonts w:ascii="Times New Roman" w:hAnsi="Times New Roman" w:cs="Times New Roman"/>
          <w:sz w:val="22"/>
        </w:rPr>
        <w:t xml:space="preserve"> positive score, </w:t>
      </w:r>
      <w:proofErr w:type="spellStart"/>
      <w:r w:rsidRPr="00343AE5">
        <w:rPr>
          <w:rFonts w:ascii="Times New Roman" w:hAnsi="Times New Roman" w:cs="Times New Roman"/>
          <w:sz w:val="22"/>
        </w:rPr>
        <w:t>cuproptosis</w:t>
      </w:r>
      <w:proofErr w:type="spellEnd"/>
      <w:r w:rsidRPr="00343AE5">
        <w:rPr>
          <w:rFonts w:ascii="Times New Roman" w:hAnsi="Times New Roman" w:cs="Times New Roman"/>
          <w:sz w:val="22"/>
        </w:rPr>
        <w:t xml:space="preserve"> negative score, and </w:t>
      </w:r>
      <w:proofErr w:type="spellStart"/>
      <w:r w:rsidRPr="00343AE5">
        <w:rPr>
          <w:rFonts w:ascii="Times New Roman" w:hAnsi="Times New Roman" w:cs="Times New Roman"/>
          <w:sz w:val="22"/>
        </w:rPr>
        <w:t>cuproptosis</w:t>
      </w:r>
      <w:proofErr w:type="spellEnd"/>
      <w:r w:rsidRPr="00343AE5">
        <w:rPr>
          <w:rFonts w:ascii="Times New Roman" w:hAnsi="Times New Roman" w:cs="Times New Roman"/>
          <w:sz w:val="22"/>
        </w:rPr>
        <w:t xml:space="preserve"> activity score. Blue represents a positive correlation and red represents a negative correlation. The size of the points represents the size of the absolute value of correlation coefficient. Only points with correlation </w:t>
      </w:r>
      <w:r w:rsidRPr="00343AE5">
        <w:rPr>
          <w:rFonts w:ascii="Times New Roman" w:hAnsi="Times New Roman" w:cs="Times New Roman"/>
          <w:i/>
          <w:iCs/>
          <w:sz w:val="22"/>
        </w:rPr>
        <w:t>P</w:t>
      </w:r>
      <w:r w:rsidR="002D7F44">
        <w:rPr>
          <w:rFonts w:ascii="Times New Roman" w:hAnsi="Times New Roman" w:cs="Times New Roman"/>
          <w:i/>
          <w:iCs/>
          <w:sz w:val="22"/>
        </w:rPr>
        <w:t xml:space="preserve"> </w:t>
      </w:r>
      <w:r w:rsidRPr="00343AE5">
        <w:rPr>
          <w:rFonts w:ascii="Times New Roman" w:hAnsi="Times New Roman" w:cs="Times New Roman"/>
          <w:sz w:val="22"/>
        </w:rPr>
        <w:t>&lt;</w:t>
      </w:r>
      <w:r w:rsidR="002D7F44">
        <w:rPr>
          <w:rFonts w:ascii="Times New Roman" w:hAnsi="Times New Roman" w:cs="Times New Roman"/>
          <w:sz w:val="22"/>
        </w:rPr>
        <w:t xml:space="preserve"> </w:t>
      </w:r>
      <w:r w:rsidRPr="00343AE5">
        <w:rPr>
          <w:rFonts w:ascii="Times New Roman" w:hAnsi="Times New Roman" w:cs="Times New Roman"/>
          <w:sz w:val="22"/>
        </w:rPr>
        <w:t>0.05 are shown.</w:t>
      </w:r>
    </w:p>
    <w:p w14:paraId="581FB5A2" w14:textId="1C56075D" w:rsidR="00725FC5" w:rsidRPr="00343AE5" w:rsidRDefault="00725FC5" w:rsidP="005355FB">
      <w:pPr>
        <w:spacing w:line="480" w:lineRule="auto"/>
        <w:rPr>
          <w:sz w:val="22"/>
        </w:rPr>
      </w:pPr>
    </w:p>
    <w:p w14:paraId="2B653588" w14:textId="3820820B" w:rsidR="00725FC5" w:rsidRPr="00343AE5" w:rsidRDefault="00725FC5" w:rsidP="005355FB">
      <w:pPr>
        <w:spacing w:line="480" w:lineRule="auto"/>
        <w:rPr>
          <w:sz w:val="22"/>
        </w:rPr>
      </w:pPr>
      <w:r w:rsidRPr="00343AE5">
        <w:rPr>
          <w:noProof/>
          <w:sz w:val="22"/>
          <w14:ligatures w14:val="none"/>
        </w:rPr>
        <w:lastRenderedPageBreak/>
        <w:drawing>
          <wp:inline distT="0" distB="0" distL="0" distR="0" wp14:anchorId="406EDE94" wp14:editId="70E263ED">
            <wp:extent cx="5274310" cy="7391400"/>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4310" cy="7391400"/>
                    </a:xfrm>
                    <a:prstGeom prst="rect">
                      <a:avLst/>
                    </a:prstGeom>
                    <a:noFill/>
                    <a:ln>
                      <a:noFill/>
                    </a:ln>
                  </pic:spPr>
                </pic:pic>
              </a:graphicData>
            </a:graphic>
          </wp:inline>
        </w:drawing>
      </w:r>
    </w:p>
    <w:p w14:paraId="03E5043E" w14:textId="5749492D" w:rsidR="00725FC5" w:rsidRPr="005355FB" w:rsidRDefault="00725FC5" w:rsidP="005355FB">
      <w:pPr>
        <w:spacing w:line="480" w:lineRule="auto"/>
        <w:rPr>
          <w:rFonts w:ascii="Times New Roman" w:hAnsi="Times New Roman" w:cs="Times New Roman"/>
          <w:sz w:val="22"/>
        </w:rPr>
      </w:pPr>
      <w:r w:rsidRPr="00343AE5">
        <w:rPr>
          <w:rFonts w:ascii="Times New Roman" w:hAnsi="Times New Roman" w:cs="Times New Roman"/>
          <w:b/>
          <w:bCs/>
          <w:sz w:val="22"/>
        </w:rPr>
        <w:t xml:space="preserve">Figure S6. GO enrichment analysis and KEGG pathway analysis of </w:t>
      </w:r>
      <w:proofErr w:type="spellStart"/>
      <w:r w:rsidRPr="00343AE5">
        <w:rPr>
          <w:rFonts w:ascii="Times New Roman" w:hAnsi="Times New Roman" w:cs="Times New Roman"/>
          <w:b/>
          <w:bCs/>
          <w:sz w:val="22"/>
        </w:rPr>
        <w:t>cuproptosis</w:t>
      </w:r>
      <w:proofErr w:type="spellEnd"/>
      <w:r w:rsidRPr="00343AE5">
        <w:rPr>
          <w:rFonts w:ascii="Times New Roman" w:hAnsi="Times New Roman" w:cs="Times New Roman"/>
          <w:b/>
          <w:bCs/>
          <w:sz w:val="22"/>
        </w:rPr>
        <w:t>-related genes.</w:t>
      </w:r>
      <w:r w:rsidRPr="00343AE5">
        <w:rPr>
          <w:sz w:val="22"/>
        </w:rPr>
        <w:t xml:space="preserve"> </w:t>
      </w:r>
      <w:r w:rsidRPr="00343AE5">
        <w:rPr>
          <w:rFonts w:ascii="Times New Roman" w:hAnsi="Times New Roman" w:cs="Times New Roman"/>
          <w:sz w:val="22"/>
        </w:rPr>
        <w:t>GO enrichment analysis shows the top 10 terms and KEGG pathway analysis shows the top 30 terms.</w:t>
      </w:r>
    </w:p>
    <w:p w14:paraId="63A10B72" w14:textId="4A341E17" w:rsidR="00725FC5" w:rsidRPr="00343AE5" w:rsidRDefault="00725FC5" w:rsidP="005355FB">
      <w:pPr>
        <w:spacing w:line="480" w:lineRule="auto"/>
        <w:rPr>
          <w:sz w:val="22"/>
        </w:rPr>
      </w:pPr>
      <w:r w:rsidRPr="00343AE5">
        <w:rPr>
          <w:noProof/>
          <w:sz w:val="22"/>
          <w14:ligatures w14:val="none"/>
        </w:rPr>
        <w:lastRenderedPageBreak/>
        <w:drawing>
          <wp:inline distT="0" distB="0" distL="0" distR="0" wp14:anchorId="16D0B6CB" wp14:editId="75474522">
            <wp:extent cx="5274310" cy="6549390"/>
            <wp:effectExtent l="0" t="0" r="2540" b="381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4310" cy="6549390"/>
                    </a:xfrm>
                    <a:prstGeom prst="rect">
                      <a:avLst/>
                    </a:prstGeom>
                    <a:noFill/>
                    <a:ln>
                      <a:noFill/>
                    </a:ln>
                  </pic:spPr>
                </pic:pic>
              </a:graphicData>
            </a:graphic>
          </wp:inline>
        </w:drawing>
      </w:r>
    </w:p>
    <w:p w14:paraId="44790156" w14:textId="4D26F580" w:rsidR="00725FC5" w:rsidRPr="005355FB" w:rsidRDefault="00725FC5" w:rsidP="005355FB">
      <w:pPr>
        <w:spacing w:line="480" w:lineRule="auto"/>
        <w:rPr>
          <w:rFonts w:ascii="Times New Roman" w:hAnsi="Times New Roman" w:cs="Times New Roman"/>
          <w:sz w:val="22"/>
        </w:rPr>
      </w:pPr>
      <w:r w:rsidRPr="00343AE5">
        <w:rPr>
          <w:rFonts w:ascii="Times New Roman" w:hAnsi="Times New Roman" w:cs="Times New Roman"/>
          <w:b/>
          <w:bCs/>
          <w:sz w:val="22"/>
        </w:rPr>
        <w:t>Figure S7.</w:t>
      </w:r>
      <w:r w:rsidRPr="00343AE5">
        <w:rPr>
          <w:sz w:val="22"/>
        </w:rPr>
        <w:t xml:space="preserve"> </w:t>
      </w:r>
      <w:proofErr w:type="spellStart"/>
      <w:r w:rsidRPr="00343AE5">
        <w:rPr>
          <w:rFonts w:ascii="Times New Roman" w:hAnsi="Times New Roman" w:cs="Times New Roman"/>
          <w:b/>
          <w:bCs/>
          <w:sz w:val="22"/>
        </w:rPr>
        <w:t>Cuproptosis</w:t>
      </w:r>
      <w:proofErr w:type="spellEnd"/>
      <w:r w:rsidRPr="00343AE5">
        <w:rPr>
          <w:rFonts w:ascii="Times New Roman" w:hAnsi="Times New Roman" w:cs="Times New Roman"/>
          <w:b/>
          <w:bCs/>
          <w:sz w:val="22"/>
        </w:rPr>
        <w:t xml:space="preserve"> activity is a prognostic factor in 13 cancer types. </w:t>
      </w:r>
      <w:r w:rsidRPr="00343AE5">
        <w:rPr>
          <w:rFonts w:ascii="Times New Roman" w:hAnsi="Times New Roman" w:cs="Times New Roman"/>
          <w:sz w:val="22"/>
        </w:rPr>
        <w:t xml:space="preserve">High </w:t>
      </w:r>
      <w:proofErr w:type="spellStart"/>
      <w:r w:rsidRPr="00343AE5">
        <w:rPr>
          <w:rFonts w:ascii="Times New Roman" w:hAnsi="Times New Roman" w:cs="Times New Roman"/>
          <w:sz w:val="22"/>
        </w:rPr>
        <w:t>cuproptosis</w:t>
      </w:r>
      <w:proofErr w:type="spellEnd"/>
      <w:r w:rsidRPr="00343AE5">
        <w:rPr>
          <w:rFonts w:ascii="Times New Roman" w:hAnsi="Times New Roman" w:cs="Times New Roman"/>
          <w:sz w:val="22"/>
        </w:rPr>
        <w:t xml:space="preserve"> activity score is associated with both better (</w:t>
      </w:r>
      <w:r w:rsidRPr="00605C36">
        <w:rPr>
          <w:rFonts w:ascii="Times New Roman" w:hAnsi="Times New Roman" w:cs="Times New Roman"/>
          <w:sz w:val="22"/>
        </w:rPr>
        <w:t>A</w:t>
      </w:r>
      <w:r w:rsidRPr="00343AE5">
        <w:rPr>
          <w:rFonts w:ascii="Times New Roman" w:hAnsi="Times New Roman" w:cs="Times New Roman"/>
          <w:sz w:val="22"/>
        </w:rPr>
        <w:t>) and worse (</w:t>
      </w:r>
      <w:r w:rsidRPr="00605C36">
        <w:rPr>
          <w:rFonts w:ascii="Times New Roman" w:hAnsi="Times New Roman" w:cs="Times New Roman"/>
          <w:sz w:val="22"/>
        </w:rPr>
        <w:t>B</w:t>
      </w:r>
      <w:r w:rsidRPr="00343AE5">
        <w:rPr>
          <w:rFonts w:ascii="Times New Roman" w:hAnsi="Times New Roman" w:cs="Times New Roman"/>
          <w:sz w:val="22"/>
        </w:rPr>
        <w:t xml:space="preserve">) OS. OS of patients with high </w:t>
      </w:r>
      <w:proofErr w:type="spellStart"/>
      <w:r w:rsidRPr="00343AE5">
        <w:rPr>
          <w:rFonts w:ascii="Times New Roman" w:hAnsi="Times New Roman" w:cs="Times New Roman"/>
          <w:sz w:val="22"/>
        </w:rPr>
        <w:t>cuproptosis</w:t>
      </w:r>
      <w:proofErr w:type="spellEnd"/>
      <w:r w:rsidRPr="00343AE5">
        <w:rPr>
          <w:rFonts w:ascii="Times New Roman" w:hAnsi="Times New Roman" w:cs="Times New Roman"/>
          <w:sz w:val="22"/>
        </w:rPr>
        <w:t xml:space="preserve"> activity score was compared with those with low </w:t>
      </w:r>
      <w:proofErr w:type="spellStart"/>
      <w:r w:rsidRPr="00343AE5">
        <w:rPr>
          <w:rFonts w:ascii="Times New Roman" w:hAnsi="Times New Roman" w:cs="Times New Roman"/>
          <w:sz w:val="22"/>
        </w:rPr>
        <w:t>cuproptosis</w:t>
      </w:r>
      <w:proofErr w:type="spellEnd"/>
      <w:r w:rsidRPr="00343AE5">
        <w:rPr>
          <w:rFonts w:ascii="Times New Roman" w:hAnsi="Times New Roman" w:cs="Times New Roman"/>
          <w:sz w:val="22"/>
        </w:rPr>
        <w:t xml:space="preserve"> activity score in a Kaplan–Meier survival curve analysis. Statistical significance was assessed by log-rank test. </w:t>
      </w:r>
    </w:p>
    <w:p w14:paraId="1FE28A86" w14:textId="36D85B01" w:rsidR="00725FC5" w:rsidRPr="00343AE5" w:rsidRDefault="00725FC5" w:rsidP="005355FB">
      <w:pPr>
        <w:spacing w:line="480" w:lineRule="auto"/>
        <w:rPr>
          <w:sz w:val="22"/>
        </w:rPr>
      </w:pPr>
      <w:r w:rsidRPr="00343AE5">
        <w:rPr>
          <w:noProof/>
          <w:sz w:val="22"/>
          <w14:ligatures w14:val="none"/>
        </w:rPr>
        <w:lastRenderedPageBreak/>
        <w:drawing>
          <wp:inline distT="0" distB="0" distL="0" distR="0" wp14:anchorId="58D546AA" wp14:editId="0422670F">
            <wp:extent cx="5274310" cy="2220595"/>
            <wp:effectExtent l="0" t="0" r="2540"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4310" cy="2220595"/>
                    </a:xfrm>
                    <a:prstGeom prst="rect">
                      <a:avLst/>
                    </a:prstGeom>
                    <a:noFill/>
                    <a:ln>
                      <a:noFill/>
                    </a:ln>
                  </pic:spPr>
                </pic:pic>
              </a:graphicData>
            </a:graphic>
          </wp:inline>
        </w:drawing>
      </w:r>
    </w:p>
    <w:p w14:paraId="3B3C7E5E" w14:textId="6AA52044" w:rsidR="00725FC5" w:rsidRPr="00343AE5" w:rsidRDefault="00725FC5" w:rsidP="005355FB">
      <w:pPr>
        <w:spacing w:line="480" w:lineRule="auto"/>
        <w:rPr>
          <w:rFonts w:ascii="Times New Roman" w:hAnsi="Times New Roman" w:cs="Times New Roman"/>
          <w:sz w:val="22"/>
        </w:rPr>
      </w:pPr>
      <w:r w:rsidRPr="00343AE5">
        <w:rPr>
          <w:rFonts w:ascii="Times New Roman" w:hAnsi="Times New Roman" w:cs="Times New Roman"/>
          <w:b/>
          <w:bCs/>
          <w:sz w:val="22"/>
        </w:rPr>
        <w:t>Figure S8.</w:t>
      </w:r>
      <w:r w:rsidRPr="00343AE5">
        <w:rPr>
          <w:sz w:val="22"/>
        </w:rPr>
        <w:t xml:space="preserve"> </w:t>
      </w:r>
      <w:proofErr w:type="spellStart"/>
      <w:r w:rsidRPr="00343AE5">
        <w:rPr>
          <w:rFonts w:ascii="Times New Roman" w:hAnsi="Times New Roman" w:cs="Times New Roman"/>
          <w:b/>
          <w:bCs/>
          <w:sz w:val="22"/>
        </w:rPr>
        <w:t>Cuproptosis</w:t>
      </w:r>
      <w:proofErr w:type="spellEnd"/>
      <w:r w:rsidRPr="00343AE5">
        <w:rPr>
          <w:rFonts w:ascii="Times New Roman" w:hAnsi="Times New Roman" w:cs="Times New Roman"/>
          <w:b/>
          <w:bCs/>
          <w:sz w:val="22"/>
        </w:rPr>
        <w:t xml:space="preserve"> activity is associated with genomic instability. </w:t>
      </w:r>
      <w:r w:rsidRPr="00343AE5">
        <w:rPr>
          <w:rFonts w:ascii="Times New Roman" w:hAnsi="Times New Roman" w:cs="Times New Roman"/>
          <w:sz w:val="22"/>
        </w:rPr>
        <w:t xml:space="preserve">Correlation between </w:t>
      </w:r>
      <w:proofErr w:type="spellStart"/>
      <w:r w:rsidRPr="00343AE5">
        <w:rPr>
          <w:rFonts w:ascii="Times New Roman" w:hAnsi="Times New Roman" w:cs="Times New Roman"/>
          <w:sz w:val="22"/>
        </w:rPr>
        <w:t>cuproptosis</w:t>
      </w:r>
      <w:proofErr w:type="spellEnd"/>
      <w:r w:rsidRPr="00343AE5">
        <w:rPr>
          <w:rFonts w:ascii="Times New Roman" w:hAnsi="Times New Roman" w:cs="Times New Roman"/>
          <w:sz w:val="22"/>
        </w:rPr>
        <w:t xml:space="preserve"> activity and mutation burden, HRD score, LOH score, LST score and TAI score. Blue points represent a negative correlation and red points represent a positive correlation, where the darker of color, the higher the correlation.</w:t>
      </w:r>
    </w:p>
    <w:p w14:paraId="736F38CD" w14:textId="0CE30A3C" w:rsidR="00725FC5" w:rsidRPr="00343AE5" w:rsidRDefault="00725FC5" w:rsidP="005355FB">
      <w:pPr>
        <w:spacing w:line="480" w:lineRule="auto"/>
        <w:rPr>
          <w:sz w:val="22"/>
        </w:rPr>
      </w:pPr>
    </w:p>
    <w:p w14:paraId="7D0C59B7" w14:textId="1F88B396" w:rsidR="00725FC5" w:rsidRPr="00343AE5" w:rsidRDefault="00725FC5" w:rsidP="005355FB">
      <w:pPr>
        <w:spacing w:line="480" w:lineRule="auto"/>
        <w:rPr>
          <w:sz w:val="22"/>
        </w:rPr>
      </w:pPr>
      <w:r w:rsidRPr="00343AE5">
        <w:rPr>
          <w:noProof/>
          <w:sz w:val="22"/>
          <w14:ligatures w14:val="none"/>
        </w:rPr>
        <w:lastRenderedPageBreak/>
        <w:drawing>
          <wp:inline distT="0" distB="0" distL="0" distR="0" wp14:anchorId="6ECE7D67" wp14:editId="2DF4B321">
            <wp:extent cx="5274310" cy="4758055"/>
            <wp:effectExtent l="0" t="0" r="2540" b="444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4310" cy="4758055"/>
                    </a:xfrm>
                    <a:prstGeom prst="rect">
                      <a:avLst/>
                    </a:prstGeom>
                    <a:noFill/>
                    <a:ln>
                      <a:noFill/>
                    </a:ln>
                  </pic:spPr>
                </pic:pic>
              </a:graphicData>
            </a:graphic>
          </wp:inline>
        </w:drawing>
      </w:r>
    </w:p>
    <w:p w14:paraId="3B62B728" w14:textId="02745EA4" w:rsidR="00725FC5" w:rsidRPr="00343AE5" w:rsidRDefault="00725FC5" w:rsidP="005355FB">
      <w:pPr>
        <w:spacing w:line="480" w:lineRule="auto"/>
        <w:rPr>
          <w:rFonts w:ascii="Times New Roman" w:hAnsi="Times New Roman" w:cs="Times New Roman"/>
          <w:sz w:val="22"/>
        </w:rPr>
      </w:pPr>
      <w:r w:rsidRPr="00343AE5">
        <w:rPr>
          <w:rFonts w:ascii="Times New Roman" w:hAnsi="Times New Roman" w:cs="Times New Roman"/>
          <w:b/>
          <w:bCs/>
          <w:sz w:val="22"/>
        </w:rPr>
        <w:t>Figure S9.</w:t>
      </w:r>
      <w:r w:rsidRPr="00343AE5">
        <w:rPr>
          <w:sz w:val="22"/>
        </w:rPr>
        <w:t xml:space="preserve"> </w:t>
      </w:r>
      <w:proofErr w:type="spellStart"/>
      <w:r w:rsidRPr="00343AE5">
        <w:rPr>
          <w:rFonts w:ascii="Times New Roman" w:hAnsi="Times New Roman" w:cs="Times New Roman"/>
          <w:b/>
          <w:bCs/>
          <w:sz w:val="22"/>
        </w:rPr>
        <w:t>Cuproptosis</w:t>
      </w:r>
      <w:proofErr w:type="spellEnd"/>
      <w:r w:rsidRPr="00343AE5">
        <w:rPr>
          <w:rFonts w:ascii="Times New Roman" w:hAnsi="Times New Roman" w:cs="Times New Roman"/>
          <w:b/>
          <w:bCs/>
          <w:sz w:val="22"/>
        </w:rPr>
        <w:t xml:space="preserve"> activity is associated with c</w:t>
      </w:r>
      <w:bookmarkStart w:id="8" w:name="_Hlk113567661"/>
      <w:r w:rsidRPr="00343AE5">
        <w:rPr>
          <w:rFonts w:ascii="Times New Roman" w:hAnsi="Times New Roman" w:cs="Times New Roman"/>
          <w:b/>
          <w:bCs/>
          <w:sz w:val="22"/>
        </w:rPr>
        <w:t>ell senescence and cell cycle markers</w:t>
      </w:r>
      <w:bookmarkEnd w:id="8"/>
      <w:r w:rsidRPr="00343AE5">
        <w:rPr>
          <w:rFonts w:ascii="Times New Roman" w:hAnsi="Times New Roman" w:cs="Times New Roman"/>
          <w:b/>
          <w:bCs/>
          <w:sz w:val="22"/>
        </w:rPr>
        <w:t xml:space="preserve">. </w:t>
      </w:r>
      <w:r w:rsidRPr="00343AE5">
        <w:rPr>
          <w:rFonts w:ascii="Times New Roman" w:hAnsi="Times New Roman" w:cs="Times New Roman"/>
          <w:sz w:val="22"/>
        </w:rPr>
        <w:t xml:space="preserve">The heatmaps showing the correlation between </w:t>
      </w:r>
      <w:proofErr w:type="spellStart"/>
      <w:r w:rsidRPr="00343AE5">
        <w:rPr>
          <w:rFonts w:ascii="Times New Roman" w:hAnsi="Times New Roman" w:cs="Times New Roman"/>
          <w:sz w:val="22"/>
        </w:rPr>
        <w:t>cuproptosis</w:t>
      </w:r>
      <w:proofErr w:type="spellEnd"/>
      <w:r w:rsidRPr="00343AE5">
        <w:rPr>
          <w:rFonts w:ascii="Times New Roman" w:hAnsi="Times New Roman" w:cs="Times New Roman"/>
          <w:sz w:val="22"/>
        </w:rPr>
        <w:t xml:space="preserve"> activity and cell senescence (</w:t>
      </w:r>
      <w:r w:rsidRPr="00605C36">
        <w:rPr>
          <w:rFonts w:ascii="Times New Roman" w:hAnsi="Times New Roman" w:cs="Times New Roman"/>
          <w:sz w:val="22"/>
        </w:rPr>
        <w:t>A</w:t>
      </w:r>
      <w:r w:rsidRPr="00343AE5">
        <w:rPr>
          <w:rFonts w:ascii="Times New Roman" w:hAnsi="Times New Roman" w:cs="Times New Roman"/>
          <w:sz w:val="22"/>
        </w:rPr>
        <w:t>) and cell cycle (</w:t>
      </w:r>
      <w:r w:rsidRPr="00605C36">
        <w:rPr>
          <w:rFonts w:ascii="Times New Roman" w:hAnsi="Times New Roman" w:cs="Times New Roman"/>
          <w:sz w:val="22"/>
        </w:rPr>
        <w:t>B</w:t>
      </w:r>
      <w:r w:rsidRPr="00343AE5">
        <w:rPr>
          <w:rFonts w:ascii="Times New Roman" w:hAnsi="Times New Roman" w:cs="Times New Roman"/>
          <w:sz w:val="22"/>
        </w:rPr>
        <w:t>) markers in each cancer type. Each column is a cancer type, and each row is a marker. Red represents positive</w:t>
      </w:r>
      <w:r w:rsidR="00605C36">
        <w:rPr>
          <w:rFonts w:ascii="Times New Roman" w:hAnsi="Times New Roman" w:cs="Times New Roman"/>
          <w:sz w:val="22"/>
        </w:rPr>
        <w:t xml:space="preserve"> </w:t>
      </w:r>
      <w:proofErr w:type="gramStart"/>
      <w:r w:rsidRPr="00343AE5">
        <w:rPr>
          <w:rFonts w:ascii="Times New Roman" w:hAnsi="Times New Roman" w:cs="Times New Roman"/>
          <w:sz w:val="22"/>
        </w:rPr>
        <w:t>correlation,</w:t>
      </w:r>
      <w:proofErr w:type="gramEnd"/>
      <w:r w:rsidRPr="00343AE5">
        <w:rPr>
          <w:rFonts w:ascii="Times New Roman" w:hAnsi="Times New Roman" w:cs="Times New Roman"/>
          <w:sz w:val="22"/>
        </w:rPr>
        <w:t xml:space="preserve"> blue represents negative correlation. Unsupervised clustering used Euclidean distance metric with complete linkage.</w:t>
      </w:r>
    </w:p>
    <w:p w14:paraId="3E47BF9D" w14:textId="77777777" w:rsidR="00725FC5" w:rsidRPr="00343AE5" w:rsidRDefault="00725FC5" w:rsidP="005355FB">
      <w:pPr>
        <w:spacing w:line="480" w:lineRule="auto"/>
        <w:rPr>
          <w:sz w:val="22"/>
        </w:rPr>
      </w:pPr>
    </w:p>
    <w:sectPr w:rsidR="00725FC5" w:rsidRPr="00343AE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42311B" w14:textId="77777777" w:rsidR="008268A6" w:rsidRDefault="008268A6" w:rsidP="00725FC5">
      <w:r>
        <w:separator/>
      </w:r>
    </w:p>
  </w:endnote>
  <w:endnote w:type="continuationSeparator" w:id="0">
    <w:p w14:paraId="69F6D84C" w14:textId="77777777" w:rsidR="008268A6" w:rsidRDefault="008268A6" w:rsidP="00725F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520584" w14:textId="77777777" w:rsidR="008268A6" w:rsidRDefault="008268A6" w:rsidP="00725FC5">
      <w:r>
        <w:separator/>
      </w:r>
    </w:p>
  </w:footnote>
  <w:footnote w:type="continuationSeparator" w:id="0">
    <w:p w14:paraId="1C53A654" w14:textId="77777777" w:rsidR="008268A6" w:rsidRDefault="008268A6" w:rsidP="00725FC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1AA4"/>
    <w:rsid w:val="00001583"/>
    <w:rsid w:val="000B5918"/>
    <w:rsid w:val="00151AA4"/>
    <w:rsid w:val="001562E2"/>
    <w:rsid w:val="002923E2"/>
    <w:rsid w:val="002D7F44"/>
    <w:rsid w:val="002F5D81"/>
    <w:rsid w:val="00343AE5"/>
    <w:rsid w:val="00512AD4"/>
    <w:rsid w:val="005355FB"/>
    <w:rsid w:val="00605C36"/>
    <w:rsid w:val="00674BED"/>
    <w:rsid w:val="006A3D04"/>
    <w:rsid w:val="006E4415"/>
    <w:rsid w:val="007119BC"/>
    <w:rsid w:val="00725FC5"/>
    <w:rsid w:val="007A1229"/>
    <w:rsid w:val="008268A6"/>
    <w:rsid w:val="008D124A"/>
    <w:rsid w:val="00923FA0"/>
    <w:rsid w:val="00A548A8"/>
    <w:rsid w:val="00CA186C"/>
    <w:rsid w:val="00CC4662"/>
    <w:rsid w:val="00D12CDC"/>
    <w:rsid w:val="00D46F33"/>
    <w:rsid w:val="00E11875"/>
    <w:rsid w:val="00F21F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A02C365"/>
  <w14:defaultImageDpi w14:val="32767"/>
  <w15:chartTrackingRefBased/>
  <w15:docId w15:val="{D26DF70D-0D3B-401E-A7E3-D0462F10DA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25FC5"/>
    <w:pPr>
      <w:widowControl w:val="0"/>
      <w:jc w:val="both"/>
    </w:pPr>
    <w:rPr>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25FC5"/>
    <w:pPr>
      <w:pBdr>
        <w:bottom w:val="single" w:sz="6" w:space="1" w:color="auto"/>
      </w:pBdr>
      <w:tabs>
        <w:tab w:val="center" w:pos="4153"/>
        <w:tab w:val="right" w:pos="8306"/>
      </w:tabs>
      <w:snapToGrid w:val="0"/>
      <w:jc w:val="center"/>
    </w:pPr>
    <w:rPr>
      <w:sz w:val="18"/>
      <w:szCs w:val="18"/>
      <w14:ligatures w14:val="none"/>
    </w:rPr>
  </w:style>
  <w:style w:type="character" w:customStyle="1" w:styleId="a4">
    <w:name w:val="页眉 字符"/>
    <w:basedOn w:val="a0"/>
    <w:link w:val="a3"/>
    <w:uiPriority w:val="99"/>
    <w:rsid w:val="00725FC5"/>
    <w:rPr>
      <w:sz w:val="18"/>
      <w:szCs w:val="18"/>
    </w:rPr>
  </w:style>
  <w:style w:type="paragraph" w:styleId="a5">
    <w:name w:val="footer"/>
    <w:basedOn w:val="a"/>
    <w:link w:val="a6"/>
    <w:uiPriority w:val="99"/>
    <w:unhideWhenUsed/>
    <w:rsid w:val="00725FC5"/>
    <w:pPr>
      <w:tabs>
        <w:tab w:val="center" w:pos="4153"/>
        <w:tab w:val="right" w:pos="8306"/>
      </w:tabs>
      <w:snapToGrid w:val="0"/>
      <w:jc w:val="left"/>
    </w:pPr>
    <w:rPr>
      <w:sz w:val="18"/>
      <w:szCs w:val="18"/>
      <w14:ligatures w14:val="none"/>
    </w:rPr>
  </w:style>
  <w:style w:type="character" w:customStyle="1" w:styleId="a6">
    <w:name w:val="页脚 字符"/>
    <w:basedOn w:val="a0"/>
    <w:link w:val="a5"/>
    <w:uiPriority w:val="99"/>
    <w:rsid w:val="00725FC5"/>
    <w:rPr>
      <w:sz w:val="18"/>
      <w:szCs w:val="18"/>
    </w:rPr>
  </w:style>
  <w:style w:type="paragraph" w:customStyle="1" w:styleId="MDPI42tablebody">
    <w:name w:val="MDPI_4.2_table_body"/>
    <w:qFormat/>
    <w:rsid w:val="00725FC5"/>
    <w:pPr>
      <w:adjustRightInd w:val="0"/>
      <w:snapToGrid w:val="0"/>
      <w:spacing w:line="260" w:lineRule="atLeast"/>
      <w:jc w:val="center"/>
    </w:pPr>
    <w:rPr>
      <w:rFonts w:ascii="Palatino Linotype" w:eastAsia="Times New Roman" w:hAnsi="Palatino Linotype" w:cs="Times New Roman"/>
      <w:snapToGrid w:val="0"/>
      <w:color w:val="000000"/>
      <w:kern w:val="0"/>
      <w:sz w:val="20"/>
      <w:szCs w:val="20"/>
      <w:lang w:eastAsia="de-DE" w:bidi="en-US"/>
    </w:rPr>
  </w:style>
  <w:style w:type="table" w:customStyle="1" w:styleId="1">
    <w:name w:val="网格型1"/>
    <w:basedOn w:val="a1"/>
    <w:next w:val="a7"/>
    <w:uiPriority w:val="39"/>
    <w:qFormat/>
    <w:rsid w:val="00725FC5"/>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7">
    <w:name w:val="Table Grid"/>
    <w:basedOn w:val="a1"/>
    <w:uiPriority w:val="39"/>
    <w:rsid w:val="00725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uiPriority w:val="99"/>
    <w:unhideWhenUsed/>
    <w:rsid w:val="002923E2"/>
    <w:rPr>
      <w:color w:val="0563C1" w:themeColor="hyperlink"/>
      <w:u w:val="single"/>
    </w:rPr>
  </w:style>
  <w:style w:type="character" w:styleId="a9">
    <w:name w:val="annotation reference"/>
    <w:basedOn w:val="a0"/>
    <w:uiPriority w:val="99"/>
    <w:semiHidden/>
    <w:unhideWhenUsed/>
    <w:rsid w:val="00F21F54"/>
    <w:rPr>
      <w:sz w:val="21"/>
      <w:szCs w:val="21"/>
    </w:rPr>
  </w:style>
  <w:style w:type="paragraph" w:styleId="aa">
    <w:name w:val="annotation text"/>
    <w:basedOn w:val="a"/>
    <w:link w:val="ab"/>
    <w:uiPriority w:val="99"/>
    <w:semiHidden/>
    <w:unhideWhenUsed/>
    <w:rsid w:val="00F21F54"/>
    <w:pPr>
      <w:jc w:val="left"/>
    </w:pPr>
  </w:style>
  <w:style w:type="character" w:customStyle="1" w:styleId="ab">
    <w:name w:val="批注文字 字符"/>
    <w:basedOn w:val="a0"/>
    <w:link w:val="aa"/>
    <w:uiPriority w:val="99"/>
    <w:semiHidden/>
    <w:rsid w:val="00F21F54"/>
    <w:rPr>
      <w14:ligatures w14:val="standardContextual"/>
    </w:rPr>
  </w:style>
  <w:style w:type="paragraph" w:styleId="ac">
    <w:name w:val="annotation subject"/>
    <w:basedOn w:val="aa"/>
    <w:next w:val="aa"/>
    <w:link w:val="ad"/>
    <w:uiPriority w:val="99"/>
    <w:semiHidden/>
    <w:unhideWhenUsed/>
    <w:rsid w:val="00F21F54"/>
    <w:rPr>
      <w:b/>
      <w:bCs/>
    </w:rPr>
  </w:style>
  <w:style w:type="character" w:customStyle="1" w:styleId="ad">
    <w:name w:val="批注主题 字符"/>
    <w:basedOn w:val="ab"/>
    <w:link w:val="ac"/>
    <w:uiPriority w:val="99"/>
    <w:semiHidden/>
    <w:rsid w:val="00F21F54"/>
    <w:rPr>
      <w:b/>
      <w:bCs/>
      <w14:ligatures w14:val="standardContextual"/>
    </w:rPr>
  </w:style>
  <w:style w:type="paragraph" w:styleId="ae">
    <w:name w:val="Revision"/>
    <w:hidden/>
    <w:uiPriority w:val="99"/>
    <w:semiHidden/>
    <w:rsid w:val="00F21F54"/>
    <w:rPr>
      <w14:ligatures w14:val="standardContextual"/>
    </w:rPr>
  </w:style>
  <w:style w:type="paragraph" w:customStyle="1" w:styleId="EndNoteBibliography">
    <w:name w:val="EndNote Bibliography"/>
    <w:basedOn w:val="a"/>
    <w:link w:val="EndNoteBibliography0"/>
    <w:rsid w:val="00D12CDC"/>
    <w:rPr>
      <w:rFonts w:ascii="等线" w:eastAsia="等线" w:hAnsi="等线"/>
      <w:noProof/>
      <w:sz w:val="20"/>
    </w:rPr>
  </w:style>
  <w:style w:type="character" w:customStyle="1" w:styleId="EndNoteBibliography0">
    <w:name w:val="EndNote Bibliography 字符"/>
    <w:basedOn w:val="a0"/>
    <w:link w:val="EndNoteBibliography"/>
    <w:rsid w:val="00D12CDC"/>
    <w:rPr>
      <w:rFonts w:ascii="等线" w:eastAsia="等线" w:hAnsi="等线"/>
      <w:noProof/>
      <w:sz w:val="20"/>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targetscan.org/vert_80/" TargetMode="External"/><Relationship Id="rId18" Type="http://schemas.openxmlformats.org/officeDocument/2006/relationships/hyperlink" Target="https://www.cancerrxgene.org/" TargetMode="External"/><Relationship Id="rId26" Type="http://schemas.openxmlformats.org/officeDocument/2006/relationships/hyperlink" Target="https://doi.org/10.1016/j.celrep.2018.03.076" TargetMode="External"/><Relationship Id="rId39" Type="http://schemas.openxmlformats.org/officeDocument/2006/relationships/image" Target="media/image8.tiff"/><Relationship Id="rId21" Type="http://schemas.openxmlformats.org/officeDocument/2006/relationships/hyperlink" Target="https://doi.org/10.1186/1471-2105-14-7" TargetMode="External"/><Relationship Id="rId34" Type="http://schemas.openxmlformats.org/officeDocument/2006/relationships/image" Target="media/image3.tiff"/><Relationship Id="rId42" Type="http://schemas.openxmlformats.org/officeDocument/2006/relationships/theme" Target="theme/theme1.xml"/><Relationship Id="rId7" Type="http://schemas.openxmlformats.org/officeDocument/2006/relationships/hyperlink" Target="https://www.cell.com/pb-assets/consortium/pancanceratlas/pancani3/index.html" TargetMode="External"/><Relationship Id="rId2" Type="http://schemas.openxmlformats.org/officeDocument/2006/relationships/settings" Target="settings.xml"/><Relationship Id="rId16" Type="http://schemas.openxmlformats.org/officeDocument/2006/relationships/hyperlink" Target="http://research-pub.gene.com/IMvigor210CoreBiologies" TargetMode="External"/><Relationship Id="rId20" Type="http://schemas.openxmlformats.org/officeDocument/2006/relationships/hyperlink" Target="https://doi.org/10.1093/bioinformatics/btq170" TargetMode="External"/><Relationship Id="rId29" Type="http://schemas.openxmlformats.org/officeDocument/2006/relationships/hyperlink" Target="https://doi.org/10.1158/2326-6066.Cir-18-0436" TargetMode="External"/><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https://xenabrowser.net/datapages/" TargetMode="External"/><Relationship Id="rId11" Type="http://schemas.openxmlformats.org/officeDocument/2006/relationships/hyperlink" Target="https://mirtarbase.cuhk.edu.cn/" TargetMode="External"/><Relationship Id="rId24" Type="http://schemas.openxmlformats.org/officeDocument/2006/relationships/hyperlink" Target="https://doi.org/10.1038/s42255-019-0045-8" TargetMode="External"/><Relationship Id="rId32" Type="http://schemas.openxmlformats.org/officeDocument/2006/relationships/image" Target="media/image1.tiff"/><Relationship Id="rId37" Type="http://schemas.openxmlformats.org/officeDocument/2006/relationships/image" Target="media/image6.tiff"/><Relationship Id="rId40" Type="http://schemas.openxmlformats.org/officeDocument/2006/relationships/image" Target="media/image9.tiff"/><Relationship Id="rId5" Type="http://schemas.openxmlformats.org/officeDocument/2006/relationships/endnotes" Target="endnotes.xml"/><Relationship Id="rId15" Type="http://schemas.openxmlformats.org/officeDocument/2006/relationships/hyperlink" Target="https://www.gsea-msigdb.org/gsea/msigdb/" TargetMode="External"/><Relationship Id="rId23" Type="http://schemas.openxmlformats.org/officeDocument/2006/relationships/hyperlink" Target="https://doi.org/10.1038/nature16965" TargetMode="External"/><Relationship Id="rId28" Type="http://schemas.openxmlformats.org/officeDocument/2006/relationships/hyperlink" Target="https://doi.org/10.1016/j.immuni.2018.03.023" TargetMode="External"/><Relationship Id="rId36" Type="http://schemas.openxmlformats.org/officeDocument/2006/relationships/image" Target="media/image5.tiff"/><Relationship Id="rId10" Type="http://schemas.openxmlformats.org/officeDocument/2006/relationships/hyperlink" Target="https://mexpress.be/" TargetMode="External"/><Relationship Id="rId19" Type="http://schemas.openxmlformats.org/officeDocument/2006/relationships/hyperlink" Target="https://doi.org/10.1038/nature08822" TargetMode="External"/><Relationship Id="rId31" Type="http://schemas.openxmlformats.org/officeDocument/2006/relationships/hyperlink" Target="https://doi.org/10.1093/nar/gks1111" TargetMode="External"/><Relationship Id="rId4" Type="http://schemas.openxmlformats.org/officeDocument/2006/relationships/footnotes" Target="footnotes.xml"/><Relationship Id="rId9" Type="http://schemas.openxmlformats.org/officeDocument/2006/relationships/hyperlink" Target="http://sangerbox.com/Tool" TargetMode="External"/><Relationship Id="rId14" Type="http://schemas.openxmlformats.org/officeDocument/2006/relationships/hyperlink" Target="http://gliovis.bioinfo.cnio.es/" TargetMode="External"/><Relationship Id="rId22" Type="http://schemas.openxmlformats.org/officeDocument/2006/relationships/hyperlink" Target="https://doi.org/10.1016/j.cell.2017.01.010" TargetMode="External"/><Relationship Id="rId27" Type="http://schemas.openxmlformats.org/officeDocument/2006/relationships/hyperlink" Target="https://doi.org/10.1038/ncomms3612" TargetMode="External"/><Relationship Id="rId30" Type="http://schemas.openxmlformats.org/officeDocument/2006/relationships/hyperlink" Target="https://doi.org/10.1038/nature25501" TargetMode="External"/><Relationship Id="rId35" Type="http://schemas.openxmlformats.org/officeDocument/2006/relationships/image" Target="media/image4.tiff"/><Relationship Id="rId8" Type="http://schemas.openxmlformats.org/officeDocument/2006/relationships/hyperlink" Target="https://string-db.org/" TargetMode="External"/><Relationship Id="rId3" Type="http://schemas.openxmlformats.org/officeDocument/2006/relationships/webSettings" Target="webSettings.xml"/><Relationship Id="rId12" Type="http://schemas.openxmlformats.org/officeDocument/2006/relationships/hyperlink" Target="https://dianalab.e-ce.uth.gr/html/diana/web/index.php?r=tarbasev8/index" TargetMode="External"/><Relationship Id="rId17" Type="http://schemas.openxmlformats.org/officeDocument/2006/relationships/hyperlink" Target="https://www.ncbi.nlm.nih.gov/geo/" TargetMode="External"/><Relationship Id="rId25" Type="http://schemas.openxmlformats.org/officeDocument/2006/relationships/hyperlink" Target="https://doi.org/10.1016/j.celrep.2018.03.064" TargetMode="External"/><Relationship Id="rId33" Type="http://schemas.openxmlformats.org/officeDocument/2006/relationships/image" Target="media/image2.tiff"/><Relationship Id="rId38" Type="http://schemas.openxmlformats.org/officeDocument/2006/relationships/image" Target="media/image7.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75</TotalTime>
  <Pages>24</Pages>
  <Words>4174</Words>
  <Characters>23794</Characters>
  <Application>Microsoft Office Word</Application>
  <DocSecurity>0</DocSecurity>
  <Lines>198</Lines>
  <Paragraphs>55</Paragraphs>
  <ScaleCrop>false</ScaleCrop>
  <Company/>
  <LinksUpToDate>false</LinksUpToDate>
  <CharactersWithSpaces>27913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Changwu</dc:creator>
  <cp:keywords/>
  <dc:description/>
  <cp:lastModifiedBy>Changwu</cp:lastModifiedBy>
  <cp:revision>16</cp:revision>
  <dcterms:created xsi:type="dcterms:W3CDTF">2022-10-17T14:35:00Z</dcterms:created>
  <dcterms:modified xsi:type="dcterms:W3CDTF">2022-10-31T12:30:00Z</dcterms:modified>
</cp:coreProperties>
</file>