
<file path=[Content_Types].xml><?xml version="1.0" encoding="utf-8"?>
<Types xmlns="http://schemas.openxmlformats.org/package/2006/content-types">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3D6B3">
      <w:pPr>
        <w:spacing w:after="120" w:line="360" w:lineRule="auto"/>
        <w:outlineLvl w:val="0"/>
        <w:rPr>
          <w:b/>
          <w:bCs/>
          <w:sz w:val="22"/>
        </w:rPr>
      </w:pPr>
      <w:r>
        <w:rPr>
          <w:rFonts w:hint="eastAsia"/>
          <w:b/>
          <w:bCs/>
          <w:sz w:val="22"/>
        </w:rPr>
        <w:t>Supporting information to:</w:t>
      </w:r>
    </w:p>
    <w:p w14:paraId="32801A39">
      <w:pPr>
        <w:spacing w:line="360" w:lineRule="auto"/>
        <w:outlineLvl w:val="0"/>
        <w:rPr>
          <w:rFonts w:eastAsia="Times New Roman Regular"/>
          <w:b/>
          <w:bCs/>
          <w:color w:val="auto"/>
          <w:sz w:val="22"/>
          <w:szCs w:val="22"/>
          <w:lang w:bidi="ar"/>
        </w:rPr>
      </w:pPr>
      <w:bookmarkStart w:id="0" w:name="OLE_LINK1"/>
      <w:r>
        <w:rPr>
          <w:b/>
          <w:bCs/>
          <w:snapToGrid w:val="0"/>
          <w:color w:val="auto"/>
          <w:sz w:val="22"/>
          <w:szCs w:val="22"/>
          <w:lang w:eastAsia="zh"/>
        </w:rPr>
        <w:t>Linking preclinical models to clinical realities: VEGF/VEGFR</w:t>
      </w:r>
      <w:r>
        <w:rPr>
          <w:b/>
          <w:bCs/>
          <w:snapToGrid w:val="0"/>
          <w:color w:val="auto"/>
          <w:sz w:val="22"/>
          <w:szCs w:val="22"/>
        </w:rPr>
        <w:t xml:space="preserve"> </w:t>
      </w:r>
      <w:r>
        <w:rPr>
          <w:b/>
          <w:bCs/>
          <w:snapToGrid w:val="0"/>
          <w:color w:val="auto"/>
          <w:sz w:val="22"/>
          <w:szCs w:val="22"/>
          <w:lang w:eastAsia="zh"/>
        </w:rPr>
        <w:t>inhibitors and thrombotic microangiopathy in cancer therapy</w:t>
      </w:r>
    </w:p>
    <w:bookmarkEnd w:id="0"/>
    <w:p w14:paraId="777ABBDE">
      <w:pPr>
        <w:spacing w:line="360" w:lineRule="auto"/>
        <w:rPr>
          <w:color w:val="auto"/>
          <w:sz w:val="22"/>
          <w:szCs w:val="22"/>
          <w:vertAlign w:val="superscript"/>
        </w:rPr>
      </w:pPr>
      <w:r>
        <w:rPr>
          <w:color w:val="auto"/>
          <w:sz w:val="22"/>
          <w:szCs w:val="22"/>
        </w:rPr>
        <w:t>Aimin Jiang</w:t>
      </w:r>
      <w:r>
        <w:rPr>
          <w:rFonts w:eastAsia="宋体"/>
          <w:color w:val="auto"/>
          <w:sz w:val="22"/>
          <w:szCs w:val="22"/>
          <w:vertAlign w:val="superscript"/>
        </w:rPr>
        <w:t>1#</w:t>
      </w:r>
      <w:r>
        <w:rPr>
          <w:color w:val="auto"/>
          <w:sz w:val="22"/>
          <w:szCs w:val="22"/>
        </w:rPr>
        <w:t>, Zhanzhi Li</w:t>
      </w:r>
      <w:r>
        <w:rPr>
          <w:rFonts w:eastAsia="宋体"/>
          <w:color w:val="auto"/>
          <w:sz w:val="22"/>
          <w:szCs w:val="22"/>
          <w:vertAlign w:val="superscript"/>
        </w:rPr>
        <w:t>2#</w:t>
      </w:r>
      <w:r>
        <w:rPr>
          <w:color w:val="auto"/>
          <w:sz w:val="22"/>
          <w:szCs w:val="22"/>
        </w:rPr>
        <w:t>, Ying Liu</w:t>
      </w:r>
      <w:r>
        <w:rPr>
          <w:rFonts w:eastAsia="宋体"/>
          <w:color w:val="auto"/>
          <w:sz w:val="22"/>
          <w:szCs w:val="22"/>
          <w:vertAlign w:val="superscript"/>
        </w:rPr>
        <w:t>1#</w:t>
      </w:r>
      <w:r>
        <w:rPr>
          <w:color w:val="auto"/>
          <w:sz w:val="22"/>
          <w:szCs w:val="22"/>
        </w:rPr>
        <w:t>, Junyi Shen</w:t>
      </w:r>
      <w:r>
        <w:rPr>
          <w:rFonts w:eastAsia="宋体"/>
          <w:color w:val="auto"/>
          <w:sz w:val="22"/>
          <w:szCs w:val="22"/>
          <w:vertAlign w:val="superscript"/>
        </w:rPr>
        <w:t>3#</w:t>
      </w:r>
      <w:r>
        <w:rPr>
          <w:color w:val="auto"/>
          <w:sz w:val="22"/>
          <w:szCs w:val="22"/>
        </w:rPr>
        <w:t>, Quan Cheng</w:t>
      </w:r>
      <w:r>
        <w:rPr>
          <w:rFonts w:eastAsia="宋体"/>
          <w:color w:val="auto"/>
          <w:sz w:val="22"/>
          <w:szCs w:val="22"/>
          <w:vertAlign w:val="superscript"/>
        </w:rPr>
        <w:t>4</w:t>
      </w:r>
      <w:r>
        <w:rPr>
          <w:color w:val="auto"/>
          <w:sz w:val="22"/>
          <w:szCs w:val="22"/>
          <w:vertAlign w:val="superscript"/>
        </w:rPr>
        <w:t>,</w:t>
      </w:r>
      <w:r>
        <w:rPr>
          <w:rFonts w:eastAsia="宋体"/>
          <w:color w:val="auto"/>
          <w:sz w:val="22"/>
          <w:szCs w:val="22"/>
          <w:vertAlign w:val="superscript"/>
        </w:rPr>
        <w:t>5</w:t>
      </w:r>
      <w:r>
        <w:rPr>
          <w:rFonts w:eastAsia="楷体_GB2312"/>
          <w:color w:val="auto"/>
          <w:sz w:val="22"/>
          <w:szCs w:val="22"/>
          <w:vertAlign w:val="superscript"/>
        </w:rPr>
        <w:t>*</w:t>
      </w:r>
      <w:r>
        <w:rPr>
          <w:color w:val="auto"/>
          <w:sz w:val="22"/>
          <w:szCs w:val="22"/>
        </w:rPr>
        <w:t>, Anqi Lin</w:t>
      </w:r>
      <w:r>
        <w:rPr>
          <w:rFonts w:eastAsia="宋体"/>
          <w:color w:val="auto"/>
          <w:sz w:val="22"/>
          <w:szCs w:val="22"/>
          <w:vertAlign w:val="superscript"/>
        </w:rPr>
        <w:t>3</w:t>
      </w:r>
      <w:r>
        <w:rPr>
          <w:rFonts w:eastAsia="楷体_GB2312"/>
          <w:color w:val="auto"/>
          <w:sz w:val="22"/>
          <w:szCs w:val="22"/>
          <w:vertAlign w:val="superscript"/>
        </w:rPr>
        <w:t>*</w:t>
      </w:r>
      <w:r>
        <w:rPr>
          <w:color w:val="auto"/>
          <w:sz w:val="22"/>
          <w:szCs w:val="22"/>
        </w:rPr>
        <w:t>, Peng Luo</w:t>
      </w:r>
      <w:r>
        <w:rPr>
          <w:rFonts w:eastAsia="宋体"/>
          <w:color w:val="auto"/>
          <w:sz w:val="22"/>
          <w:szCs w:val="22"/>
          <w:vertAlign w:val="superscript"/>
        </w:rPr>
        <w:t>3</w:t>
      </w:r>
      <w:r>
        <w:rPr>
          <w:rFonts w:eastAsia="楷体_GB2312"/>
          <w:color w:val="auto"/>
          <w:sz w:val="22"/>
          <w:szCs w:val="22"/>
          <w:vertAlign w:val="superscript"/>
        </w:rPr>
        <w:t>*</w:t>
      </w:r>
      <w:r>
        <w:rPr>
          <w:color w:val="auto"/>
          <w:sz w:val="22"/>
          <w:szCs w:val="22"/>
        </w:rPr>
        <w:t>, Linhui Wang</w:t>
      </w:r>
      <w:r>
        <w:rPr>
          <w:rFonts w:eastAsia="宋体"/>
          <w:color w:val="auto"/>
          <w:sz w:val="22"/>
          <w:szCs w:val="22"/>
          <w:vertAlign w:val="superscript"/>
        </w:rPr>
        <w:t>1</w:t>
      </w:r>
      <w:r>
        <w:rPr>
          <w:rFonts w:eastAsia="楷体_GB2312"/>
          <w:color w:val="auto"/>
          <w:sz w:val="22"/>
          <w:szCs w:val="22"/>
          <w:vertAlign w:val="superscript"/>
        </w:rPr>
        <w:t>*</w:t>
      </w:r>
    </w:p>
    <w:p w14:paraId="3A863892">
      <w:pPr>
        <w:spacing w:line="360" w:lineRule="auto"/>
        <w:rPr>
          <w:color w:val="auto"/>
          <w:sz w:val="22"/>
          <w:szCs w:val="22"/>
        </w:rPr>
      </w:pPr>
      <w:r>
        <w:rPr>
          <w:rFonts w:eastAsia="宋体"/>
          <w:color w:val="auto"/>
          <w:sz w:val="22"/>
          <w:szCs w:val="22"/>
          <w:vertAlign w:val="superscript"/>
        </w:rPr>
        <w:t>1</w:t>
      </w:r>
      <w:r>
        <w:rPr>
          <w:color w:val="auto"/>
          <w:sz w:val="22"/>
          <w:szCs w:val="22"/>
        </w:rPr>
        <w:t xml:space="preserve">Department of Urology, Changhai </w:t>
      </w:r>
      <w:r>
        <w:rPr>
          <w:rFonts w:eastAsia="宋体"/>
          <w:color w:val="auto"/>
          <w:sz w:val="22"/>
          <w:szCs w:val="22"/>
        </w:rPr>
        <w:t>H</w:t>
      </w:r>
      <w:r>
        <w:rPr>
          <w:color w:val="auto"/>
          <w:sz w:val="22"/>
          <w:szCs w:val="22"/>
        </w:rPr>
        <w:t>ospital, Naval Medical University (Second Military Medical University), Shanghai</w:t>
      </w:r>
      <w:r>
        <w:rPr>
          <w:rFonts w:hint="eastAsia" w:eastAsiaTheme="minorEastAsia"/>
          <w:color w:val="auto"/>
          <w:sz w:val="22"/>
          <w:szCs w:val="22"/>
        </w:rPr>
        <w:t xml:space="preserve"> </w:t>
      </w:r>
      <w:r>
        <w:rPr>
          <w:rFonts w:eastAsiaTheme="minorEastAsia"/>
          <w:color w:val="auto"/>
          <w:sz w:val="22"/>
          <w:szCs w:val="22"/>
        </w:rPr>
        <w:t>200433</w:t>
      </w:r>
      <w:r>
        <w:rPr>
          <w:color w:val="auto"/>
          <w:sz w:val="22"/>
          <w:szCs w:val="22"/>
        </w:rPr>
        <w:t>, China</w:t>
      </w:r>
    </w:p>
    <w:p w14:paraId="4A351BDF">
      <w:pPr>
        <w:spacing w:line="360" w:lineRule="auto"/>
        <w:rPr>
          <w:color w:val="auto"/>
          <w:sz w:val="22"/>
          <w:szCs w:val="22"/>
        </w:rPr>
      </w:pPr>
      <w:r>
        <w:rPr>
          <w:rFonts w:eastAsia="宋体"/>
          <w:color w:val="auto"/>
          <w:sz w:val="22"/>
          <w:szCs w:val="22"/>
          <w:vertAlign w:val="superscript"/>
        </w:rPr>
        <w:t>2</w:t>
      </w:r>
      <w:r>
        <w:rPr>
          <w:color w:val="auto"/>
          <w:sz w:val="22"/>
          <w:szCs w:val="22"/>
        </w:rPr>
        <w:t>School of Clinical Medicine, Hangzhou Medical College, Hangzhou</w:t>
      </w:r>
      <w:r>
        <w:rPr>
          <w:rFonts w:hint="eastAsia" w:eastAsiaTheme="minorEastAsia"/>
          <w:color w:val="auto"/>
          <w:sz w:val="22"/>
          <w:szCs w:val="22"/>
        </w:rPr>
        <w:t xml:space="preserve"> </w:t>
      </w:r>
      <w:r>
        <w:rPr>
          <w:color w:val="auto"/>
          <w:sz w:val="22"/>
          <w:szCs w:val="22"/>
        </w:rPr>
        <w:t>310053, China</w:t>
      </w:r>
    </w:p>
    <w:p w14:paraId="727B03E3">
      <w:pPr>
        <w:spacing w:line="360" w:lineRule="auto"/>
        <w:rPr>
          <w:color w:val="auto"/>
          <w:sz w:val="22"/>
          <w:szCs w:val="22"/>
        </w:rPr>
      </w:pPr>
      <w:r>
        <w:rPr>
          <w:rFonts w:eastAsia="宋体"/>
          <w:color w:val="auto"/>
          <w:sz w:val="22"/>
          <w:szCs w:val="22"/>
          <w:vertAlign w:val="superscript"/>
        </w:rPr>
        <w:t>3</w:t>
      </w:r>
      <w:r>
        <w:rPr>
          <w:color w:val="auto"/>
          <w:sz w:val="22"/>
          <w:szCs w:val="22"/>
        </w:rPr>
        <w:t>Department of Oncology, Zhujiang Hospital, Southern Medical University, Guangzhou</w:t>
      </w:r>
      <w:r>
        <w:rPr>
          <w:rFonts w:hint="eastAsia" w:eastAsiaTheme="minorEastAsia"/>
          <w:color w:val="auto"/>
          <w:sz w:val="22"/>
          <w:szCs w:val="22"/>
        </w:rPr>
        <w:t xml:space="preserve"> </w:t>
      </w:r>
      <w:r>
        <w:rPr>
          <w:color w:val="auto"/>
          <w:sz w:val="22"/>
          <w:szCs w:val="22"/>
        </w:rPr>
        <w:t>510282, China</w:t>
      </w:r>
    </w:p>
    <w:p w14:paraId="74511F69">
      <w:pPr>
        <w:spacing w:line="360" w:lineRule="auto"/>
        <w:rPr>
          <w:color w:val="auto"/>
          <w:sz w:val="22"/>
          <w:szCs w:val="22"/>
        </w:rPr>
      </w:pPr>
      <w:r>
        <w:rPr>
          <w:rFonts w:eastAsia="宋体"/>
          <w:color w:val="auto"/>
          <w:sz w:val="22"/>
          <w:szCs w:val="22"/>
          <w:vertAlign w:val="superscript"/>
        </w:rPr>
        <w:t>4</w:t>
      </w:r>
      <w:r>
        <w:rPr>
          <w:color w:val="auto"/>
          <w:sz w:val="22"/>
          <w:szCs w:val="22"/>
        </w:rPr>
        <w:t>Department of Neurosurgery, Xiangya Hospital, Central South University, Changsha</w:t>
      </w:r>
      <w:r>
        <w:rPr>
          <w:rFonts w:hint="eastAsia" w:eastAsiaTheme="minorEastAsia"/>
          <w:color w:val="auto"/>
          <w:sz w:val="22"/>
          <w:szCs w:val="22"/>
        </w:rPr>
        <w:t xml:space="preserve"> </w:t>
      </w:r>
      <w:r>
        <w:rPr>
          <w:color w:val="auto"/>
          <w:sz w:val="22"/>
          <w:szCs w:val="22"/>
        </w:rPr>
        <w:t>410008, Hunan, China</w:t>
      </w:r>
    </w:p>
    <w:p w14:paraId="1049139E">
      <w:pPr>
        <w:spacing w:line="360" w:lineRule="auto"/>
        <w:rPr>
          <w:rFonts w:hint="eastAsia" w:eastAsiaTheme="minorEastAsia"/>
          <w:color w:val="auto"/>
          <w:sz w:val="22"/>
          <w:szCs w:val="22"/>
        </w:rPr>
      </w:pPr>
      <w:r>
        <w:rPr>
          <w:rFonts w:eastAsia="宋体"/>
          <w:color w:val="auto"/>
          <w:sz w:val="22"/>
          <w:szCs w:val="22"/>
          <w:vertAlign w:val="superscript"/>
        </w:rPr>
        <w:t>5</w:t>
      </w:r>
      <w:r>
        <w:rPr>
          <w:color w:val="auto"/>
          <w:sz w:val="22"/>
          <w:szCs w:val="22"/>
        </w:rPr>
        <w:t>National Clinical Research Center for Geriatric Disorders, Xiangya Hospital, Central South University, Changsha</w:t>
      </w:r>
      <w:r>
        <w:rPr>
          <w:rFonts w:hint="eastAsia" w:eastAsiaTheme="minorEastAsia"/>
          <w:color w:val="auto"/>
          <w:sz w:val="22"/>
          <w:szCs w:val="22"/>
        </w:rPr>
        <w:t xml:space="preserve"> </w:t>
      </w:r>
      <w:r>
        <w:rPr>
          <w:color w:val="auto"/>
          <w:sz w:val="22"/>
          <w:szCs w:val="22"/>
        </w:rPr>
        <w:t>410008, Hunan, China</w:t>
      </w:r>
    </w:p>
    <w:p w14:paraId="5E8251D7">
      <w:pPr>
        <w:spacing w:line="360" w:lineRule="auto"/>
        <w:rPr>
          <w:color w:val="auto"/>
          <w:sz w:val="22"/>
          <w:szCs w:val="22"/>
        </w:rPr>
      </w:pPr>
      <w:r>
        <w:rPr>
          <w:rFonts w:eastAsia="宋体"/>
          <w:b/>
          <w:bCs/>
          <w:color w:val="auto"/>
          <w:sz w:val="22"/>
          <w:szCs w:val="22"/>
          <w:vertAlign w:val="superscript"/>
        </w:rPr>
        <w:t>#</w:t>
      </w:r>
      <w:r>
        <w:rPr>
          <w:rStyle w:val="7"/>
          <w:rFonts w:ascii="Times New Roman" w:hAnsi="Times New Roman"/>
          <w:color w:val="auto"/>
          <w:sz w:val="22"/>
          <w:szCs w:val="22"/>
        </w:rPr>
        <w:t>These authors contributed equally</w:t>
      </w:r>
      <w:r>
        <w:rPr>
          <w:rStyle w:val="7"/>
          <w:rFonts w:ascii="Times New Roman" w:hAnsi="Times New Roman" w:eastAsia="宋体"/>
          <w:color w:val="auto"/>
          <w:sz w:val="22"/>
          <w:szCs w:val="22"/>
        </w:rPr>
        <w:t xml:space="preserve">: </w:t>
      </w:r>
      <w:r>
        <w:rPr>
          <w:color w:val="auto"/>
          <w:sz w:val="22"/>
          <w:szCs w:val="22"/>
        </w:rPr>
        <w:t>Aimin Jiang</w:t>
      </w:r>
      <w:r>
        <w:rPr>
          <w:rFonts w:eastAsia="宋体"/>
          <w:color w:val="auto"/>
          <w:sz w:val="22"/>
          <w:szCs w:val="22"/>
        </w:rPr>
        <w:t xml:space="preserve">, </w:t>
      </w:r>
      <w:r>
        <w:rPr>
          <w:color w:val="auto"/>
          <w:sz w:val="22"/>
          <w:szCs w:val="22"/>
        </w:rPr>
        <w:t>Zhanzhi Li, Ying Liu, Junyi Shen</w:t>
      </w:r>
    </w:p>
    <w:p w14:paraId="1DCD36F6">
      <w:pPr>
        <w:spacing w:line="360" w:lineRule="auto"/>
        <w:rPr>
          <w:b/>
          <w:bCs/>
          <w:lang w:val="en"/>
        </w:rPr>
      </w:pPr>
      <w:r>
        <w:rPr>
          <w:rFonts w:eastAsia="楷体_GB2312"/>
          <w:color w:val="auto"/>
          <w:sz w:val="22"/>
          <w:szCs w:val="22"/>
          <w:vertAlign w:val="superscript"/>
        </w:rPr>
        <w:t>*</w:t>
      </w:r>
      <w:r>
        <w:rPr>
          <w:color w:val="auto"/>
          <w:sz w:val="22"/>
          <w:szCs w:val="22"/>
          <w:lang w:val="en-GB"/>
        </w:rPr>
        <w:t>Correspondence</w:t>
      </w:r>
      <w:r>
        <w:rPr>
          <w:color w:val="auto"/>
          <w:sz w:val="22"/>
          <w:szCs w:val="22"/>
        </w:rPr>
        <w:t xml:space="preserve">: </w:t>
      </w:r>
      <w:r>
        <w:fldChar w:fldCharType="begin"/>
      </w:r>
      <w:r>
        <w:instrText xml:space="preserve"> HYPERLINK "mailto:chengquan@csu.edu.cn" </w:instrText>
      </w:r>
      <w:r>
        <w:fldChar w:fldCharType="separate"/>
      </w:r>
      <w:r>
        <w:rPr>
          <w:rStyle w:val="6"/>
          <w:color w:val="auto"/>
          <w:sz w:val="22"/>
          <w:szCs w:val="22"/>
        </w:rPr>
        <w:t>chengquan@csu.edu.cn</w:t>
      </w:r>
      <w:r>
        <w:rPr>
          <w:rStyle w:val="6"/>
          <w:color w:val="auto"/>
          <w:sz w:val="22"/>
          <w:szCs w:val="22"/>
        </w:rPr>
        <w:fldChar w:fldCharType="end"/>
      </w:r>
      <w:r>
        <w:rPr>
          <w:color w:val="auto"/>
          <w:sz w:val="22"/>
          <w:szCs w:val="22"/>
        </w:rPr>
        <w:t xml:space="preserve"> (Quan Cheng), </w:t>
      </w:r>
      <w:r>
        <w:fldChar w:fldCharType="begin"/>
      </w:r>
      <w:r>
        <w:instrText xml:space="preserve"> HYPERLINK "mailto:smulinanqi0206@i.smu.edu.cn" </w:instrText>
      </w:r>
      <w:r>
        <w:fldChar w:fldCharType="separate"/>
      </w:r>
      <w:r>
        <w:rPr>
          <w:rStyle w:val="6"/>
          <w:color w:val="auto"/>
          <w:sz w:val="22"/>
          <w:szCs w:val="22"/>
        </w:rPr>
        <w:t>smulinanqi0206@i.smu.edu.cn</w:t>
      </w:r>
      <w:r>
        <w:rPr>
          <w:rStyle w:val="6"/>
          <w:color w:val="auto"/>
          <w:sz w:val="22"/>
          <w:szCs w:val="22"/>
        </w:rPr>
        <w:fldChar w:fldCharType="end"/>
      </w:r>
      <w:r>
        <w:rPr>
          <w:color w:val="auto"/>
          <w:sz w:val="22"/>
          <w:szCs w:val="22"/>
        </w:rPr>
        <w:t xml:space="preserve"> (Anqi Lin), </w:t>
      </w:r>
      <w:r>
        <w:fldChar w:fldCharType="begin"/>
      </w:r>
      <w:r>
        <w:instrText xml:space="preserve"> HYPERLINK "mailto:luopeng@smu.edu.cn" </w:instrText>
      </w:r>
      <w:r>
        <w:fldChar w:fldCharType="separate"/>
      </w:r>
      <w:r>
        <w:rPr>
          <w:rStyle w:val="6"/>
          <w:color w:val="auto"/>
          <w:sz w:val="22"/>
          <w:szCs w:val="22"/>
        </w:rPr>
        <w:t>luopeng@smu.edu.cn</w:t>
      </w:r>
      <w:r>
        <w:rPr>
          <w:rStyle w:val="6"/>
          <w:color w:val="auto"/>
          <w:sz w:val="22"/>
          <w:szCs w:val="22"/>
        </w:rPr>
        <w:fldChar w:fldCharType="end"/>
      </w:r>
      <w:r>
        <w:rPr>
          <w:color w:val="auto"/>
          <w:sz w:val="22"/>
          <w:szCs w:val="22"/>
        </w:rPr>
        <w:t xml:space="preserve"> (Peng Luo) &amp; </w:t>
      </w:r>
      <w:r>
        <w:fldChar w:fldCharType="begin"/>
      </w:r>
      <w:r>
        <w:instrText xml:space="preserve"> HYPERLINK "mailto:wanglinhui@smmu.edu.cn" </w:instrText>
      </w:r>
      <w:r>
        <w:fldChar w:fldCharType="separate"/>
      </w:r>
      <w:r>
        <w:rPr>
          <w:rStyle w:val="6"/>
          <w:color w:val="auto"/>
          <w:sz w:val="22"/>
          <w:szCs w:val="22"/>
        </w:rPr>
        <w:t>wanglinhui@smmu.edu.cn</w:t>
      </w:r>
      <w:r>
        <w:rPr>
          <w:rStyle w:val="6"/>
          <w:color w:val="auto"/>
          <w:sz w:val="22"/>
          <w:szCs w:val="22"/>
        </w:rPr>
        <w:fldChar w:fldCharType="end"/>
      </w:r>
      <w:r>
        <w:rPr>
          <w:color w:val="auto"/>
          <w:sz w:val="22"/>
          <w:szCs w:val="22"/>
        </w:rPr>
        <w:t xml:space="preserve"> (Linhui Wang)</w:t>
      </w:r>
      <w:r>
        <w:rPr>
          <w:b/>
          <w:bCs/>
          <w:lang w:val="en"/>
        </w:rPr>
        <w:br w:type="page"/>
      </w:r>
    </w:p>
    <w:p w14:paraId="2BFE9441">
      <w:pPr>
        <w:spacing w:after="60" w:line="360" w:lineRule="auto"/>
        <w:rPr>
          <w:b/>
          <w:color w:val="000000" w:themeColor="text1"/>
          <w14:textFill>
            <w14:solidFill>
              <w14:schemeClr w14:val="tx1"/>
            </w14:solidFill>
          </w14:textFill>
        </w:rPr>
      </w:pPr>
      <w:r>
        <w:rPr>
          <w:b/>
          <w:bCs/>
          <w:lang w:val="en"/>
        </w:rPr>
        <w:t>Supplementary figures:</w:t>
      </w:r>
    </w:p>
    <w:p w14:paraId="546C17F1">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69230" cy="2085340"/>
            <wp:effectExtent l="0" t="0" r="3810" b="2540"/>
            <wp:docPr id="7" name="图片 7" descr="Figure 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1-01"/>
                    <pic:cNvPicPr>
                      <a:picLocks noChangeAspect="1"/>
                    </pic:cNvPicPr>
                  </pic:nvPicPr>
                  <pic:blipFill>
                    <a:blip r:embed="rId4"/>
                    <a:stretch>
                      <a:fillRect/>
                    </a:stretch>
                  </pic:blipFill>
                  <pic:spPr>
                    <a:xfrm>
                      <a:off x="0" y="0"/>
                      <a:ext cx="5269230" cy="2085340"/>
                    </a:xfrm>
                    <a:prstGeom prst="rect">
                      <a:avLst/>
                    </a:prstGeom>
                  </pic:spPr>
                </pic:pic>
              </a:graphicData>
            </a:graphic>
          </wp:inline>
        </w:drawing>
      </w:r>
      <w:bookmarkStart w:id="1" w:name="_GoBack"/>
      <w:bookmarkEnd w:id="1"/>
    </w:p>
    <w:p w14:paraId="7E67990C">
      <w:pPr>
        <w:pStyle w:val="8"/>
        <w:widowControl w:val="0"/>
        <w:adjustRightInd/>
        <w:snapToGrid/>
        <w:spacing w:before="0" w:after="0" w:line="360" w:lineRule="auto"/>
        <w:jc w:val="both"/>
        <w:rPr>
          <w:rFonts w:cs="Times New Roman"/>
          <w:sz w:val="20"/>
        </w:rPr>
      </w:pPr>
      <w:r>
        <w:rPr>
          <w:rFonts w:hint="eastAsia" w:cs="Times New Roman"/>
          <w:b/>
          <w:bCs/>
          <w:sz w:val="20"/>
          <w:lang w:val="en"/>
        </w:rPr>
        <w:t>F</w:t>
      </w:r>
      <w:r>
        <w:rPr>
          <w:rFonts w:cs="Times New Roman"/>
          <w:b/>
          <w:bCs/>
          <w:sz w:val="20"/>
          <w:lang w:val="en"/>
        </w:rPr>
        <w:t>igure S1.</w:t>
      </w:r>
      <w:r>
        <w:rPr>
          <w:rFonts w:cs="Times New Roman"/>
          <w:sz w:val="20"/>
          <w:lang w:val="en"/>
        </w:rPr>
        <w:t xml:space="preserve"> Cumulative percentage plots show differences in the distribution of time to thrombotic microangiopathy (TMA) in patients of different sexes treated with vascular endothelial growth factor (VEGF) and vascular endothelial growth factor receptor (VEGFR) inhibitors in the FDA Adverse Event Reporting System (FAERS) and the WHO Global Database for Adverse Drug Reactions (Vigibase).</w:t>
      </w:r>
    </w:p>
    <w:p w14:paraId="4BBDFF83">
      <w:pPr>
        <w:spacing w:line="360" w:lineRule="auto"/>
        <w:rPr>
          <w:rFonts w:hint="eastAsia" w:eastAsiaTheme="minorEastAsia"/>
          <w:lang w:eastAsia="zh-CN"/>
        </w:rPr>
      </w:pPr>
      <w:r>
        <w:rPr>
          <w:rFonts w:hint="eastAsia" w:eastAsiaTheme="minorEastAsia"/>
          <w:lang w:eastAsia="zh-CN"/>
        </w:rPr>
        <w:br w:type="page"/>
      </w:r>
    </w:p>
    <w:p w14:paraId="54A9BBA8">
      <w:pPr>
        <w:spacing w:line="360" w:lineRule="auto"/>
        <w:rPr>
          <w:rFonts w:hint="eastAsia" w:eastAsiaTheme="minorEastAsia"/>
          <w:lang w:eastAsia="zh-CN"/>
        </w:rPr>
      </w:pPr>
      <w:r>
        <w:rPr>
          <w:rFonts w:hint="eastAsia" w:eastAsiaTheme="minorEastAsia"/>
          <w:lang w:eastAsia="zh-CN"/>
        </w:rPr>
        <w:drawing>
          <wp:inline distT="0" distB="0" distL="114300" distR="114300">
            <wp:extent cx="5269865" cy="3162935"/>
            <wp:effectExtent l="0" t="0" r="635" b="12065"/>
            <wp:docPr id="4" name="图片 4"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2"/>
                    <pic:cNvPicPr>
                      <a:picLocks noChangeAspect="1"/>
                    </pic:cNvPicPr>
                  </pic:nvPicPr>
                  <pic:blipFill>
                    <a:blip r:embed="rId5"/>
                    <a:stretch>
                      <a:fillRect/>
                    </a:stretch>
                  </pic:blipFill>
                  <pic:spPr>
                    <a:xfrm>
                      <a:off x="0" y="0"/>
                      <a:ext cx="5269865" cy="3162935"/>
                    </a:xfrm>
                    <a:prstGeom prst="rect">
                      <a:avLst/>
                    </a:prstGeom>
                  </pic:spPr>
                </pic:pic>
              </a:graphicData>
            </a:graphic>
          </wp:inline>
        </w:drawing>
      </w:r>
    </w:p>
    <w:p w14:paraId="2425A0AC">
      <w:pPr>
        <w:widowControl/>
        <w:spacing w:line="360" w:lineRule="auto"/>
        <w:rPr>
          <w:rFonts w:hint="eastAsia" w:eastAsiaTheme="minorEastAsia"/>
          <w:lang w:eastAsia="zh-CN"/>
        </w:rPr>
      </w:pPr>
      <w:r>
        <w:rPr>
          <w:rFonts w:hint="eastAsia"/>
          <w:b/>
          <w:bCs/>
          <w:lang w:val="en"/>
        </w:rPr>
        <w:t>F</w:t>
      </w:r>
      <w:r>
        <w:rPr>
          <w:b/>
          <w:bCs/>
          <w:lang w:val="en"/>
        </w:rPr>
        <w:t>igure S2.</w:t>
      </w:r>
      <w:r>
        <w:rPr>
          <w:lang w:val="en"/>
        </w:rPr>
        <w:t xml:space="preserve"> </w:t>
      </w:r>
      <w:r>
        <w:rPr>
          <w:rFonts w:hint="eastAsia" w:eastAsia="等线"/>
        </w:rPr>
        <w:t>Dendrogram of concurrent adverse reactions related to TMA adverse reactions</w:t>
      </w:r>
      <w:r>
        <w:rPr>
          <w:rFonts w:hint="eastAsia" w:eastAsia="等线"/>
          <w:lang w:val="en-US" w:eastAsia="zh-CN"/>
        </w:rPr>
        <w:t>.</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ion-Regular">
    <w:altName w:val="Times New Roman"/>
    <w:panose1 w:val="020B0604020202020204"/>
    <w:charset w:val="00"/>
    <w:family w:val="roman"/>
    <w:pitch w:val="default"/>
    <w:sig w:usb0="00000000" w:usb1="00000000" w:usb2="00000000" w:usb3="00000000" w:csb0="00000001" w:csb1="00000000"/>
  </w:font>
  <w:font w:name="Times New Roman Regular">
    <w:altName w:val="Times New Roman"/>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B91684"/>
    <w:rsid w:val="0F3B0151"/>
    <w:rsid w:val="2A891620"/>
    <w:rsid w:val="2C722B99"/>
    <w:rsid w:val="3C14220E"/>
    <w:rsid w:val="4DB91684"/>
    <w:rsid w:val="52B007B9"/>
    <w:rsid w:val="5B137BF9"/>
    <w:rsid w:val="5B2371BF"/>
    <w:rsid w:val="65795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5">
    <w:name w:val="page number"/>
    <w:basedOn w:val="4"/>
    <w:qFormat/>
    <w:uiPriority w:val="0"/>
  </w:style>
  <w:style w:type="character" w:styleId="6">
    <w:name w:val="Hyperlink"/>
    <w:basedOn w:val="4"/>
    <w:qFormat/>
    <w:uiPriority w:val="0"/>
    <w:rPr>
      <w:color w:val="0000FF"/>
      <w:u w:val="single"/>
    </w:rPr>
  </w:style>
  <w:style w:type="character" w:customStyle="1" w:styleId="7">
    <w:name w:val="fontstyle01"/>
    <w:basedOn w:val="4"/>
    <w:qFormat/>
    <w:uiPriority w:val="0"/>
    <w:rPr>
      <w:rFonts w:hint="default" w:ascii="Minion-Regular" w:hAnsi="Minion-Regular"/>
      <w:color w:val="231F20"/>
      <w:sz w:val="20"/>
      <w:szCs w:val="20"/>
    </w:rPr>
  </w:style>
  <w:style w:type="paragraph" w:customStyle="1" w:styleId="8">
    <w:name w:val="A0正文"/>
    <w:qFormat/>
    <w:uiPriority w:val="0"/>
    <w:pPr>
      <w:adjustRightInd w:val="0"/>
      <w:snapToGrid w:val="0"/>
      <w:spacing w:before="60" w:after="60" w:line="240" w:lineRule="atLeast"/>
    </w:pPr>
    <w:rPr>
      <w:rFonts w:ascii="Times New Roman" w:hAnsi="Times New Roman" w:eastAsiaTheme="minorEastAsia" w:cstheme="minorBidi"/>
      <w:sz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191</Words>
  <Characters>1352</Characters>
  <Lines>0</Lines>
  <Paragraphs>0</Paragraphs>
  <TotalTime>1</TotalTime>
  <ScaleCrop>false</ScaleCrop>
  <LinksUpToDate>false</LinksUpToDate>
  <CharactersWithSpaces>1530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2025-02-25T13:21:00Z</dcterms:created>
  <dc:creator>WPS_1708002798</dc:creator>
  <cp:lastModifiedBy>西伯利亚大棕熊</cp:lastModifiedBy>
  <dcterms:modified xsi:type="dcterms:W3CDTF">2025-03-26T15:59:16Z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E240A24D213E4619A6A264A38E3486EE_13</vt:lpwstr>
  </property>
  <property fmtid="{D5CDD505-2E9C-101B-9397-08002B2CF9AE}" pid="4" name="KSOTemplateDocerSaveRecord">
    <vt:lpwstr>eyJoZGlkIjoiNmQ1YTgwYmU5MmQzNzlmOTkxZWFmNjk5YjEwYzJiZDYiLCJ1c2VySWQiOiI3MzgwNDM4NTgifQ==</vt:lpwstr>
  </property>
</Properties>
</file>