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675DBB" w14:textId="76D24A21" w:rsidR="00060FDD" w:rsidRPr="00060FDD" w:rsidRDefault="00060FDD">
      <w:pPr>
        <w:pStyle w:val="Title"/>
        <w:spacing w:line="276" w:lineRule="auto"/>
        <w:rPr>
          <w:sz w:val="24"/>
          <w:szCs w:val="24"/>
        </w:rPr>
      </w:pPr>
      <w:r w:rsidRPr="00060FDD">
        <w:rPr>
          <w:sz w:val="24"/>
          <w:szCs w:val="24"/>
        </w:rPr>
        <w:t>Appendix</w:t>
      </w:r>
    </w:p>
    <w:p w14:paraId="71258A44" w14:textId="623F00DE" w:rsidR="00060FDD" w:rsidRDefault="00060FDD">
      <w:pPr>
        <w:pStyle w:val="Title"/>
        <w:spacing w:line="276" w:lineRule="auto"/>
      </w:pPr>
    </w:p>
    <w:p w14:paraId="261136C4" w14:textId="77777777" w:rsidR="00060FDD" w:rsidRDefault="00060FDD">
      <w:pPr>
        <w:pStyle w:val="Title"/>
        <w:spacing w:line="276" w:lineRule="auto"/>
      </w:pPr>
    </w:p>
    <w:p w14:paraId="743BD047" w14:textId="3FFE41D4" w:rsidR="00060FDD" w:rsidRPr="00060FDD" w:rsidRDefault="00060FDD">
      <w:pPr>
        <w:pStyle w:val="Title"/>
        <w:spacing w:line="276" w:lineRule="auto"/>
        <w:rPr>
          <w:b w:val="0"/>
          <w:bCs w:val="0"/>
          <w:sz w:val="24"/>
          <w:szCs w:val="24"/>
        </w:rPr>
      </w:pPr>
      <w:r w:rsidRPr="00060FDD">
        <w:rPr>
          <w:b w:val="0"/>
          <w:bCs w:val="0"/>
          <w:sz w:val="24"/>
          <w:szCs w:val="24"/>
        </w:rPr>
        <w:t>Table of contents</w:t>
      </w:r>
    </w:p>
    <w:p w14:paraId="183045E6" w14:textId="0EF640E7" w:rsidR="00060FDD" w:rsidRPr="00060FDD" w:rsidRDefault="00060FDD">
      <w:pPr>
        <w:pStyle w:val="Title"/>
        <w:spacing w:line="276" w:lineRule="auto"/>
        <w:rPr>
          <w:b w:val="0"/>
          <w:bCs w:val="0"/>
          <w:sz w:val="24"/>
          <w:szCs w:val="24"/>
        </w:rPr>
      </w:pPr>
    </w:p>
    <w:p w14:paraId="1824A82D" w14:textId="128E402E" w:rsidR="00060FDD" w:rsidRPr="00060FDD" w:rsidRDefault="00060FDD" w:rsidP="00060FDD">
      <w:pPr>
        <w:pStyle w:val="Title"/>
        <w:numPr>
          <w:ilvl w:val="0"/>
          <w:numId w:val="1"/>
        </w:numPr>
        <w:spacing w:line="276" w:lineRule="auto"/>
        <w:rPr>
          <w:b w:val="0"/>
          <w:bCs w:val="0"/>
          <w:sz w:val="24"/>
          <w:szCs w:val="24"/>
        </w:rPr>
      </w:pPr>
      <w:r w:rsidRPr="00060FDD">
        <w:rPr>
          <w:b w:val="0"/>
          <w:bCs w:val="0"/>
          <w:sz w:val="24"/>
          <w:szCs w:val="24"/>
        </w:rPr>
        <w:t>Appendix Figure S1. Distribution and composition of membrane reporters during tube morphogenesis</w:t>
      </w:r>
    </w:p>
    <w:p w14:paraId="7640E991" w14:textId="334D5D1B" w:rsidR="00060FDD" w:rsidRPr="00060FDD" w:rsidRDefault="00060FDD" w:rsidP="00060FDD">
      <w:pPr>
        <w:pStyle w:val="Title"/>
        <w:spacing w:line="276" w:lineRule="auto"/>
        <w:rPr>
          <w:b w:val="0"/>
          <w:bCs w:val="0"/>
          <w:sz w:val="24"/>
          <w:szCs w:val="24"/>
        </w:rPr>
      </w:pPr>
    </w:p>
    <w:p w14:paraId="0644FC05" w14:textId="77777777" w:rsidR="00060FDD" w:rsidRPr="00060FDD" w:rsidRDefault="00060FDD" w:rsidP="00060FDD">
      <w:pPr>
        <w:pStyle w:val="Title"/>
        <w:numPr>
          <w:ilvl w:val="0"/>
          <w:numId w:val="1"/>
        </w:numPr>
        <w:spacing w:line="276" w:lineRule="auto"/>
        <w:rPr>
          <w:b w:val="0"/>
          <w:bCs w:val="0"/>
          <w:sz w:val="24"/>
          <w:szCs w:val="24"/>
        </w:rPr>
      </w:pPr>
      <w:r w:rsidRPr="00060FDD">
        <w:rPr>
          <w:b w:val="0"/>
          <w:bCs w:val="0"/>
          <w:sz w:val="24"/>
          <w:szCs w:val="24"/>
        </w:rPr>
        <w:t>Appendix Figure S2. Effect of blocking endocytosis on membrane proteins.</w:t>
      </w:r>
    </w:p>
    <w:p w14:paraId="39F9B159" w14:textId="10CEF782" w:rsidR="00060FDD" w:rsidRPr="00060FDD" w:rsidRDefault="00060FDD" w:rsidP="00060FDD">
      <w:pPr>
        <w:pStyle w:val="Title"/>
        <w:spacing w:line="276" w:lineRule="auto"/>
        <w:ind w:left="720"/>
        <w:rPr>
          <w:b w:val="0"/>
          <w:bCs w:val="0"/>
        </w:rPr>
      </w:pPr>
    </w:p>
    <w:p w14:paraId="4E36DB6A" w14:textId="77777777" w:rsidR="00060FDD" w:rsidRPr="00060FDD" w:rsidRDefault="00060FDD">
      <w:pPr>
        <w:rPr>
          <w:rFonts w:ascii="Arial" w:hAnsi="Arial" w:cs="Arial Unicode MS"/>
          <w:color w:val="000000"/>
          <w:sz w:val="20"/>
          <w:szCs w:val="20"/>
          <w:u w:color="000000"/>
          <w:lang w:eastAsia="en-GB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060FDD">
        <w:br w:type="page"/>
      </w:r>
    </w:p>
    <w:p w14:paraId="040AA15B" w14:textId="1E28CA98" w:rsidR="00482ADE" w:rsidRDefault="00060FDD">
      <w:pPr>
        <w:pStyle w:val="Title"/>
        <w:spacing w:line="276" w:lineRule="auto"/>
      </w:pPr>
      <w:r>
        <w:lastRenderedPageBreak/>
        <w:t xml:space="preserve">Appendix </w:t>
      </w:r>
      <w:r w:rsidR="0055373E">
        <w:t xml:space="preserve">Figure S1. Distribution and composition of membrane reporters during tube morphogenesis. </w:t>
      </w:r>
    </w:p>
    <w:p w14:paraId="1DF0FDD1" w14:textId="77777777" w:rsidR="00060FDD" w:rsidRDefault="00060FDD">
      <w:pPr>
        <w:pStyle w:val="Title"/>
        <w:spacing w:line="276" w:lineRule="auto"/>
      </w:pPr>
    </w:p>
    <w:p w14:paraId="26DCD15D" w14:textId="15E67D10" w:rsidR="00482ADE" w:rsidRDefault="002F510B">
      <w:pPr>
        <w:pStyle w:val="BodyA"/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6589279" wp14:editId="764AE2B4">
            <wp:extent cx="6480000" cy="55016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550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2124E" w14:textId="77777777" w:rsidR="00060FDD" w:rsidRDefault="00060FDD">
      <w:pPr>
        <w:pStyle w:val="BodyA"/>
        <w:spacing w:line="276" w:lineRule="auto"/>
        <w:rPr>
          <w:rFonts w:ascii="Arial" w:hAnsi="Arial"/>
          <w:sz w:val="20"/>
          <w:szCs w:val="20"/>
        </w:rPr>
      </w:pPr>
      <w:bookmarkStart w:id="0" w:name="_headingh.jq2mwnaao7b"/>
      <w:bookmarkEnd w:id="0"/>
    </w:p>
    <w:p w14:paraId="0058A432" w14:textId="4145F12D" w:rsidR="00482ADE" w:rsidRDefault="0055373E">
      <w:pPr>
        <w:pStyle w:val="BodyA"/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(</w:t>
      </w:r>
      <w:r>
        <w:rPr>
          <w:rFonts w:ascii="Arial" w:hAnsi="Arial"/>
          <w:sz w:val="20"/>
          <w:szCs w:val="20"/>
          <w:lang w:val="en-US"/>
        </w:rPr>
        <w:t xml:space="preserve">A-C) </w:t>
      </w:r>
      <w:r w:rsidR="00963F5E">
        <w:rPr>
          <w:rFonts w:ascii="Arial" w:hAnsi="Arial"/>
          <w:sz w:val="20"/>
          <w:szCs w:val="20"/>
          <w:lang w:val="en-US"/>
        </w:rPr>
        <w:t>T</w:t>
      </w:r>
      <w:r>
        <w:rPr>
          <w:rFonts w:ascii="Arial" w:hAnsi="Arial"/>
          <w:sz w:val="20"/>
          <w:szCs w:val="20"/>
          <w:lang w:val="en-US"/>
        </w:rPr>
        <w:t xml:space="preserve">erminal cells expressing membrane reporters: (A-A’’) GFP fused to the </w:t>
      </w:r>
      <w:proofErr w:type="spellStart"/>
      <w:r>
        <w:rPr>
          <w:rFonts w:ascii="Arial" w:hAnsi="Arial"/>
          <w:sz w:val="20"/>
          <w:szCs w:val="20"/>
          <w:lang w:val="en-US"/>
        </w:rPr>
        <w:t>myristoylation</w:t>
      </w:r>
      <w:proofErr w:type="spellEnd"/>
      <w:r>
        <w:rPr>
          <w:rFonts w:ascii="Arial" w:hAnsi="Arial"/>
          <w:sz w:val="20"/>
          <w:szCs w:val="20"/>
          <w:lang w:val="en-US"/>
        </w:rPr>
        <w:t xml:space="preserve"> signal of </w:t>
      </w:r>
      <w:proofErr w:type="spellStart"/>
      <w:r>
        <w:rPr>
          <w:rFonts w:ascii="Arial" w:hAnsi="Arial"/>
          <w:sz w:val="20"/>
          <w:szCs w:val="20"/>
          <w:lang w:val="en-US"/>
        </w:rPr>
        <w:t>Src</w:t>
      </w:r>
      <w:proofErr w:type="spellEnd"/>
      <w:r>
        <w:rPr>
          <w:rFonts w:ascii="Arial" w:hAnsi="Arial"/>
          <w:sz w:val="20"/>
          <w:szCs w:val="20"/>
          <w:lang w:val="en-US"/>
        </w:rPr>
        <w:t xml:space="preserve">, </w:t>
      </w:r>
      <w:proofErr w:type="spellStart"/>
      <w:r>
        <w:rPr>
          <w:rFonts w:ascii="Arial" w:hAnsi="Arial"/>
          <w:sz w:val="20"/>
          <w:szCs w:val="20"/>
          <w:lang w:val="en-US"/>
        </w:rPr>
        <w:t>srcGFP</w:t>
      </w:r>
      <w:proofErr w:type="spellEnd"/>
      <w:r>
        <w:rPr>
          <w:rFonts w:ascii="Arial" w:hAnsi="Arial"/>
          <w:sz w:val="20"/>
          <w:szCs w:val="20"/>
          <w:lang w:val="en-US"/>
        </w:rPr>
        <w:t xml:space="preserve">; (B-B’’) Palmitoylated Neon Green (palm::NG, B’) and the PH domain of </w:t>
      </w:r>
      <w:proofErr w:type="spellStart"/>
      <w:r>
        <w:rPr>
          <w:rFonts w:ascii="Arial" w:hAnsi="Arial"/>
          <w:sz w:val="20"/>
          <w:szCs w:val="20"/>
          <w:lang w:val="en-US"/>
        </w:rPr>
        <w:t>PLC</w:t>
      </w:r>
      <w:r>
        <w:rPr>
          <w:rFonts w:ascii="Times New Roman" w:hAnsi="Times New Roman"/>
          <w:sz w:val="20"/>
          <w:szCs w:val="20"/>
          <w:lang w:val="en-US"/>
        </w:rPr>
        <w:t>δ</w:t>
      </w:r>
      <w:proofErr w:type="spellEnd"/>
      <w:r>
        <w:rPr>
          <w:rFonts w:ascii="Arial" w:hAnsi="Arial"/>
          <w:sz w:val="20"/>
          <w:szCs w:val="20"/>
          <w:lang w:val="en-US"/>
        </w:rPr>
        <w:t xml:space="preserve"> fused to </w:t>
      </w:r>
      <w:proofErr w:type="spellStart"/>
      <w:r>
        <w:rPr>
          <w:rFonts w:ascii="Arial" w:hAnsi="Arial"/>
          <w:sz w:val="20"/>
          <w:szCs w:val="20"/>
          <w:lang w:val="en-US"/>
        </w:rPr>
        <w:t>mCherry</w:t>
      </w:r>
      <w:proofErr w:type="spellEnd"/>
      <w:r>
        <w:rPr>
          <w:rFonts w:ascii="Arial" w:hAnsi="Arial"/>
          <w:sz w:val="20"/>
          <w:szCs w:val="20"/>
          <w:lang w:val="en-US"/>
        </w:rPr>
        <w:t xml:space="preserve"> (PH::</w:t>
      </w:r>
      <w:proofErr w:type="spellStart"/>
      <w:r>
        <w:rPr>
          <w:rFonts w:ascii="Arial" w:hAnsi="Arial"/>
          <w:sz w:val="20"/>
          <w:szCs w:val="20"/>
          <w:lang w:val="en-US"/>
        </w:rPr>
        <w:t>mCherry</w:t>
      </w:r>
      <w:proofErr w:type="spellEnd"/>
      <w:r>
        <w:rPr>
          <w:rFonts w:ascii="Arial" w:hAnsi="Arial"/>
          <w:sz w:val="20"/>
          <w:szCs w:val="20"/>
          <w:lang w:val="en-US"/>
        </w:rPr>
        <w:t>, B’</w:t>
      </w:r>
      <w:r>
        <w:rPr>
          <w:rFonts w:ascii="Arial" w:hAnsi="Arial"/>
          <w:sz w:val="20"/>
          <w:szCs w:val="20"/>
          <w:lang w:val="it-IT"/>
        </w:rPr>
        <w:t>); (C-C</w:t>
      </w:r>
      <w:r>
        <w:rPr>
          <w:rFonts w:ascii="Arial" w:hAnsi="Arial"/>
          <w:sz w:val="20"/>
          <w:szCs w:val="20"/>
          <w:lang w:val="en-US"/>
        </w:rPr>
        <w:t xml:space="preserve">’’) </w:t>
      </w:r>
      <w:proofErr w:type="spellStart"/>
      <w:r>
        <w:rPr>
          <w:rFonts w:ascii="Arial" w:hAnsi="Arial"/>
          <w:sz w:val="20"/>
          <w:szCs w:val="20"/>
          <w:lang w:val="en-US"/>
        </w:rPr>
        <w:t>myristoylated</w:t>
      </w:r>
      <w:proofErr w:type="spellEnd"/>
      <w:r>
        <w:rPr>
          <w:rFonts w:ascii="Arial" w:hAnsi="Arial"/>
          <w:sz w:val="20"/>
          <w:szCs w:val="20"/>
          <w:lang w:val="en-US"/>
        </w:rPr>
        <w:t xml:space="preserve"> Tomato (</w:t>
      </w:r>
      <w:proofErr w:type="spellStart"/>
      <w:r>
        <w:rPr>
          <w:rFonts w:ascii="Arial" w:hAnsi="Arial"/>
          <w:sz w:val="20"/>
          <w:szCs w:val="20"/>
          <w:lang w:val="en-US"/>
        </w:rPr>
        <w:t>myr</w:t>
      </w:r>
      <w:proofErr w:type="spellEnd"/>
      <w:r>
        <w:rPr>
          <w:rFonts w:ascii="Arial" w:hAnsi="Arial"/>
          <w:sz w:val="20"/>
          <w:szCs w:val="20"/>
          <w:lang w:val="en-US"/>
        </w:rPr>
        <w:t xml:space="preserve">::Tomato, C) and the PH domain of </w:t>
      </w:r>
      <w:proofErr w:type="spellStart"/>
      <w:r>
        <w:rPr>
          <w:rFonts w:ascii="Arial" w:hAnsi="Arial"/>
          <w:sz w:val="20"/>
          <w:szCs w:val="20"/>
          <w:lang w:val="en-US"/>
        </w:rPr>
        <w:t>PLC</w:t>
      </w:r>
      <w:r>
        <w:rPr>
          <w:rFonts w:ascii="Times New Roman" w:hAnsi="Times New Roman"/>
          <w:sz w:val="20"/>
          <w:szCs w:val="20"/>
          <w:lang w:val="en-US"/>
        </w:rPr>
        <w:t>δ</w:t>
      </w:r>
      <w:proofErr w:type="spellEnd"/>
      <w:r>
        <w:rPr>
          <w:rFonts w:ascii="Arial" w:hAnsi="Arial"/>
          <w:sz w:val="20"/>
          <w:szCs w:val="20"/>
          <w:lang w:val="en-US"/>
        </w:rPr>
        <w:t xml:space="preserve"> fused to GFP (PH::GFP; C’). (D-E</w:t>
      </w:r>
      <w:r w:rsidR="00963F5E">
        <w:rPr>
          <w:rFonts w:ascii="Arial" w:hAnsi="Arial"/>
          <w:sz w:val="20"/>
          <w:szCs w:val="20"/>
          <w:lang w:val="en-US"/>
        </w:rPr>
        <w:t>) T</w:t>
      </w:r>
      <w:r>
        <w:rPr>
          <w:rFonts w:ascii="Arial" w:hAnsi="Arial"/>
          <w:sz w:val="20"/>
          <w:szCs w:val="20"/>
          <w:lang w:val="en-US"/>
        </w:rPr>
        <w:t>erminal cells expressing the general plasma membrane marker CD4::</w:t>
      </w:r>
      <w:proofErr w:type="spellStart"/>
      <w:r>
        <w:rPr>
          <w:rFonts w:ascii="Arial" w:hAnsi="Arial"/>
          <w:sz w:val="20"/>
          <w:szCs w:val="20"/>
          <w:lang w:val="en-US"/>
        </w:rPr>
        <w:t>mIFP</w:t>
      </w:r>
      <w:proofErr w:type="spellEnd"/>
      <w:r>
        <w:rPr>
          <w:rFonts w:ascii="Arial" w:hAnsi="Arial"/>
          <w:sz w:val="20"/>
          <w:szCs w:val="20"/>
          <w:lang w:val="en-US"/>
        </w:rPr>
        <w:t xml:space="preserve"> in combination with (D-D’’) the extracellular domain of </w:t>
      </w:r>
      <w:proofErr w:type="spellStart"/>
      <w:r>
        <w:rPr>
          <w:rFonts w:ascii="Arial" w:hAnsi="Arial"/>
          <w:sz w:val="20"/>
          <w:szCs w:val="20"/>
          <w:lang w:val="en-US"/>
        </w:rPr>
        <w:t>Crb</w:t>
      </w:r>
      <w:proofErr w:type="spellEnd"/>
      <w:r>
        <w:rPr>
          <w:rFonts w:ascii="Arial" w:hAnsi="Arial"/>
          <w:sz w:val="20"/>
          <w:szCs w:val="20"/>
          <w:lang w:val="en-US"/>
        </w:rPr>
        <w:t xml:space="preserve"> fused to GFP (</w:t>
      </w:r>
      <w:proofErr w:type="spellStart"/>
      <w:r>
        <w:rPr>
          <w:rFonts w:ascii="Arial" w:hAnsi="Arial"/>
          <w:sz w:val="20"/>
          <w:szCs w:val="20"/>
          <w:lang w:val="en-US"/>
        </w:rPr>
        <w:t>Crb</w:t>
      </w:r>
      <w:r w:rsidRPr="002F510B">
        <w:rPr>
          <w:rFonts w:ascii="Arial" w:hAnsi="Arial"/>
          <w:sz w:val="20"/>
          <w:szCs w:val="20"/>
          <w:vertAlign w:val="superscript"/>
          <w:lang w:val="en-US"/>
        </w:rPr>
        <w:t>Extra</w:t>
      </w:r>
      <w:proofErr w:type="spellEnd"/>
      <w:r>
        <w:rPr>
          <w:rFonts w:ascii="Arial" w:hAnsi="Arial"/>
          <w:sz w:val="20"/>
          <w:szCs w:val="20"/>
          <w:lang w:val="pt-PT"/>
        </w:rPr>
        <w:t>::GFP, D</w:t>
      </w:r>
      <w:r>
        <w:rPr>
          <w:rFonts w:ascii="Arial" w:hAnsi="Arial"/>
          <w:sz w:val="20"/>
          <w:szCs w:val="20"/>
          <w:lang w:val="en-US"/>
        </w:rPr>
        <w:t>’), and with Par3::YFP imaged at high temporal resolution (E-E’’’</w:t>
      </w:r>
      <w:r>
        <w:rPr>
          <w:rFonts w:ascii="Arial" w:hAnsi="Arial"/>
          <w:sz w:val="20"/>
          <w:szCs w:val="20"/>
        </w:rPr>
        <w:t xml:space="preserve">). </w:t>
      </w:r>
      <w:r>
        <w:rPr>
          <w:rFonts w:ascii="Arial" w:hAnsi="Arial"/>
          <w:sz w:val="20"/>
          <w:szCs w:val="20"/>
          <w:lang w:val="en-US"/>
        </w:rPr>
        <w:t>Red arrowheads in (A-D) show vesicles and associated markers at the tip of the cell.</w:t>
      </w:r>
      <w:r w:rsidR="002F510B">
        <w:rPr>
          <w:rFonts w:ascii="Arial" w:hAnsi="Arial"/>
          <w:sz w:val="20"/>
          <w:szCs w:val="20"/>
          <w:lang w:val="en-US"/>
        </w:rPr>
        <w:t xml:space="preserve"> Scale bars: 5</w:t>
      </w:r>
      <w:r w:rsidR="002F510B" w:rsidRPr="002F510B">
        <w:rPr>
          <w:rFonts w:ascii="Symbol" w:hAnsi="Symbol"/>
          <w:sz w:val="20"/>
          <w:szCs w:val="20"/>
          <w:lang w:val="en-US"/>
        </w:rPr>
        <w:t>m</w:t>
      </w:r>
      <w:r w:rsidR="002F510B">
        <w:rPr>
          <w:rFonts w:ascii="Arial" w:hAnsi="Arial"/>
          <w:sz w:val="20"/>
          <w:szCs w:val="20"/>
          <w:lang w:val="en-US"/>
        </w:rPr>
        <w:t>m</w:t>
      </w:r>
    </w:p>
    <w:p w14:paraId="639FC99C" w14:textId="77777777" w:rsidR="00482ADE" w:rsidRDefault="0055373E">
      <w:pPr>
        <w:pStyle w:val="BodyA"/>
        <w:spacing w:line="276" w:lineRule="auto"/>
      </w:pPr>
      <w:r>
        <w:rPr>
          <w:rFonts w:ascii="Arial Unicode MS" w:eastAsia="Arial Unicode MS" w:hAnsi="Arial Unicode MS" w:cs="Arial Unicode MS"/>
        </w:rPr>
        <w:br w:type="page"/>
      </w:r>
    </w:p>
    <w:p w14:paraId="49B41087" w14:textId="08C514B4" w:rsidR="00482ADE" w:rsidRDefault="00060FDD">
      <w:pPr>
        <w:pStyle w:val="Title"/>
        <w:spacing w:line="276" w:lineRule="auto"/>
      </w:pPr>
      <w:bookmarkStart w:id="1" w:name="_headingh.stckjnptd5w6"/>
      <w:bookmarkEnd w:id="1"/>
      <w:r>
        <w:lastRenderedPageBreak/>
        <w:t xml:space="preserve">Appendix </w:t>
      </w:r>
      <w:r w:rsidR="0055373E">
        <w:t>Figure S</w:t>
      </w:r>
      <w:r w:rsidR="002F510B">
        <w:t>2</w:t>
      </w:r>
      <w:r w:rsidR="0055373E">
        <w:t>. Effect of blocking endocytosis on membrane proteins.</w:t>
      </w:r>
    </w:p>
    <w:p w14:paraId="0BB7F31E" w14:textId="77777777" w:rsidR="00060FDD" w:rsidRDefault="00060FDD">
      <w:pPr>
        <w:pStyle w:val="Title"/>
        <w:spacing w:line="276" w:lineRule="auto"/>
        <w:rPr>
          <w:b w:val="0"/>
          <w:bCs w:val="0"/>
        </w:rPr>
      </w:pPr>
    </w:p>
    <w:p w14:paraId="4DF6F9E6" w14:textId="77777777" w:rsidR="00060FDD" w:rsidRDefault="00534D24" w:rsidP="00534D24">
      <w:pPr>
        <w:pStyle w:val="BodyA"/>
        <w:spacing w:line="276" w:lineRule="auto"/>
        <w:rPr>
          <w:rFonts w:ascii="Arial" w:hAnsi="Arial"/>
          <w:sz w:val="20"/>
          <w:szCs w:val="20"/>
          <w:lang w:val="en-US"/>
        </w:rPr>
      </w:pPr>
      <w:r>
        <w:rPr>
          <w:rFonts w:ascii="Arial" w:hAnsi="Arial"/>
          <w:noProof/>
          <w:sz w:val="20"/>
          <w:szCs w:val="20"/>
          <w:lang w:val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27C6076" wp14:editId="712DD97F">
            <wp:extent cx="6489700" cy="5956300"/>
            <wp:effectExtent l="0" t="0" r="0" b="0"/>
            <wp:docPr id="4" name="Picture 4" descr="A picture containing photo, different, many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S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28302" w14:textId="77777777" w:rsidR="00060FDD" w:rsidRDefault="00060FDD" w:rsidP="00534D24">
      <w:pPr>
        <w:pStyle w:val="BodyA"/>
        <w:spacing w:line="276" w:lineRule="auto"/>
        <w:rPr>
          <w:rFonts w:ascii="Arial" w:hAnsi="Arial"/>
          <w:sz w:val="20"/>
          <w:szCs w:val="20"/>
          <w:lang w:val="en-US"/>
        </w:rPr>
      </w:pPr>
    </w:p>
    <w:p w14:paraId="579A7BD4" w14:textId="16DDC606" w:rsidR="00482ADE" w:rsidRDefault="0055373E" w:rsidP="00534D24">
      <w:pPr>
        <w:pStyle w:val="BodyA"/>
        <w:spacing w:line="276" w:lineRule="auto"/>
      </w:pPr>
      <w:r>
        <w:rPr>
          <w:rFonts w:ascii="Arial" w:hAnsi="Arial"/>
          <w:sz w:val="20"/>
          <w:szCs w:val="20"/>
          <w:lang w:val="en-US"/>
        </w:rPr>
        <w:t xml:space="preserve">Terminal cells of </w:t>
      </w:r>
      <w:r>
        <w:rPr>
          <w:rFonts w:ascii="Arial" w:hAnsi="Arial"/>
          <w:i/>
          <w:iCs/>
          <w:sz w:val="20"/>
          <w:szCs w:val="20"/>
        </w:rPr>
        <w:t>shibire</w:t>
      </w:r>
      <w:r>
        <w:rPr>
          <w:rFonts w:ascii="Arial" w:hAnsi="Arial"/>
          <w:i/>
          <w:iCs/>
          <w:sz w:val="20"/>
          <w:szCs w:val="20"/>
          <w:vertAlign w:val="superscript"/>
        </w:rPr>
        <w:t>ts</w:t>
      </w:r>
      <w:r>
        <w:rPr>
          <w:rFonts w:ascii="Arial" w:hAnsi="Arial"/>
          <w:sz w:val="20"/>
          <w:szCs w:val="20"/>
          <w:lang w:val="en-US"/>
        </w:rPr>
        <w:t xml:space="preserve"> mutant embryos expressing </w:t>
      </w:r>
      <w:proofErr w:type="gramStart"/>
      <w:r>
        <w:rPr>
          <w:rFonts w:ascii="Arial" w:hAnsi="Arial"/>
          <w:sz w:val="20"/>
          <w:szCs w:val="20"/>
          <w:lang w:val="en-US"/>
        </w:rPr>
        <w:t>PH::</w:t>
      </w:r>
      <w:proofErr w:type="spellStart"/>
      <w:proofErr w:type="gramEnd"/>
      <w:r>
        <w:rPr>
          <w:rFonts w:ascii="Arial" w:hAnsi="Arial"/>
          <w:sz w:val="20"/>
          <w:szCs w:val="20"/>
          <w:lang w:val="en-US"/>
        </w:rPr>
        <w:t>mCherry</w:t>
      </w:r>
      <w:proofErr w:type="spellEnd"/>
      <w:r w:rsidR="002F510B">
        <w:rPr>
          <w:rFonts w:ascii="Arial" w:hAnsi="Arial"/>
          <w:sz w:val="20"/>
          <w:szCs w:val="20"/>
          <w:lang w:val="en-US"/>
        </w:rPr>
        <w:t xml:space="preserve"> (A-F, K-M) or PH::GFP (G-J)</w:t>
      </w:r>
      <w:r>
        <w:rPr>
          <w:rFonts w:ascii="Arial" w:hAnsi="Arial"/>
          <w:sz w:val="20"/>
          <w:szCs w:val="20"/>
          <w:lang w:val="en-US"/>
        </w:rPr>
        <w:t xml:space="preserve">. Cells before dynamin inactivation (A, D, G, </w:t>
      </w:r>
      <w:r w:rsidR="002F510B">
        <w:rPr>
          <w:rFonts w:ascii="Arial" w:hAnsi="Arial"/>
          <w:sz w:val="20"/>
          <w:szCs w:val="20"/>
          <w:lang w:val="en-US"/>
        </w:rPr>
        <w:t xml:space="preserve">I, </w:t>
      </w:r>
      <w:r w:rsidR="00534D24">
        <w:rPr>
          <w:rFonts w:ascii="Arial" w:hAnsi="Arial"/>
          <w:sz w:val="20"/>
          <w:szCs w:val="20"/>
          <w:lang w:val="en-US"/>
        </w:rPr>
        <w:t>K</w:t>
      </w:r>
      <w:r>
        <w:rPr>
          <w:rFonts w:ascii="Arial" w:hAnsi="Arial"/>
          <w:sz w:val="20"/>
          <w:szCs w:val="20"/>
          <w:lang w:val="en-US"/>
        </w:rPr>
        <w:t xml:space="preserve">), after (B, E, </w:t>
      </w:r>
      <w:r w:rsidR="00534D24">
        <w:rPr>
          <w:rFonts w:ascii="Arial" w:hAnsi="Arial"/>
          <w:sz w:val="20"/>
          <w:szCs w:val="20"/>
          <w:lang w:val="en-US"/>
        </w:rPr>
        <w:t>H</w:t>
      </w:r>
      <w:r>
        <w:rPr>
          <w:rFonts w:ascii="Arial" w:hAnsi="Arial"/>
          <w:sz w:val="20"/>
          <w:szCs w:val="20"/>
        </w:rPr>
        <w:t xml:space="preserve">, </w:t>
      </w:r>
      <w:r w:rsidR="00534D24" w:rsidRPr="00534D24">
        <w:rPr>
          <w:rFonts w:ascii="Arial" w:hAnsi="Arial"/>
          <w:sz w:val="20"/>
          <w:szCs w:val="20"/>
          <w:lang w:val="en-US"/>
        </w:rPr>
        <w:t>J,</w:t>
      </w:r>
      <w:r w:rsidR="00534D24">
        <w:rPr>
          <w:rFonts w:ascii="Arial" w:hAnsi="Arial"/>
          <w:sz w:val="20"/>
          <w:szCs w:val="20"/>
          <w:lang w:val="en-US"/>
        </w:rPr>
        <w:t xml:space="preserve"> L</w:t>
      </w:r>
      <w:r>
        <w:rPr>
          <w:rFonts w:ascii="Arial" w:hAnsi="Arial"/>
          <w:sz w:val="20"/>
          <w:szCs w:val="20"/>
          <w:lang w:val="en-US"/>
        </w:rPr>
        <w:t>) and at the end of recovery (</w:t>
      </w:r>
      <w:r w:rsidR="00534D24">
        <w:rPr>
          <w:rFonts w:ascii="Arial" w:hAnsi="Arial"/>
          <w:sz w:val="20"/>
          <w:szCs w:val="20"/>
          <w:lang w:val="en-US"/>
        </w:rPr>
        <w:t>C, F, M</w:t>
      </w:r>
      <w:r>
        <w:rPr>
          <w:rFonts w:ascii="Arial" w:hAnsi="Arial"/>
          <w:sz w:val="20"/>
          <w:szCs w:val="20"/>
          <w:lang w:val="en-US"/>
        </w:rPr>
        <w:t xml:space="preserve">). (A-C) </w:t>
      </w:r>
      <w:r w:rsidR="00534D24">
        <w:rPr>
          <w:rFonts w:ascii="Arial" w:hAnsi="Arial"/>
          <w:sz w:val="20"/>
          <w:szCs w:val="20"/>
          <w:lang w:val="en-US"/>
        </w:rPr>
        <w:t>D</w:t>
      </w:r>
      <w:r>
        <w:rPr>
          <w:rFonts w:ascii="Arial" w:hAnsi="Arial"/>
          <w:sz w:val="20"/>
          <w:szCs w:val="20"/>
          <w:lang w:val="en-US"/>
        </w:rPr>
        <w:t xml:space="preserve">istribution of the extracellular domain of </w:t>
      </w:r>
      <w:proofErr w:type="spellStart"/>
      <w:r>
        <w:rPr>
          <w:rFonts w:ascii="Arial" w:hAnsi="Arial"/>
          <w:sz w:val="20"/>
          <w:szCs w:val="20"/>
          <w:lang w:val="en-US"/>
        </w:rPr>
        <w:t>Crb</w:t>
      </w:r>
      <w:proofErr w:type="spellEnd"/>
      <w:r>
        <w:rPr>
          <w:rFonts w:ascii="Arial" w:hAnsi="Arial"/>
          <w:sz w:val="20"/>
          <w:szCs w:val="20"/>
          <w:lang w:val="en-US"/>
        </w:rPr>
        <w:t xml:space="preserve"> fused to GFP (</w:t>
      </w:r>
      <w:proofErr w:type="spellStart"/>
      <w:proofErr w:type="gramStart"/>
      <w:r>
        <w:rPr>
          <w:rFonts w:ascii="Arial" w:hAnsi="Arial"/>
          <w:sz w:val="20"/>
          <w:szCs w:val="20"/>
          <w:lang w:val="en-US"/>
        </w:rPr>
        <w:t>Crb</w:t>
      </w:r>
      <w:r w:rsidRPr="002F510B">
        <w:rPr>
          <w:rFonts w:ascii="Arial" w:hAnsi="Arial"/>
          <w:sz w:val="20"/>
          <w:szCs w:val="20"/>
          <w:vertAlign w:val="superscript"/>
          <w:lang w:val="en-US"/>
        </w:rPr>
        <w:t>Extra</w:t>
      </w:r>
      <w:proofErr w:type="spellEnd"/>
      <w:r>
        <w:rPr>
          <w:rFonts w:ascii="Arial" w:hAnsi="Arial"/>
          <w:sz w:val="20"/>
          <w:szCs w:val="20"/>
          <w:lang w:val="en-US"/>
        </w:rPr>
        <w:t>::</w:t>
      </w:r>
      <w:proofErr w:type="gramEnd"/>
      <w:r>
        <w:rPr>
          <w:rFonts w:ascii="Arial" w:hAnsi="Arial"/>
          <w:sz w:val="20"/>
          <w:szCs w:val="20"/>
          <w:lang w:val="en-US"/>
        </w:rPr>
        <w:t>GFP)</w:t>
      </w:r>
      <w:r w:rsidR="00534D24">
        <w:rPr>
          <w:rFonts w:ascii="Arial" w:hAnsi="Arial"/>
          <w:sz w:val="20"/>
          <w:szCs w:val="20"/>
          <w:lang w:val="en-US"/>
        </w:rPr>
        <w:t>.</w:t>
      </w:r>
      <w:r>
        <w:rPr>
          <w:rFonts w:ascii="Arial" w:hAnsi="Arial"/>
          <w:sz w:val="20"/>
          <w:szCs w:val="20"/>
          <w:lang w:val="en-US"/>
        </w:rPr>
        <w:t xml:space="preserve"> (D-F) </w:t>
      </w:r>
      <w:r w:rsidR="00534D24">
        <w:rPr>
          <w:rFonts w:ascii="Arial" w:hAnsi="Arial"/>
          <w:sz w:val="20"/>
          <w:szCs w:val="20"/>
          <w:lang w:val="en-US"/>
        </w:rPr>
        <w:t>D</w:t>
      </w:r>
      <w:r>
        <w:rPr>
          <w:rFonts w:ascii="Arial" w:hAnsi="Arial"/>
          <w:sz w:val="20"/>
          <w:szCs w:val="20"/>
          <w:lang w:val="en-US"/>
        </w:rPr>
        <w:t xml:space="preserve">istribution of endogenously tagged </w:t>
      </w:r>
      <w:proofErr w:type="spellStart"/>
      <w:r>
        <w:rPr>
          <w:rFonts w:ascii="Arial" w:hAnsi="Arial"/>
          <w:sz w:val="20"/>
          <w:szCs w:val="20"/>
          <w:lang w:val="en-US"/>
        </w:rPr>
        <w:t>Crb</w:t>
      </w:r>
      <w:proofErr w:type="spellEnd"/>
      <w:r w:rsidR="00534D24">
        <w:rPr>
          <w:rFonts w:ascii="Arial" w:hAnsi="Arial"/>
          <w:sz w:val="20"/>
          <w:szCs w:val="20"/>
          <w:lang w:val="en-US"/>
        </w:rPr>
        <w:t xml:space="preserve">. (G-H) Distribution of E-Cadherin and a Chitin-Binding domain fused to Alexa-647 (CBD). (I-J) Distribution of </w:t>
      </w:r>
      <w:proofErr w:type="spellStart"/>
      <w:r w:rsidR="00534D24">
        <w:rPr>
          <w:rFonts w:ascii="Arial" w:hAnsi="Arial"/>
          <w:sz w:val="20"/>
          <w:szCs w:val="20"/>
          <w:lang w:val="en-US"/>
        </w:rPr>
        <w:t>Fasciclin</w:t>
      </w:r>
      <w:proofErr w:type="spellEnd"/>
      <w:r w:rsidR="00534D24">
        <w:rPr>
          <w:rFonts w:ascii="Arial" w:hAnsi="Arial"/>
          <w:sz w:val="20"/>
          <w:szCs w:val="20"/>
          <w:lang w:val="en-US"/>
        </w:rPr>
        <w:t xml:space="preserve"> III (</w:t>
      </w:r>
      <w:proofErr w:type="spellStart"/>
      <w:r w:rsidR="00534D24">
        <w:rPr>
          <w:rFonts w:ascii="Arial" w:hAnsi="Arial"/>
          <w:sz w:val="20"/>
          <w:szCs w:val="20"/>
          <w:lang w:val="en-US"/>
        </w:rPr>
        <w:t>FasIII</w:t>
      </w:r>
      <w:proofErr w:type="spellEnd"/>
      <w:r w:rsidR="00534D24">
        <w:rPr>
          <w:rFonts w:ascii="Arial" w:hAnsi="Arial"/>
          <w:sz w:val="20"/>
          <w:szCs w:val="20"/>
          <w:lang w:val="en-US"/>
        </w:rPr>
        <w:t xml:space="preserve">). (K-M) Distribution of </w:t>
      </w:r>
      <w:proofErr w:type="gramStart"/>
      <w:r w:rsidR="00534D24">
        <w:rPr>
          <w:rFonts w:ascii="Arial" w:hAnsi="Arial"/>
          <w:sz w:val="20"/>
          <w:szCs w:val="20"/>
          <w:lang w:val="en-US"/>
        </w:rPr>
        <w:t>FGFR::</w:t>
      </w:r>
      <w:proofErr w:type="gramEnd"/>
      <w:r w:rsidR="00534D24">
        <w:rPr>
          <w:rFonts w:ascii="Arial" w:hAnsi="Arial"/>
          <w:sz w:val="20"/>
          <w:szCs w:val="20"/>
          <w:lang w:val="en-US"/>
        </w:rPr>
        <w:t>GFP in stained embryos. Scale bars: 5</w:t>
      </w:r>
      <w:r w:rsidR="00534D24" w:rsidRPr="00534D24">
        <w:rPr>
          <w:rFonts w:ascii="Symbol" w:hAnsi="Symbol"/>
          <w:sz w:val="20"/>
          <w:szCs w:val="20"/>
          <w:lang w:val="en-US"/>
        </w:rPr>
        <w:t>m</w:t>
      </w:r>
      <w:r w:rsidR="00534D24">
        <w:rPr>
          <w:rFonts w:ascii="Arial" w:hAnsi="Arial"/>
          <w:sz w:val="20"/>
          <w:szCs w:val="20"/>
          <w:lang w:val="en-US"/>
        </w:rPr>
        <w:t>m</w:t>
      </w:r>
    </w:p>
    <w:sectPr w:rsidR="00482ADE" w:rsidSect="00060FDD">
      <w:headerReference w:type="default" r:id="rId9"/>
      <w:pgSz w:w="11900" w:h="16840"/>
      <w:pgMar w:top="1434" w:right="720" w:bottom="1500" w:left="720" w:header="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F4A710" w14:textId="77777777" w:rsidR="007E560D" w:rsidRDefault="007E560D">
      <w:r>
        <w:separator/>
      </w:r>
    </w:p>
  </w:endnote>
  <w:endnote w:type="continuationSeparator" w:id="0">
    <w:p w14:paraId="57ED8B8A" w14:textId="77777777" w:rsidR="007E560D" w:rsidRDefault="007E5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D7AD0D" w14:textId="77777777" w:rsidR="007E560D" w:rsidRDefault="007E560D">
      <w:r>
        <w:separator/>
      </w:r>
    </w:p>
  </w:footnote>
  <w:footnote w:type="continuationSeparator" w:id="0">
    <w:p w14:paraId="59BEC8D9" w14:textId="77777777" w:rsidR="007E560D" w:rsidRDefault="007E56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67D6D8" w14:textId="7BE2CC3A" w:rsidR="00482ADE" w:rsidRDefault="00482ADE">
    <w:pPr>
      <w:pStyle w:val="HeaderFooter"/>
    </w:pPr>
  </w:p>
  <w:p w14:paraId="46C1D85D" w14:textId="3E1A3C03" w:rsidR="00060FDD" w:rsidRDefault="00060FDD">
    <w:pPr>
      <w:pStyle w:val="HeaderFooter"/>
    </w:pPr>
  </w:p>
  <w:p w14:paraId="0F7D065A" w14:textId="77777777" w:rsidR="00060FDD" w:rsidRPr="00060FDD" w:rsidRDefault="00060FDD" w:rsidP="00060FDD">
    <w:pPr>
      <w:pStyle w:val="HeaderFooter"/>
      <w:jc w:val="right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26BA3"/>
    <w:multiLevelType w:val="hybridMultilevel"/>
    <w:tmpl w:val="1DB874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ADE"/>
    <w:rsid w:val="00005E18"/>
    <w:rsid w:val="00060FDD"/>
    <w:rsid w:val="002F510B"/>
    <w:rsid w:val="00482ADE"/>
    <w:rsid w:val="00534D24"/>
    <w:rsid w:val="0055373E"/>
    <w:rsid w:val="005D611D"/>
    <w:rsid w:val="00750A60"/>
    <w:rsid w:val="007E560D"/>
    <w:rsid w:val="009074E1"/>
    <w:rsid w:val="00963F5E"/>
    <w:rsid w:val="00A86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CDDDB5"/>
  <w15:docId w15:val="{95F200E3-76FF-B243-9A9A-36EB9E943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DE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uiPriority w:val="10"/>
    <w:qFormat/>
    <w:pPr>
      <w:keepNext/>
      <w:keepLines/>
      <w:spacing w:line="360" w:lineRule="auto"/>
    </w:pPr>
    <w:rPr>
      <w:rFonts w:ascii="Arial" w:hAnsi="Arial" w:cs="Arial Unicode MS"/>
      <w:b/>
      <w:bCs/>
      <w:color w:val="000000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Pr>
      <w:rFonts w:ascii="Cambria" w:eastAsia="Cambria" w:hAnsi="Cambria" w:cs="Cambria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605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059"/>
    <w:rPr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60F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0FDD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60F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0FDD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Arial"/>
        <a:ea typeface="Arial"/>
        <a:cs typeface="Arial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Ríos</cp:lastModifiedBy>
  <cp:revision>4</cp:revision>
  <dcterms:created xsi:type="dcterms:W3CDTF">2020-05-10T00:43:00Z</dcterms:created>
  <dcterms:modified xsi:type="dcterms:W3CDTF">2020-06-10T01:26:00Z</dcterms:modified>
</cp:coreProperties>
</file>