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B52B32" w14:textId="77777777" w:rsidR="00185722" w:rsidRDefault="00185722" w:rsidP="00BB7DC6">
      <w:pPr>
        <w:pStyle w:val="EFSADates"/>
        <w:rPr>
          <w:color w:val="auto"/>
        </w:rPr>
      </w:pPr>
    </w:p>
    <w:p w14:paraId="305D54DD" w14:textId="77777777" w:rsidR="00C32F08" w:rsidRPr="00174414" w:rsidRDefault="00C32F08" w:rsidP="00696FA8">
      <w:pPr>
        <w:jc w:val="both"/>
        <w:rPr>
          <w:rFonts w:ascii="Verdana" w:hAnsi="Verdana"/>
        </w:rPr>
      </w:pPr>
    </w:p>
    <w:p w14:paraId="078D68F2" w14:textId="77777777" w:rsidR="00C32F08" w:rsidRPr="00174414" w:rsidRDefault="00C32F08" w:rsidP="00696FA8">
      <w:pPr>
        <w:jc w:val="both"/>
        <w:rPr>
          <w:rFonts w:ascii="Verdana" w:hAnsi="Verdana"/>
        </w:rPr>
      </w:pPr>
    </w:p>
    <w:p w14:paraId="2E04BDFE" w14:textId="188B8D18" w:rsidR="005551BE" w:rsidRPr="00174414" w:rsidRDefault="005551BE" w:rsidP="005551BE">
      <w:pPr>
        <w:pStyle w:val="EFSAOutputtitle"/>
        <w:rPr>
          <w:color w:val="auto"/>
        </w:rPr>
      </w:pPr>
      <w:r w:rsidRPr="00174414">
        <w:rPr>
          <w:color w:val="auto"/>
        </w:rPr>
        <w:t xml:space="preserve">Annex </w:t>
      </w:r>
      <w:r w:rsidR="00CA5070" w:rsidRPr="00174414">
        <w:rPr>
          <w:color w:val="auto"/>
        </w:rPr>
        <w:t>E</w:t>
      </w:r>
    </w:p>
    <w:p w14:paraId="06F97452" w14:textId="02A1E778" w:rsidR="00817EB9" w:rsidRPr="00174414" w:rsidRDefault="00817EB9" w:rsidP="00BB7DC6">
      <w:pPr>
        <w:pStyle w:val="EFSAOutputtitle"/>
        <w:rPr>
          <w:color w:val="auto"/>
        </w:rPr>
      </w:pPr>
      <w:r w:rsidRPr="00174414">
        <w:rPr>
          <w:color w:val="auto"/>
        </w:rPr>
        <w:t xml:space="preserve">Public consultation on </w:t>
      </w:r>
      <w:r w:rsidR="00537D9A" w:rsidRPr="00174414">
        <w:rPr>
          <w:color w:val="auto"/>
        </w:rPr>
        <w:t>d</w:t>
      </w:r>
      <w:r w:rsidR="003A0A27" w:rsidRPr="00174414">
        <w:rPr>
          <w:color w:val="auto"/>
        </w:rPr>
        <w:t xml:space="preserve">raft scientific </w:t>
      </w:r>
      <w:r w:rsidR="001A6314">
        <w:rPr>
          <w:color w:val="auto"/>
        </w:rPr>
        <w:t>o</w:t>
      </w:r>
      <w:r w:rsidR="003A0A27" w:rsidRPr="00174414">
        <w:rPr>
          <w:color w:val="auto"/>
        </w:rPr>
        <w:t xml:space="preserve">pinion on </w:t>
      </w:r>
      <w:r w:rsidR="00537D9A" w:rsidRPr="00174414">
        <w:rPr>
          <w:color w:val="auto"/>
        </w:rPr>
        <w:t>the derivation of a health-based guidance value for Δ</w:t>
      </w:r>
      <w:r w:rsidR="00537D9A" w:rsidRPr="00174414">
        <w:rPr>
          <w:color w:val="auto"/>
          <w:vertAlign w:val="superscript"/>
        </w:rPr>
        <w:t>8</w:t>
      </w:r>
      <w:r w:rsidR="00537D9A" w:rsidRPr="00174414">
        <w:rPr>
          <w:color w:val="auto"/>
        </w:rPr>
        <w:t>-tetrahydrocannabinol (Δ</w:t>
      </w:r>
      <w:r w:rsidR="00537D9A" w:rsidRPr="00174414">
        <w:rPr>
          <w:color w:val="auto"/>
          <w:vertAlign w:val="superscript"/>
        </w:rPr>
        <w:t>8</w:t>
      </w:r>
      <w:r w:rsidR="00537D9A" w:rsidRPr="00174414">
        <w:rPr>
          <w:color w:val="auto"/>
        </w:rPr>
        <w:t>-THC) and its occurrence in food</w:t>
      </w:r>
    </w:p>
    <w:p w14:paraId="2AF0265D" w14:textId="716D2D00" w:rsidR="006023F4" w:rsidRPr="00174414" w:rsidRDefault="002874A4" w:rsidP="00BB7DC6">
      <w:pPr>
        <w:pStyle w:val="EFSAAuthor"/>
        <w:rPr>
          <w:i/>
          <w:iCs/>
          <w:color w:val="auto"/>
        </w:rPr>
      </w:pPr>
      <w:r w:rsidRPr="00174414">
        <w:rPr>
          <w:color w:val="auto"/>
        </w:rPr>
        <w:t>European Food Safety Authority (EFSA)</w:t>
      </w:r>
      <w:r w:rsidRPr="00174414">
        <w:rPr>
          <w:color w:val="auto"/>
          <w:highlight w:val="yellow"/>
        </w:rPr>
        <w:br/>
      </w:r>
    </w:p>
    <w:p w14:paraId="22249264" w14:textId="07F6E034" w:rsidR="004E17A3" w:rsidRPr="00174414" w:rsidRDefault="002810AE" w:rsidP="00696FA8">
      <w:pPr>
        <w:jc w:val="both"/>
        <w:rPr>
          <w:rFonts w:ascii="Verdana" w:hAnsi="Verdana"/>
          <w:sz w:val="28"/>
          <w:szCs w:val="28"/>
        </w:rPr>
        <w:sectPr w:rsidR="004E17A3" w:rsidRPr="00174414" w:rsidSect="004D4CF7">
          <w:headerReference w:type="even" r:id="rId11"/>
          <w:headerReference w:type="default" r:id="rId12"/>
          <w:footerReference w:type="even" r:id="rId13"/>
          <w:footerReference w:type="default" r:id="rId14"/>
          <w:headerReference w:type="first" r:id="rId15"/>
          <w:footerReference w:type="first" r:id="rId16"/>
          <w:pgSz w:w="11906" w:h="16838" w:code="9"/>
          <w:pgMar w:top="1701" w:right="1134" w:bottom="1418" w:left="1418" w:header="720" w:footer="720" w:gutter="0"/>
          <w:cols w:space="720"/>
          <w:titlePg/>
          <w:docGrid w:linePitch="360"/>
        </w:sectPr>
      </w:pPr>
      <w:r w:rsidRPr="00174414">
        <w:rPr>
          <w:rFonts w:ascii="Verdana" w:hAnsi="Verdana"/>
          <w:sz w:val="28"/>
          <w:szCs w:val="28"/>
        </w:rPr>
        <w:br w:type="page"/>
      </w:r>
    </w:p>
    <w:bookmarkStart w:id="1" w:name="_Toc362741522" w:displacedByCustomXml="next"/>
    <w:sdt>
      <w:sdtPr>
        <w:rPr>
          <w:rFonts w:eastAsia="Times New Roman" w:cs="Times New Roman"/>
          <w:b w:val="0"/>
          <w:color w:val="auto"/>
          <w:sz w:val="20"/>
          <w:szCs w:val="20"/>
          <w:lang w:eastAsia="en-GB"/>
        </w:rPr>
        <w:id w:val="450478153"/>
        <w:docPartObj>
          <w:docPartGallery w:val="Table of Contents"/>
          <w:docPartUnique/>
        </w:docPartObj>
      </w:sdtPr>
      <w:sdtEndPr/>
      <w:sdtContent>
        <w:p w14:paraId="7010D2C1" w14:textId="77777777" w:rsidR="00A0045C" w:rsidRPr="00174414" w:rsidRDefault="0039017F" w:rsidP="00BB7DC6">
          <w:pPr>
            <w:pStyle w:val="EFSAHeading1nonumber"/>
            <w:rPr>
              <w:color w:val="auto"/>
            </w:rPr>
          </w:pPr>
          <w:r w:rsidRPr="00174414">
            <w:rPr>
              <w:color w:val="auto"/>
            </w:rPr>
            <w:t>Table of contents</w:t>
          </w:r>
          <w:bookmarkEnd w:id="1"/>
        </w:p>
        <w:p w14:paraId="53881698" w14:textId="2572E69E" w:rsidR="007C7B2D" w:rsidRPr="00174414" w:rsidRDefault="6A64D798" w:rsidP="27CCCAB2">
          <w:pPr>
            <w:pStyle w:val="TOC1"/>
            <w:tabs>
              <w:tab w:val="clear" w:pos="9072"/>
              <w:tab w:val="right" w:leader="dot" w:pos="9060"/>
            </w:tabs>
            <w:rPr>
              <w:rStyle w:val="Hyperlink"/>
              <w:noProof/>
              <w:color w:val="auto"/>
              <w:kern w:val="2"/>
              <w14:ligatures w14:val="standardContextual"/>
            </w:rPr>
          </w:pPr>
          <w:r w:rsidRPr="00174414">
            <w:rPr>
              <w:color w:val="auto"/>
            </w:rPr>
            <w:fldChar w:fldCharType="begin"/>
          </w:r>
          <w:r w:rsidR="007C7B2D" w:rsidRPr="00174414">
            <w:rPr>
              <w:color w:val="auto"/>
            </w:rPr>
            <w:instrText>TOC \o "1-3" \z \u \h</w:instrText>
          </w:r>
          <w:r w:rsidRPr="00174414">
            <w:rPr>
              <w:color w:val="auto"/>
            </w:rPr>
            <w:fldChar w:fldCharType="separate"/>
          </w:r>
          <w:hyperlink w:anchor="_Toc362741522"/>
        </w:p>
        <w:p w14:paraId="26D7AF3F" w14:textId="44061457" w:rsidR="007C7B2D" w:rsidRPr="00174414" w:rsidRDefault="27CCCAB2" w:rsidP="27CCCAB2">
          <w:pPr>
            <w:pStyle w:val="TOC1"/>
            <w:tabs>
              <w:tab w:val="clear" w:pos="9072"/>
              <w:tab w:val="right" w:leader="dot" w:pos="9060"/>
            </w:tabs>
            <w:rPr>
              <w:rStyle w:val="Hyperlink"/>
              <w:noProof/>
              <w:color w:val="auto"/>
              <w:kern w:val="2"/>
              <w14:ligatures w14:val="standardContextual"/>
            </w:rPr>
          </w:pPr>
          <w:hyperlink w:anchor="_Toc1547375165">
            <w:r w:rsidRPr="00174414">
              <w:rPr>
                <w:rStyle w:val="Hyperlink"/>
                <w:color w:val="auto"/>
              </w:rPr>
              <w:t>E.1 Introduction</w:t>
            </w:r>
            <w:r w:rsidR="6A64D798" w:rsidRPr="00174414">
              <w:rPr>
                <w:color w:val="auto"/>
              </w:rPr>
              <w:tab/>
            </w:r>
            <w:r w:rsidR="6A64D798" w:rsidRPr="00174414">
              <w:rPr>
                <w:color w:val="auto"/>
              </w:rPr>
              <w:fldChar w:fldCharType="begin"/>
            </w:r>
            <w:r w:rsidR="6A64D798" w:rsidRPr="00174414">
              <w:rPr>
                <w:color w:val="auto"/>
              </w:rPr>
              <w:instrText>PAGEREF _Toc1547375165 \h</w:instrText>
            </w:r>
            <w:r w:rsidR="6A64D798" w:rsidRPr="00174414">
              <w:rPr>
                <w:color w:val="auto"/>
              </w:rPr>
            </w:r>
            <w:r w:rsidR="6A64D798" w:rsidRPr="00174414">
              <w:rPr>
                <w:color w:val="auto"/>
              </w:rPr>
              <w:fldChar w:fldCharType="separate"/>
            </w:r>
            <w:r w:rsidR="00CC6ED4">
              <w:rPr>
                <w:noProof/>
                <w:color w:val="auto"/>
              </w:rPr>
              <w:t>3</w:t>
            </w:r>
            <w:r w:rsidR="6A64D798" w:rsidRPr="00174414">
              <w:rPr>
                <w:color w:val="auto"/>
              </w:rPr>
              <w:fldChar w:fldCharType="end"/>
            </w:r>
          </w:hyperlink>
        </w:p>
        <w:p w14:paraId="3B6AB830" w14:textId="38471862" w:rsidR="007C7B2D" w:rsidRPr="00174414" w:rsidRDefault="27CCCAB2" w:rsidP="27CCCAB2">
          <w:pPr>
            <w:pStyle w:val="TOC2"/>
            <w:tabs>
              <w:tab w:val="clear" w:pos="9072"/>
              <w:tab w:val="right" w:leader="dot" w:pos="9060"/>
            </w:tabs>
            <w:rPr>
              <w:rStyle w:val="Hyperlink"/>
              <w:noProof/>
              <w:color w:val="auto"/>
              <w:kern w:val="2"/>
              <w14:ligatures w14:val="standardContextual"/>
            </w:rPr>
          </w:pPr>
          <w:hyperlink w:anchor="_Toc1187918459">
            <w:r w:rsidRPr="00174414">
              <w:rPr>
                <w:rStyle w:val="Hyperlink"/>
                <w:color w:val="auto"/>
              </w:rPr>
              <w:t>E.1.1 Rationale for the public consultation and summary of its outcome</w:t>
            </w:r>
            <w:r w:rsidR="6A64D798" w:rsidRPr="00174414">
              <w:rPr>
                <w:color w:val="auto"/>
              </w:rPr>
              <w:tab/>
            </w:r>
            <w:r w:rsidR="6A64D798" w:rsidRPr="00174414">
              <w:rPr>
                <w:color w:val="auto"/>
              </w:rPr>
              <w:fldChar w:fldCharType="begin"/>
            </w:r>
            <w:r w:rsidR="6A64D798" w:rsidRPr="00174414">
              <w:rPr>
                <w:color w:val="auto"/>
              </w:rPr>
              <w:instrText>PAGEREF _Toc1187918459 \h</w:instrText>
            </w:r>
            <w:r w:rsidR="6A64D798" w:rsidRPr="00174414">
              <w:rPr>
                <w:color w:val="auto"/>
              </w:rPr>
            </w:r>
            <w:r w:rsidR="6A64D798" w:rsidRPr="00174414">
              <w:rPr>
                <w:color w:val="auto"/>
              </w:rPr>
              <w:fldChar w:fldCharType="separate"/>
            </w:r>
            <w:r w:rsidR="00CC6ED4">
              <w:rPr>
                <w:noProof/>
                <w:color w:val="auto"/>
              </w:rPr>
              <w:t>3</w:t>
            </w:r>
            <w:r w:rsidR="6A64D798" w:rsidRPr="00174414">
              <w:rPr>
                <w:color w:val="auto"/>
              </w:rPr>
              <w:fldChar w:fldCharType="end"/>
            </w:r>
          </w:hyperlink>
        </w:p>
        <w:p w14:paraId="0828DB0A" w14:textId="20968B5C" w:rsidR="007C7B2D" w:rsidRPr="00174414" w:rsidRDefault="27CCCAB2" w:rsidP="27CCCAB2">
          <w:pPr>
            <w:pStyle w:val="TOC2"/>
            <w:tabs>
              <w:tab w:val="clear" w:pos="9072"/>
              <w:tab w:val="right" w:leader="dot" w:pos="9060"/>
            </w:tabs>
            <w:rPr>
              <w:rStyle w:val="Hyperlink"/>
              <w:noProof/>
              <w:color w:val="auto"/>
              <w:kern w:val="2"/>
              <w14:ligatures w14:val="standardContextual"/>
            </w:rPr>
          </w:pPr>
          <w:hyperlink w:anchor="_Toc607905562">
            <w:r w:rsidRPr="00174414">
              <w:rPr>
                <w:rStyle w:val="Hyperlink"/>
                <w:color w:val="auto"/>
              </w:rPr>
              <w:t xml:space="preserve">E.1.2 Assessment of comments and use for finalisation of the </w:t>
            </w:r>
            <w:r w:rsidR="00921DE5">
              <w:rPr>
                <w:rStyle w:val="Hyperlink"/>
                <w:color w:val="auto"/>
              </w:rPr>
              <w:t>o</w:t>
            </w:r>
            <w:r w:rsidRPr="00174414">
              <w:rPr>
                <w:rStyle w:val="Hyperlink"/>
                <w:color w:val="auto"/>
              </w:rPr>
              <w:t>pinion</w:t>
            </w:r>
            <w:r w:rsidR="6A64D798" w:rsidRPr="00174414">
              <w:rPr>
                <w:color w:val="auto"/>
              </w:rPr>
              <w:tab/>
            </w:r>
            <w:r w:rsidR="6A64D798" w:rsidRPr="00174414">
              <w:rPr>
                <w:color w:val="auto"/>
              </w:rPr>
              <w:fldChar w:fldCharType="begin"/>
            </w:r>
            <w:r w:rsidR="6A64D798" w:rsidRPr="00174414">
              <w:rPr>
                <w:color w:val="auto"/>
              </w:rPr>
              <w:instrText>PAGEREF _Toc607905562 \h</w:instrText>
            </w:r>
            <w:r w:rsidR="6A64D798" w:rsidRPr="00174414">
              <w:rPr>
                <w:color w:val="auto"/>
              </w:rPr>
            </w:r>
            <w:r w:rsidR="6A64D798" w:rsidRPr="00174414">
              <w:rPr>
                <w:color w:val="auto"/>
              </w:rPr>
              <w:fldChar w:fldCharType="separate"/>
            </w:r>
            <w:r w:rsidR="00CC6ED4">
              <w:rPr>
                <w:noProof/>
                <w:color w:val="auto"/>
              </w:rPr>
              <w:t>3</w:t>
            </w:r>
            <w:r w:rsidR="6A64D798" w:rsidRPr="00174414">
              <w:rPr>
                <w:color w:val="auto"/>
              </w:rPr>
              <w:fldChar w:fldCharType="end"/>
            </w:r>
          </w:hyperlink>
        </w:p>
        <w:p w14:paraId="2267BAB1" w14:textId="248B3820" w:rsidR="007C7B2D" w:rsidRPr="00174414" w:rsidRDefault="27CCCAB2" w:rsidP="27CCCAB2">
          <w:pPr>
            <w:pStyle w:val="TOC1"/>
            <w:tabs>
              <w:tab w:val="clear" w:pos="9072"/>
              <w:tab w:val="right" w:leader="dot" w:pos="9060"/>
            </w:tabs>
            <w:rPr>
              <w:rStyle w:val="Hyperlink"/>
              <w:noProof/>
              <w:color w:val="auto"/>
              <w:kern w:val="2"/>
              <w14:ligatures w14:val="standardContextual"/>
            </w:rPr>
          </w:pPr>
          <w:hyperlink w:anchor="_Toc85141954">
            <w:r w:rsidRPr="00174414">
              <w:rPr>
                <w:rStyle w:val="Hyperlink"/>
                <w:color w:val="auto"/>
              </w:rPr>
              <w:t>Abbreviations</w:t>
            </w:r>
            <w:r w:rsidR="6A64D798" w:rsidRPr="00174414">
              <w:rPr>
                <w:color w:val="auto"/>
              </w:rPr>
              <w:tab/>
            </w:r>
            <w:r w:rsidR="6A64D798" w:rsidRPr="00174414">
              <w:rPr>
                <w:color w:val="auto"/>
              </w:rPr>
              <w:fldChar w:fldCharType="begin"/>
            </w:r>
            <w:r w:rsidR="6A64D798" w:rsidRPr="00174414">
              <w:rPr>
                <w:color w:val="auto"/>
              </w:rPr>
              <w:instrText>PAGEREF _Toc85141954 \h</w:instrText>
            </w:r>
            <w:r w:rsidR="6A64D798" w:rsidRPr="00174414">
              <w:rPr>
                <w:color w:val="auto"/>
              </w:rPr>
            </w:r>
            <w:r w:rsidR="6A64D798" w:rsidRPr="00174414">
              <w:rPr>
                <w:color w:val="auto"/>
              </w:rPr>
              <w:fldChar w:fldCharType="separate"/>
            </w:r>
            <w:r w:rsidR="00CC6ED4">
              <w:rPr>
                <w:noProof/>
                <w:color w:val="auto"/>
              </w:rPr>
              <w:t>11</w:t>
            </w:r>
            <w:r w:rsidR="6A64D798" w:rsidRPr="00174414">
              <w:rPr>
                <w:color w:val="auto"/>
              </w:rPr>
              <w:fldChar w:fldCharType="end"/>
            </w:r>
          </w:hyperlink>
        </w:p>
        <w:p w14:paraId="0071EAA7" w14:textId="5082E1C7" w:rsidR="007C7B2D" w:rsidRPr="00174414" w:rsidRDefault="27CCCAB2" w:rsidP="6A64D798">
          <w:pPr>
            <w:pStyle w:val="TOC1"/>
            <w:tabs>
              <w:tab w:val="clear" w:pos="9072"/>
              <w:tab w:val="right" w:leader="dot" w:pos="9060"/>
            </w:tabs>
            <w:rPr>
              <w:rStyle w:val="Hyperlink"/>
              <w:noProof/>
              <w:color w:val="auto"/>
              <w:kern w:val="2"/>
              <w14:ligatures w14:val="standardContextual"/>
            </w:rPr>
          </w:pPr>
          <w:hyperlink w:anchor="_Toc1497982452">
            <w:r w:rsidRPr="00174414">
              <w:rPr>
                <w:rStyle w:val="Hyperlink"/>
                <w:color w:val="auto"/>
              </w:rPr>
              <w:t>References</w:t>
            </w:r>
            <w:r w:rsidR="6A64D798" w:rsidRPr="00174414">
              <w:rPr>
                <w:color w:val="auto"/>
              </w:rPr>
              <w:tab/>
            </w:r>
            <w:r w:rsidR="6A64D798" w:rsidRPr="00174414">
              <w:rPr>
                <w:color w:val="auto"/>
              </w:rPr>
              <w:fldChar w:fldCharType="begin"/>
            </w:r>
            <w:r w:rsidR="6A64D798" w:rsidRPr="00174414">
              <w:rPr>
                <w:color w:val="auto"/>
              </w:rPr>
              <w:instrText>PAGEREF _Toc1497982452 \h</w:instrText>
            </w:r>
            <w:r w:rsidR="6A64D798" w:rsidRPr="00174414">
              <w:rPr>
                <w:color w:val="auto"/>
              </w:rPr>
            </w:r>
            <w:r w:rsidR="6A64D798" w:rsidRPr="00174414">
              <w:rPr>
                <w:color w:val="auto"/>
              </w:rPr>
              <w:fldChar w:fldCharType="separate"/>
            </w:r>
            <w:r w:rsidR="00CC6ED4">
              <w:rPr>
                <w:noProof/>
                <w:color w:val="auto"/>
              </w:rPr>
              <w:t>11</w:t>
            </w:r>
            <w:r w:rsidR="6A64D798" w:rsidRPr="00174414">
              <w:rPr>
                <w:color w:val="auto"/>
              </w:rPr>
              <w:fldChar w:fldCharType="end"/>
            </w:r>
          </w:hyperlink>
          <w:r w:rsidR="6A64D798" w:rsidRPr="00174414">
            <w:rPr>
              <w:color w:val="auto"/>
            </w:rPr>
            <w:fldChar w:fldCharType="end"/>
          </w:r>
        </w:p>
      </w:sdtContent>
    </w:sdt>
    <w:p w14:paraId="4850D7AF" w14:textId="3CB7BD36" w:rsidR="001F505E" w:rsidRPr="00174414" w:rsidRDefault="001F505E" w:rsidP="1133C28C">
      <w:pPr>
        <w:pStyle w:val="TOC1"/>
        <w:tabs>
          <w:tab w:val="clear" w:pos="9072"/>
          <w:tab w:val="left" w:pos="390"/>
          <w:tab w:val="right" w:leader="dot" w:pos="9060"/>
        </w:tabs>
        <w:rPr>
          <w:rStyle w:val="Hyperlink"/>
          <w:noProof/>
          <w:color w:val="auto"/>
          <w:kern w:val="2"/>
          <w14:ligatures w14:val="standardContextual"/>
        </w:rPr>
      </w:pPr>
    </w:p>
    <w:p w14:paraId="05702F9C" w14:textId="0D865FCC" w:rsidR="00A0045C" w:rsidRPr="00174414" w:rsidRDefault="00A0045C" w:rsidP="00171AC4">
      <w:pPr>
        <w:spacing w:line="240" w:lineRule="auto"/>
        <w:jc w:val="both"/>
        <w:rPr>
          <w:rFonts w:ascii="Verdana" w:hAnsi="Verdana"/>
        </w:rPr>
      </w:pPr>
    </w:p>
    <w:p w14:paraId="6BA533E1" w14:textId="77777777" w:rsidR="004E17A3" w:rsidRPr="00174414" w:rsidRDefault="004E17A3" w:rsidP="00171AC4">
      <w:pPr>
        <w:spacing w:line="240" w:lineRule="auto"/>
        <w:rPr>
          <w:rFonts w:ascii="Verdana" w:hAnsi="Verdana"/>
        </w:rPr>
      </w:pPr>
    </w:p>
    <w:p w14:paraId="6E1AAA0F" w14:textId="77777777" w:rsidR="000D51E3" w:rsidRPr="00174414" w:rsidRDefault="000D51E3" w:rsidP="000D51E3">
      <w:pPr>
        <w:rPr>
          <w:rFonts w:ascii="Verdana" w:hAnsi="Verdana"/>
        </w:rPr>
      </w:pPr>
    </w:p>
    <w:p w14:paraId="2B78559F" w14:textId="59BBA74C" w:rsidR="000D51E3" w:rsidRPr="00174414" w:rsidRDefault="000D51E3" w:rsidP="000D51E3">
      <w:pPr>
        <w:tabs>
          <w:tab w:val="left" w:pos="3437"/>
        </w:tabs>
        <w:rPr>
          <w:rFonts w:ascii="Verdana" w:hAnsi="Verdana"/>
        </w:rPr>
      </w:pPr>
      <w:r w:rsidRPr="00174414">
        <w:rPr>
          <w:rFonts w:ascii="Verdana" w:hAnsi="Verdana"/>
        </w:rPr>
        <w:tab/>
      </w:r>
    </w:p>
    <w:p w14:paraId="5CA3AC7D" w14:textId="77777777" w:rsidR="000D51E3" w:rsidRPr="00174414" w:rsidRDefault="000D51E3" w:rsidP="000D51E3">
      <w:pPr>
        <w:rPr>
          <w:rFonts w:ascii="Verdana" w:hAnsi="Verdana"/>
        </w:rPr>
      </w:pPr>
    </w:p>
    <w:p w14:paraId="3BDF19D0" w14:textId="77777777" w:rsidR="000D51E3" w:rsidRPr="00174414" w:rsidRDefault="000D51E3" w:rsidP="000D51E3">
      <w:pPr>
        <w:rPr>
          <w:rFonts w:ascii="Verdana" w:hAnsi="Verdana"/>
        </w:rPr>
        <w:sectPr w:rsidR="000D51E3" w:rsidRPr="00174414" w:rsidSect="004D4CF7">
          <w:headerReference w:type="default" r:id="rId17"/>
          <w:pgSz w:w="11906" w:h="16838" w:code="9"/>
          <w:pgMar w:top="1701" w:right="851" w:bottom="1418" w:left="1418" w:header="907" w:footer="720" w:gutter="0"/>
          <w:cols w:space="720"/>
          <w:docGrid w:linePitch="360"/>
        </w:sectPr>
      </w:pPr>
    </w:p>
    <w:p w14:paraId="78EE057E" w14:textId="3FC455C2" w:rsidR="00F26FC0" w:rsidRPr="00174414" w:rsidRDefault="3210DB5B" w:rsidP="1133C28C">
      <w:pPr>
        <w:pStyle w:val="EFSAHeading1"/>
        <w:ind w:left="720"/>
        <w:rPr>
          <w:color w:val="auto"/>
        </w:rPr>
      </w:pPr>
      <w:bookmarkStart w:id="2" w:name="_Toc114058784"/>
      <w:bookmarkStart w:id="3" w:name="_Toc1547375165"/>
      <w:r w:rsidRPr="00174414">
        <w:rPr>
          <w:color w:val="auto"/>
        </w:rPr>
        <w:lastRenderedPageBreak/>
        <w:t xml:space="preserve">E.1 </w:t>
      </w:r>
      <w:r w:rsidR="003043C9" w:rsidRPr="00174414">
        <w:rPr>
          <w:color w:val="auto"/>
        </w:rPr>
        <w:t>Introduction</w:t>
      </w:r>
      <w:bookmarkEnd w:id="2"/>
      <w:bookmarkEnd w:id="3"/>
    </w:p>
    <w:p w14:paraId="14018F12" w14:textId="71AE5738" w:rsidR="002F0B97" w:rsidRPr="00174414" w:rsidRDefault="41166A10" w:rsidP="002F0B97">
      <w:pPr>
        <w:pStyle w:val="EFSAHeading2"/>
        <w:rPr>
          <w:color w:val="auto"/>
        </w:rPr>
      </w:pPr>
      <w:bookmarkStart w:id="4" w:name="_Toc1187918459"/>
      <w:r w:rsidRPr="00174414">
        <w:rPr>
          <w:color w:val="auto"/>
        </w:rPr>
        <w:t>E.</w:t>
      </w:r>
      <w:r w:rsidR="001C6834" w:rsidRPr="00174414">
        <w:rPr>
          <w:color w:val="auto"/>
        </w:rPr>
        <w:t xml:space="preserve">1.1 </w:t>
      </w:r>
      <w:r w:rsidR="002F0B97" w:rsidRPr="00174414">
        <w:rPr>
          <w:color w:val="auto"/>
        </w:rPr>
        <w:t>Rationale for the public consultation and summary of its outcome</w:t>
      </w:r>
      <w:bookmarkEnd w:id="4"/>
    </w:p>
    <w:p w14:paraId="5E55B72C" w14:textId="38D111BF" w:rsidR="00B90069" w:rsidRPr="00174414" w:rsidRDefault="00C10DA7" w:rsidP="00BB7DC6">
      <w:pPr>
        <w:pStyle w:val="EFSABodytext"/>
        <w:rPr>
          <w:color w:val="auto"/>
        </w:rPr>
      </w:pPr>
      <w:r w:rsidRPr="00174414">
        <w:rPr>
          <w:color w:val="auto"/>
        </w:rPr>
        <w:t xml:space="preserve">In line with EFSA’s policy on openness and transparency, and for EFSA to receive comments on its work from the scientific community and stakeholders, EFSA engages in public consultations on key topics. Accordingly, the </w:t>
      </w:r>
      <w:r w:rsidR="00A9650F" w:rsidRPr="00174414">
        <w:rPr>
          <w:color w:val="auto"/>
        </w:rPr>
        <w:t>d</w:t>
      </w:r>
      <w:r w:rsidR="00BC13A8" w:rsidRPr="00174414">
        <w:rPr>
          <w:color w:val="auto"/>
        </w:rPr>
        <w:t xml:space="preserve">raft scientific </w:t>
      </w:r>
      <w:r w:rsidR="00411859" w:rsidRPr="00174414">
        <w:rPr>
          <w:color w:val="auto"/>
        </w:rPr>
        <w:t>O</w:t>
      </w:r>
      <w:r w:rsidR="00BC13A8" w:rsidRPr="00174414">
        <w:rPr>
          <w:color w:val="auto"/>
        </w:rPr>
        <w:t xml:space="preserve">pinion on </w:t>
      </w:r>
      <w:r w:rsidR="00A9650F" w:rsidRPr="00174414">
        <w:rPr>
          <w:color w:val="auto"/>
        </w:rPr>
        <w:t>the derivation of a health-based guidance value for Δ</w:t>
      </w:r>
      <w:r w:rsidR="00A9650F" w:rsidRPr="00174414">
        <w:rPr>
          <w:color w:val="auto"/>
          <w:vertAlign w:val="superscript"/>
        </w:rPr>
        <w:t>8</w:t>
      </w:r>
      <w:r w:rsidR="00A9650F" w:rsidRPr="00174414">
        <w:rPr>
          <w:color w:val="auto"/>
        </w:rPr>
        <w:t>-tetrahydrocannabinol (Δ</w:t>
      </w:r>
      <w:r w:rsidR="00A9650F" w:rsidRPr="00174414">
        <w:rPr>
          <w:color w:val="auto"/>
          <w:vertAlign w:val="superscript"/>
        </w:rPr>
        <w:t>8</w:t>
      </w:r>
      <w:r w:rsidR="00A9650F" w:rsidRPr="00174414">
        <w:rPr>
          <w:color w:val="auto"/>
        </w:rPr>
        <w:t xml:space="preserve">-THC) and its occurrence in food </w:t>
      </w:r>
      <w:r w:rsidRPr="00174414">
        <w:rPr>
          <w:color w:val="auto"/>
        </w:rPr>
        <w:t>together with its Annexes was</w:t>
      </w:r>
      <w:r w:rsidR="00CE77CD" w:rsidRPr="00174414">
        <w:rPr>
          <w:color w:val="auto"/>
        </w:rPr>
        <w:t xml:space="preserve"> endorsed for public consultation by the CONTAM Panel on 10 July and</w:t>
      </w:r>
      <w:r w:rsidRPr="00174414">
        <w:rPr>
          <w:color w:val="auto"/>
        </w:rPr>
        <w:t xml:space="preserve"> released electronically for public consultation from </w:t>
      </w:r>
      <w:r w:rsidR="00564B3A" w:rsidRPr="00174414">
        <w:rPr>
          <w:color w:val="auto"/>
        </w:rPr>
        <w:t>31</w:t>
      </w:r>
      <w:r w:rsidR="00564B3A" w:rsidRPr="00174414">
        <w:rPr>
          <w:color w:val="auto"/>
          <w:vertAlign w:val="superscript"/>
        </w:rPr>
        <w:t>st</w:t>
      </w:r>
      <w:r w:rsidRPr="00174414">
        <w:rPr>
          <w:color w:val="auto"/>
        </w:rPr>
        <w:t xml:space="preserve"> </w:t>
      </w:r>
      <w:r w:rsidR="00456EEC" w:rsidRPr="00174414">
        <w:rPr>
          <w:color w:val="auto"/>
        </w:rPr>
        <w:t>July</w:t>
      </w:r>
      <w:r w:rsidRPr="00174414">
        <w:rPr>
          <w:color w:val="auto"/>
        </w:rPr>
        <w:t xml:space="preserve"> 202</w:t>
      </w:r>
      <w:r w:rsidR="00456EEC" w:rsidRPr="00174414">
        <w:rPr>
          <w:color w:val="auto"/>
        </w:rPr>
        <w:t>5</w:t>
      </w:r>
      <w:r w:rsidRPr="00174414">
        <w:rPr>
          <w:color w:val="auto"/>
        </w:rPr>
        <w:t xml:space="preserve"> until </w:t>
      </w:r>
      <w:r w:rsidR="00456EEC" w:rsidRPr="00174414">
        <w:rPr>
          <w:color w:val="auto"/>
        </w:rPr>
        <w:t>15</w:t>
      </w:r>
      <w:r w:rsidR="00D302F9" w:rsidRPr="00174414">
        <w:rPr>
          <w:color w:val="auto"/>
          <w:vertAlign w:val="superscript"/>
        </w:rPr>
        <w:t>th</w:t>
      </w:r>
      <w:r w:rsidRPr="00174414">
        <w:rPr>
          <w:color w:val="auto"/>
        </w:rPr>
        <w:t xml:space="preserve"> </w:t>
      </w:r>
      <w:r w:rsidR="00456EEC" w:rsidRPr="00174414">
        <w:rPr>
          <w:color w:val="auto"/>
        </w:rPr>
        <w:t>September</w:t>
      </w:r>
      <w:r w:rsidRPr="00174414">
        <w:rPr>
          <w:color w:val="auto"/>
        </w:rPr>
        <w:t xml:space="preserve"> 202</w:t>
      </w:r>
      <w:r w:rsidR="00D302F9" w:rsidRPr="00174414">
        <w:rPr>
          <w:color w:val="auto"/>
        </w:rPr>
        <w:t>5</w:t>
      </w:r>
      <w:r w:rsidRPr="00174414">
        <w:rPr>
          <w:color w:val="auto"/>
        </w:rPr>
        <w:t xml:space="preserve"> by means of an e-submission tool. The comments were made publicly available immediately after the closure of the public consultation in Open EFSA.</w:t>
      </w:r>
    </w:p>
    <w:p w14:paraId="1960EB54" w14:textId="20D91192" w:rsidR="000430DC" w:rsidRPr="00174414" w:rsidRDefault="00C10DA7" w:rsidP="00C10DA7">
      <w:pPr>
        <w:pStyle w:val="EFSABodytext"/>
        <w:rPr>
          <w:rFonts w:cs="Times New Roman (Corps CS)"/>
          <w:color w:val="auto"/>
          <w:spacing w:val="5"/>
        </w:rPr>
      </w:pPr>
      <w:r w:rsidRPr="00174414">
        <w:rPr>
          <w:color w:val="auto"/>
        </w:rPr>
        <w:t xml:space="preserve">Comments were received in the electronical tool from </w:t>
      </w:r>
      <w:r w:rsidR="000545AF" w:rsidRPr="00174414">
        <w:rPr>
          <w:color w:val="auto"/>
        </w:rPr>
        <w:t>two</w:t>
      </w:r>
      <w:r w:rsidR="000A78F0" w:rsidRPr="00174414">
        <w:rPr>
          <w:color w:val="auto"/>
        </w:rPr>
        <w:t xml:space="preserve"> i</w:t>
      </w:r>
      <w:r w:rsidRPr="00174414">
        <w:rPr>
          <w:color w:val="auto"/>
        </w:rPr>
        <w:t xml:space="preserve">nterested parties from </w:t>
      </w:r>
      <w:r w:rsidR="003411F2" w:rsidRPr="00174414">
        <w:rPr>
          <w:color w:val="auto"/>
        </w:rPr>
        <w:t>two</w:t>
      </w:r>
      <w:r w:rsidRPr="00174414">
        <w:rPr>
          <w:color w:val="auto"/>
        </w:rPr>
        <w:t xml:space="preserve"> countries. </w:t>
      </w:r>
      <w:r w:rsidRPr="00174414">
        <w:rPr>
          <w:b/>
          <w:bCs/>
          <w:color w:val="auto"/>
        </w:rPr>
        <w:t xml:space="preserve">Table </w:t>
      </w:r>
      <w:r w:rsidR="30B363E0" w:rsidRPr="00174414">
        <w:rPr>
          <w:b/>
          <w:bCs/>
          <w:color w:val="auto"/>
        </w:rPr>
        <w:t>E</w:t>
      </w:r>
      <w:r w:rsidR="03D58E58" w:rsidRPr="00174414">
        <w:rPr>
          <w:b/>
          <w:bCs/>
          <w:color w:val="auto"/>
        </w:rPr>
        <w:t>.</w:t>
      </w:r>
      <w:r w:rsidRPr="00174414">
        <w:rPr>
          <w:b/>
          <w:bCs/>
          <w:color w:val="auto"/>
        </w:rPr>
        <w:t>1</w:t>
      </w:r>
      <w:r w:rsidRPr="00174414">
        <w:rPr>
          <w:color w:val="auto"/>
        </w:rPr>
        <w:t xml:space="preserve"> provides an overview on the interested parties that have submitted comments through the electronic submission.</w:t>
      </w:r>
    </w:p>
    <w:p w14:paraId="3630AEE9" w14:textId="2F92B581" w:rsidR="00CD397D" w:rsidRPr="00174414" w:rsidRDefault="432356D8" w:rsidP="1133C28C">
      <w:pPr>
        <w:pStyle w:val="EFSATabletitle"/>
        <w:numPr>
          <w:ilvl w:val="0"/>
          <w:numId w:val="0"/>
        </w:numPr>
        <w:rPr>
          <w:color w:val="auto"/>
        </w:rPr>
      </w:pPr>
      <w:r w:rsidRPr="00174414">
        <w:rPr>
          <w:b/>
          <w:bCs/>
          <w:color w:val="auto"/>
        </w:rPr>
        <w:t xml:space="preserve">Table </w:t>
      </w:r>
      <w:r w:rsidR="6DF6FEFE" w:rsidRPr="00174414">
        <w:rPr>
          <w:b/>
          <w:bCs/>
          <w:color w:val="auto"/>
        </w:rPr>
        <w:t>E</w:t>
      </w:r>
      <w:r w:rsidRPr="00174414">
        <w:rPr>
          <w:b/>
          <w:bCs/>
          <w:color w:val="auto"/>
        </w:rPr>
        <w:t>.1:</w:t>
      </w:r>
      <w:r w:rsidRPr="00174414">
        <w:rPr>
          <w:color w:val="auto"/>
        </w:rPr>
        <w:t xml:space="preserve"> </w:t>
      </w:r>
      <w:r w:rsidR="00C10DA7" w:rsidRPr="00174414">
        <w:rPr>
          <w:color w:val="auto"/>
        </w:rPr>
        <w:t>Overview of stakeholder comments</w:t>
      </w:r>
    </w:p>
    <w:tbl>
      <w:tblPr>
        <w:tblStyle w:val="EFSAtable"/>
        <w:tblW w:w="9634" w:type="dxa"/>
        <w:tblLook w:val="04A0" w:firstRow="1" w:lastRow="0" w:firstColumn="1" w:lastColumn="0" w:noHBand="0" w:noVBand="1"/>
      </w:tblPr>
      <w:tblGrid>
        <w:gridCol w:w="4293"/>
        <w:gridCol w:w="3583"/>
        <w:gridCol w:w="1758"/>
      </w:tblGrid>
      <w:tr w:rsidR="00174414" w:rsidRPr="00174414" w14:paraId="6C6EEE37" w14:textId="77777777" w:rsidTr="00421158">
        <w:trPr>
          <w:cnfStyle w:val="100000000000" w:firstRow="1" w:lastRow="0" w:firstColumn="0" w:lastColumn="0" w:oddVBand="0" w:evenVBand="0" w:oddHBand="0" w:evenHBand="0" w:firstRowFirstColumn="0" w:firstRowLastColumn="0" w:lastRowFirstColumn="0" w:lastRowLastColumn="0"/>
          <w:trHeight w:val="396"/>
        </w:trPr>
        <w:tc>
          <w:tcPr>
            <w:tcW w:w="4293" w:type="dxa"/>
          </w:tcPr>
          <w:p w14:paraId="04B2FFBC" w14:textId="7FCE4FF2" w:rsidR="005B5B05" w:rsidRPr="00174414" w:rsidRDefault="005B5B05" w:rsidP="002F0B97">
            <w:pPr>
              <w:pStyle w:val="EFSATableheadingrow"/>
              <w:rPr>
                <w:b w:val="0"/>
                <w:color w:val="auto"/>
              </w:rPr>
            </w:pPr>
            <w:r w:rsidRPr="00174414">
              <w:rPr>
                <w:color w:val="auto"/>
              </w:rPr>
              <w:t>Stakeholder</w:t>
            </w:r>
          </w:p>
        </w:tc>
        <w:tc>
          <w:tcPr>
            <w:tcW w:w="3583" w:type="dxa"/>
          </w:tcPr>
          <w:p w14:paraId="62096FAA" w14:textId="4B21064E" w:rsidR="005B5B05" w:rsidRPr="00174414" w:rsidRDefault="005B5B05" w:rsidP="002F0B97">
            <w:pPr>
              <w:pStyle w:val="EFSATableheadingrow"/>
              <w:rPr>
                <w:b w:val="0"/>
                <w:color w:val="auto"/>
              </w:rPr>
            </w:pPr>
            <w:r w:rsidRPr="00174414">
              <w:rPr>
                <w:color w:val="auto"/>
              </w:rPr>
              <w:t>Category</w:t>
            </w:r>
            <w:r w:rsidRPr="00174414">
              <w:rPr>
                <w:color w:val="auto"/>
                <w:vertAlign w:val="superscript"/>
              </w:rPr>
              <w:t>(a)</w:t>
            </w:r>
          </w:p>
        </w:tc>
        <w:tc>
          <w:tcPr>
            <w:tcW w:w="1758" w:type="dxa"/>
          </w:tcPr>
          <w:p w14:paraId="1F0DB895" w14:textId="034FD6F2" w:rsidR="005B5B05" w:rsidRPr="00174414" w:rsidRDefault="005B5B05" w:rsidP="002F0B97">
            <w:pPr>
              <w:pStyle w:val="EFSATableheadingrow"/>
              <w:rPr>
                <w:b w:val="0"/>
                <w:color w:val="auto"/>
              </w:rPr>
            </w:pPr>
            <w:r w:rsidRPr="00174414">
              <w:rPr>
                <w:color w:val="auto"/>
              </w:rPr>
              <w:t>Country</w:t>
            </w:r>
          </w:p>
        </w:tc>
      </w:tr>
      <w:tr w:rsidR="00174414" w:rsidRPr="00174414" w14:paraId="50EAE607" w14:textId="663CF59F" w:rsidTr="00421158">
        <w:trPr>
          <w:trHeight w:val="423"/>
        </w:trPr>
        <w:tc>
          <w:tcPr>
            <w:tcW w:w="4293" w:type="dxa"/>
          </w:tcPr>
          <w:p w14:paraId="12812C68" w14:textId="63040761" w:rsidR="005B5B05" w:rsidRPr="00174414" w:rsidRDefault="00311AAE" w:rsidP="002F0B97">
            <w:pPr>
              <w:pStyle w:val="EFSATablefirstcolumn"/>
              <w:rPr>
                <w:color w:val="auto"/>
              </w:rPr>
            </w:pPr>
            <w:r w:rsidRPr="00174414">
              <w:rPr>
                <w:color w:val="auto"/>
              </w:rPr>
              <w:t xml:space="preserve">BFR - </w:t>
            </w:r>
            <w:proofErr w:type="spellStart"/>
            <w:r w:rsidRPr="00174414">
              <w:rPr>
                <w:color w:val="auto"/>
              </w:rPr>
              <w:t>Bundesinstitut</w:t>
            </w:r>
            <w:proofErr w:type="spellEnd"/>
            <w:r w:rsidRPr="00174414">
              <w:rPr>
                <w:color w:val="auto"/>
              </w:rPr>
              <w:t xml:space="preserve"> für </w:t>
            </w:r>
            <w:proofErr w:type="spellStart"/>
            <w:r w:rsidRPr="00174414">
              <w:rPr>
                <w:color w:val="auto"/>
              </w:rPr>
              <w:t>Risikobewertung</w:t>
            </w:r>
            <w:proofErr w:type="spellEnd"/>
          </w:p>
        </w:tc>
        <w:tc>
          <w:tcPr>
            <w:tcW w:w="3583" w:type="dxa"/>
          </w:tcPr>
          <w:p w14:paraId="00913A8C" w14:textId="0509BA0C" w:rsidR="005B5B05" w:rsidRPr="00174414" w:rsidRDefault="6E6C778A" w:rsidP="002F0B97">
            <w:pPr>
              <w:pStyle w:val="EFSATabledata"/>
              <w:rPr>
                <w:color w:val="auto"/>
              </w:rPr>
            </w:pPr>
            <w:r w:rsidRPr="00174414">
              <w:rPr>
                <w:color w:val="auto"/>
              </w:rPr>
              <w:t>Public Authority in EU Member State</w:t>
            </w:r>
          </w:p>
        </w:tc>
        <w:tc>
          <w:tcPr>
            <w:tcW w:w="1758" w:type="dxa"/>
          </w:tcPr>
          <w:p w14:paraId="4BA7BCFD" w14:textId="65B8B79D" w:rsidR="005B5B05" w:rsidRPr="00174414" w:rsidRDefault="00C37F12" w:rsidP="002F0B97">
            <w:pPr>
              <w:pStyle w:val="EFSATabledata"/>
              <w:rPr>
                <w:color w:val="auto"/>
              </w:rPr>
            </w:pPr>
            <w:r w:rsidRPr="00174414">
              <w:rPr>
                <w:color w:val="auto"/>
              </w:rPr>
              <w:t>Germany</w:t>
            </w:r>
          </w:p>
        </w:tc>
      </w:tr>
      <w:tr w:rsidR="00174414" w:rsidRPr="00174414" w14:paraId="40D8DA22" w14:textId="7D0A02C8" w:rsidTr="00421158">
        <w:trPr>
          <w:trHeight w:val="645"/>
        </w:trPr>
        <w:tc>
          <w:tcPr>
            <w:tcW w:w="4293" w:type="dxa"/>
          </w:tcPr>
          <w:p w14:paraId="5E8774C1" w14:textId="0DCCE9D1" w:rsidR="00DF2051" w:rsidRPr="00174414" w:rsidRDefault="00C37F12" w:rsidP="00DF2051">
            <w:pPr>
              <w:pStyle w:val="EFSATablefirstcolumn"/>
              <w:rPr>
                <w:color w:val="auto"/>
              </w:rPr>
            </w:pPr>
            <w:r w:rsidRPr="00174414">
              <w:rPr>
                <w:color w:val="auto"/>
              </w:rPr>
              <w:t>UK Committee on Toxicity</w:t>
            </w:r>
          </w:p>
        </w:tc>
        <w:tc>
          <w:tcPr>
            <w:tcW w:w="3583" w:type="dxa"/>
          </w:tcPr>
          <w:p w14:paraId="0D9704A1" w14:textId="1EA880A2" w:rsidR="00DF2051" w:rsidRPr="00174414" w:rsidRDefault="0E213DCE" w:rsidP="00DF2051">
            <w:pPr>
              <w:pStyle w:val="EFSATabledata"/>
              <w:rPr>
                <w:color w:val="auto"/>
              </w:rPr>
            </w:pPr>
            <w:r w:rsidRPr="00174414">
              <w:rPr>
                <w:color w:val="auto"/>
              </w:rPr>
              <w:t>Other</w:t>
            </w:r>
          </w:p>
        </w:tc>
        <w:tc>
          <w:tcPr>
            <w:tcW w:w="1758" w:type="dxa"/>
          </w:tcPr>
          <w:p w14:paraId="0419C0CD" w14:textId="5DDFB10E" w:rsidR="00DF2051" w:rsidRPr="00174414" w:rsidRDefault="0005776B" w:rsidP="00DF2051">
            <w:pPr>
              <w:pStyle w:val="EFSATabledata"/>
              <w:rPr>
                <w:color w:val="auto"/>
              </w:rPr>
            </w:pPr>
            <w:r w:rsidRPr="00174414">
              <w:rPr>
                <w:color w:val="auto"/>
              </w:rPr>
              <w:t>United Kingdom (excluding Northern Ireland)</w:t>
            </w:r>
          </w:p>
        </w:tc>
      </w:tr>
    </w:tbl>
    <w:p w14:paraId="59D4AC78" w14:textId="77777777" w:rsidR="002F0B97" w:rsidRPr="00174414" w:rsidRDefault="00307CA8" w:rsidP="002F0B97">
      <w:pPr>
        <w:pStyle w:val="EFSATablefootnote"/>
        <w:rPr>
          <w:color w:val="auto"/>
        </w:rPr>
      </w:pPr>
      <w:r w:rsidRPr="00174414">
        <w:rPr>
          <w:color w:val="auto"/>
        </w:rPr>
        <w:t>(a):</w:t>
      </w:r>
      <w:r w:rsidRPr="00174414">
        <w:rPr>
          <w:color w:val="auto"/>
        </w:rPr>
        <w:tab/>
      </w:r>
      <w:r w:rsidR="005B5B05" w:rsidRPr="00174414">
        <w:rPr>
          <w:color w:val="auto"/>
        </w:rPr>
        <w:t>As indicated by the stakeholder</w:t>
      </w:r>
    </w:p>
    <w:p w14:paraId="4037F7E7" w14:textId="04E61D07" w:rsidR="002F0B97" w:rsidRPr="00174414" w:rsidRDefault="66CE3B02" w:rsidP="002F0B97">
      <w:pPr>
        <w:pStyle w:val="EFSAHeading2"/>
        <w:rPr>
          <w:color w:val="auto"/>
        </w:rPr>
      </w:pPr>
      <w:bookmarkStart w:id="5" w:name="_Toc607905562"/>
      <w:r w:rsidRPr="00174414">
        <w:rPr>
          <w:color w:val="auto"/>
        </w:rPr>
        <w:t>E.</w:t>
      </w:r>
      <w:r w:rsidR="00854971" w:rsidRPr="00174414">
        <w:rPr>
          <w:color w:val="auto"/>
        </w:rPr>
        <w:t xml:space="preserve">1.2 </w:t>
      </w:r>
      <w:r w:rsidR="002F0B97" w:rsidRPr="00174414">
        <w:rPr>
          <w:color w:val="auto"/>
        </w:rPr>
        <w:t xml:space="preserve">Assessment of comments and use for finalisation of the </w:t>
      </w:r>
      <w:r w:rsidR="00060534">
        <w:rPr>
          <w:color w:val="auto"/>
        </w:rPr>
        <w:t>o</w:t>
      </w:r>
      <w:r w:rsidR="002F0B97" w:rsidRPr="00174414">
        <w:rPr>
          <w:color w:val="auto"/>
        </w:rPr>
        <w:t>pinion</w:t>
      </w:r>
      <w:bookmarkEnd w:id="5"/>
    </w:p>
    <w:p w14:paraId="724F8F8A" w14:textId="04409E2F" w:rsidR="00B16B16" w:rsidRPr="00174414" w:rsidRDefault="00B16B16" w:rsidP="00B16B16">
      <w:pPr>
        <w:pStyle w:val="EFSABodytext"/>
        <w:rPr>
          <w:color w:val="auto"/>
        </w:rPr>
      </w:pPr>
      <w:r w:rsidRPr="00174414">
        <w:rPr>
          <w:color w:val="auto"/>
        </w:rPr>
        <w:t xml:space="preserve">The comments received were duly evaluated by the EFSA WG on </w:t>
      </w:r>
      <w:r w:rsidR="600C16EF" w:rsidRPr="00174414">
        <w:rPr>
          <w:color w:val="auto"/>
        </w:rPr>
        <w:t>Δ</w:t>
      </w:r>
      <w:r w:rsidR="600C16EF" w:rsidRPr="00174414">
        <w:rPr>
          <w:color w:val="auto"/>
          <w:vertAlign w:val="superscript"/>
        </w:rPr>
        <w:t>8</w:t>
      </w:r>
      <w:r w:rsidR="600C16EF" w:rsidRPr="00174414">
        <w:rPr>
          <w:color w:val="auto"/>
        </w:rPr>
        <w:t>-THC</w:t>
      </w:r>
      <w:r w:rsidR="005067E1" w:rsidRPr="00174414">
        <w:rPr>
          <w:color w:val="auto"/>
        </w:rPr>
        <w:t xml:space="preserve"> </w:t>
      </w:r>
      <w:r w:rsidRPr="00174414">
        <w:rPr>
          <w:color w:val="auto"/>
        </w:rPr>
        <w:t xml:space="preserve">and </w:t>
      </w:r>
      <w:r w:rsidR="005067E1" w:rsidRPr="00174414">
        <w:rPr>
          <w:color w:val="auto"/>
        </w:rPr>
        <w:t xml:space="preserve">EFSA’s </w:t>
      </w:r>
      <w:r w:rsidR="00CE77CD" w:rsidRPr="00174414">
        <w:rPr>
          <w:color w:val="auto"/>
        </w:rPr>
        <w:t>CONTAM Panel on 1 October</w:t>
      </w:r>
      <w:r w:rsidR="004D57E1" w:rsidRPr="00174414">
        <w:rPr>
          <w:color w:val="auto"/>
        </w:rPr>
        <w:t xml:space="preserve"> and </w:t>
      </w:r>
      <w:r w:rsidRPr="00174414">
        <w:rPr>
          <w:color w:val="auto"/>
        </w:rPr>
        <w:t xml:space="preserve">wherever appropriate taken into account for the finalisation of the draft Opinion. </w:t>
      </w:r>
      <w:r w:rsidRPr="00174414">
        <w:rPr>
          <w:b/>
          <w:bCs/>
          <w:color w:val="auto"/>
        </w:rPr>
        <w:t xml:space="preserve">Table </w:t>
      </w:r>
      <w:r w:rsidR="7932551E" w:rsidRPr="00174414">
        <w:rPr>
          <w:b/>
          <w:bCs/>
          <w:color w:val="auto"/>
        </w:rPr>
        <w:t>E.</w:t>
      </w:r>
      <w:r w:rsidRPr="00174414">
        <w:rPr>
          <w:b/>
          <w:bCs/>
          <w:color w:val="auto"/>
        </w:rPr>
        <w:t>2</w:t>
      </w:r>
      <w:r w:rsidRPr="00174414">
        <w:rPr>
          <w:color w:val="auto"/>
        </w:rPr>
        <w:t xml:space="preserve"> provides a detailed list with all comments received from interested parties together with EFSA responses and explanations how the comments were considered in the final Opinion. Some comments, especially those suggesting editorial changes, have been directly addressed in the text of the Opinion, if they were considered appropriate.</w:t>
      </w:r>
    </w:p>
    <w:p w14:paraId="6B5D167F" w14:textId="7AFEEEC1" w:rsidR="00255BD7" w:rsidRPr="00174414" w:rsidRDefault="00B16B16" w:rsidP="00255BD7">
      <w:pPr>
        <w:pStyle w:val="EFSABodytext"/>
        <w:rPr>
          <w:color w:val="auto"/>
        </w:rPr>
        <w:sectPr w:rsidR="00255BD7" w:rsidRPr="00174414" w:rsidSect="006A05D9">
          <w:pgSz w:w="11906" w:h="16838" w:code="9"/>
          <w:pgMar w:top="1701" w:right="851" w:bottom="1418" w:left="1418" w:header="907" w:footer="720" w:gutter="0"/>
          <w:cols w:space="720"/>
          <w:docGrid w:linePitch="360"/>
        </w:sectPr>
      </w:pPr>
      <w:r w:rsidRPr="00174414">
        <w:rPr>
          <w:color w:val="auto"/>
        </w:rPr>
        <w:t xml:space="preserve">EFSA wishes to thank all stakeholders providing comments during the public consultation of </w:t>
      </w:r>
      <w:r w:rsidR="007921A8" w:rsidRPr="00174414">
        <w:rPr>
          <w:color w:val="auto"/>
        </w:rPr>
        <w:t xml:space="preserve">the </w:t>
      </w:r>
      <w:r w:rsidR="005E6B2F" w:rsidRPr="00174414">
        <w:rPr>
          <w:color w:val="auto"/>
        </w:rPr>
        <w:t>draft scientific opinion on the derivation of a health-based guidance value for Δ</w:t>
      </w:r>
      <w:r w:rsidR="005E6B2F" w:rsidRPr="00174414">
        <w:rPr>
          <w:color w:val="auto"/>
          <w:vertAlign w:val="superscript"/>
        </w:rPr>
        <w:t>8</w:t>
      </w:r>
      <w:r w:rsidR="005E6B2F" w:rsidRPr="00174414">
        <w:rPr>
          <w:color w:val="auto"/>
        </w:rPr>
        <w:t>-THC and its occurrence in fo</w:t>
      </w:r>
      <w:r w:rsidR="00AF09AC" w:rsidRPr="00174414">
        <w:rPr>
          <w:color w:val="auto"/>
        </w:rPr>
        <w:t>od.</w:t>
      </w:r>
    </w:p>
    <w:p w14:paraId="41D561F6" w14:textId="31D31749" w:rsidR="2CC153D8" w:rsidRPr="00174414" w:rsidRDefault="2CC153D8" w:rsidP="318AE50C">
      <w:pPr>
        <w:pStyle w:val="EFSATabletitle"/>
        <w:numPr>
          <w:ilvl w:val="0"/>
          <w:numId w:val="0"/>
        </w:numPr>
        <w:rPr>
          <w:b/>
          <w:bCs/>
          <w:color w:val="auto"/>
        </w:rPr>
      </w:pPr>
      <w:r w:rsidRPr="00174414">
        <w:rPr>
          <w:b/>
          <w:bCs/>
          <w:color w:val="auto"/>
        </w:rPr>
        <w:lastRenderedPageBreak/>
        <w:t xml:space="preserve">Comment received: </w:t>
      </w:r>
    </w:p>
    <w:p w14:paraId="7E09968F" w14:textId="06756668" w:rsidR="0073758A" w:rsidRPr="00174414" w:rsidRDefault="0FA2BB5C" w:rsidP="1133C28C">
      <w:pPr>
        <w:pStyle w:val="EFSATabletitle"/>
        <w:numPr>
          <w:ilvl w:val="0"/>
          <w:numId w:val="0"/>
        </w:numPr>
        <w:rPr>
          <w:color w:val="auto"/>
        </w:rPr>
      </w:pPr>
      <w:r w:rsidRPr="00174414">
        <w:rPr>
          <w:b/>
          <w:bCs/>
          <w:color w:val="auto"/>
        </w:rPr>
        <w:t>Table E.2</w:t>
      </w:r>
      <w:r w:rsidRPr="00174414">
        <w:rPr>
          <w:color w:val="auto"/>
        </w:rPr>
        <w:t xml:space="preserve">: </w:t>
      </w:r>
      <w:r w:rsidR="0073758A" w:rsidRPr="00174414">
        <w:rPr>
          <w:color w:val="auto"/>
        </w:rPr>
        <w:t>Stakeholder comments and EFSA responses</w:t>
      </w:r>
    </w:p>
    <w:tbl>
      <w:tblPr>
        <w:tblStyle w:val="PlainTable2"/>
        <w:tblpPr w:leftFromText="180" w:rightFromText="180" w:vertAnchor="text" w:tblpXSpec="right" w:tblpY="1"/>
        <w:tblW w:w="0" w:type="auto"/>
        <w:tblLayout w:type="fixed"/>
        <w:tblLook w:val="04A0" w:firstRow="1" w:lastRow="0" w:firstColumn="1" w:lastColumn="0" w:noHBand="0" w:noVBand="1"/>
      </w:tblPr>
      <w:tblGrid>
        <w:gridCol w:w="1323"/>
        <w:gridCol w:w="1969"/>
        <w:gridCol w:w="2252"/>
        <w:gridCol w:w="4589"/>
        <w:gridCol w:w="3586"/>
      </w:tblGrid>
      <w:tr w:rsidR="00174414" w:rsidRPr="00174414" w14:paraId="4C175ED3" w14:textId="167EF533" w:rsidTr="00ED449F">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1323" w:type="dxa"/>
          </w:tcPr>
          <w:p w14:paraId="20842CA5" w14:textId="092EC137" w:rsidR="0073758A" w:rsidRPr="00174414" w:rsidRDefault="0073758A" w:rsidP="00B766A3">
            <w:pPr>
              <w:pStyle w:val="EFSATableheadingrow"/>
              <w:rPr>
                <w:b/>
                <w:color w:val="auto"/>
                <w:sz w:val="20"/>
              </w:rPr>
            </w:pPr>
            <w:r w:rsidRPr="00174414">
              <w:rPr>
                <w:b/>
                <w:color w:val="auto"/>
                <w:sz w:val="20"/>
              </w:rPr>
              <w:t>Comment number</w:t>
            </w:r>
          </w:p>
        </w:tc>
        <w:tc>
          <w:tcPr>
            <w:tcW w:w="1969" w:type="dxa"/>
          </w:tcPr>
          <w:p w14:paraId="09B17050" w14:textId="01A110C4" w:rsidR="0073758A" w:rsidRPr="00174414" w:rsidRDefault="0073758A" w:rsidP="00B766A3">
            <w:pPr>
              <w:pStyle w:val="EFSATableheadingrow"/>
              <w:cnfStyle w:val="100000000000" w:firstRow="1" w:lastRow="0" w:firstColumn="0" w:lastColumn="0" w:oddVBand="0" w:evenVBand="0" w:oddHBand="0" w:evenHBand="0" w:firstRowFirstColumn="0" w:firstRowLastColumn="0" w:lastRowFirstColumn="0" w:lastRowLastColumn="0"/>
              <w:rPr>
                <w:b/>
                <w:color w:val="auto"/>
                <w:sz w:val="20"/>
              </w:rPr>
            </w:pPr>
            <w:r w:rsidRPr="00174414">
              <w:rPr>
                <w:b/>
                <w:color w:val="auto"/>
                <w:sz w:val="20"/>
              </w:rPr>
              <w:t>Stakeholder</w:t>
            </w:r>
          </w:p>
        </w:tc>
        <w:tc>
          <w:tcPr>
            <w:tcW w:w="2252" w:type="dxa"/>
          </w:tcPr>
          <w:p w14:paraId="772E73A4" w14:textId="5BC83BA9" w:rsidR="0073758A" w:rsidRPr="00174414" w:rsidRDefault="0073758A" w:rsidP="00B766A3">
            <w:pPr>
              <w:pStyle w:val="EFSATableheadingrow"/>
              <w:cnfStyle w:val="100000000000" w:firstRow="1" w:lastRow="0" w:firstColumn="0" w:lastColumn="0" w:oddVBand="0" w:evenVBand="0" w:oddHBand="0" w:evenHBand="0" w:firstRowFirstColumn="0" w:firstRowLastColumn="0" w:lastRowFirstColumn="0" w:lastRowLastColumn="0"/>
              <w:rPr>
                <w:b/>
                <w:color w:val="auto"/>
                <w:sz w:val="20"/>
              </w:rPr>
            </w:pPr>
            <w:r w:rsidRPr="00174414">
              <w:rPr>
                <w:b/>
                <w:color w:val="auto"/>
                <w:sz w:val="20"/>
              </w:rPr>
              <w:t>Section</w:t>
            </w:r>
          </w:p>
        </w:tc>
        <w:tc>
          <w:tcPr>
            <w:tcW w:w="4589" w:type="dxa"/>
          </w:tcPr>
          <w:p w14:paraId="2B442CDB" w14:textId="2B039569" w:rsidR="0073758A" w:rsidRPr="00174414" w:rsidRDefault="0073758A" w:rsidP="00B766A3">
            <w:pPr>
              <w:pStyle w:val="EFSATableheadingrow"/>
              <w:jc w:val="both"/>
              <w:cnfStyle w:val="100000000000" w:firstRow="1" w:lastRow="0" w:firstColumn="0" w:lastColumn="0" w:oddVBand="0" w:evenVBand="0" w:oddHBand="0" w:evenHBand="0" w:firstRowFirstColumn="0" w:firstRowLastColumn="0" w:lastRowFirstColumn="0" w:lastRowLastColumn="0"/>
              <w:rPr>
                <w:b/>
                <w:color w:val="auto"/>
                <w:sz w:val="20"/>
              </w:rPr>
            </w:pPr>
            <w:r w:rsidRPr="00174414">
              <w:rPr>
                <w:b/>
                <w:color w:val="auto"/>
                <w:sz w:val="20"/>
              </w:rPr>
              <w:t>Comment</w:t>
            </w:r>
          </w:p>
        </w:tc>
        <w:tc>
          <w:tcPr>
            <w:tcW w:w="3586" w:type="dxa"/>
          </w:tcPr>
          <w:p w14:paraId="1F916897" w14:textId="021458C3" w:rsidR="0073758A" w:rsidRPr="00174414" w:rsidRDefault="00A4000D" w:rsidP="00B766A3">
            <w:pPr>
              <w:pStyle w:val="EFSATableheadingrow"/>
              <w:jc w:val="both"/>
              <w:cnfStyle w:val="100000000000" w:firstRow="1" w:lastRow="0" w:firstColumn="0" w:lastColumn="0" w:oddVBand="0" w:evenVBand="0" w:oddHBand="0" w:evenHBand="0" w:firstRowFirstColumn="0" w:firstRowLastColumn="0" w:lastRowFirstColumn="0" w:lastRowLastColumn="0"/>
              <w:rPr>
                <w:b/>
                <w:color w:val="auto"/>
                <w:sz w:val="20"/>
              </w:rPr>
            </w:pPr>
            <w:r w:rsidRPr="00174414">
              <w:rPr>
                <w:b/>
                <w:color w:val="auto"/>
                <w:sz w:val="20"/>
              </w:rPr>
              <w:t xml:space="preserve">EFSA’s </w:t>
            </w:r>
            <w:r w:rsidR="20C5EB94" w:rsidRPr="00174414">
              <w:rPr>
                <w:b/>
                <w:color w:val="auto"/>
                <w:sz w:val="20"/>
              </w:rPr>
              <w:t>CONTAM Panel response</w:t>
            </w:r>
          </w:p>
        </w:tc>
      </w:tr>
      <w:tr w:rsidR="00174414" w:rsidRPr="00174414" w14:paraId="0B25A21C" w14:textId="28663223" w:rsidTr="00ED449F">
        <w:trPr>
          <w:cnfStyle w:val="000000100000" w:firstRow="0" w:lastRow="0" w:firstColumn="0" w:lastColumn="0" w:oddVBand="0" w:evenVBand="0" w:oddHBand="1" w:evenHBand="0" w:firstRowFirstColumn="0" w:firstRowLastColumn="0" w:lastRowFirstColumn="0" w:lastRowLastColumn="0"/>
          <w:trHeight w:val="1376"/>
        </w:trPr>
        <w:tc>
          <w:tcPr>
            <w:cnfStyle w:val="001000000000" w:firstRow="0" w:lastRow="0" w:firstColumn="1" w:lastColumn="0" w:oddVBand="0" w:evenVBand="0" w:oddHBand="0" w:evenHBand="0" w:firstRowFirstColumn="0" w:firstRowLastColumn="0" w:lastRowFirstColumn="0" w:lastRowLastColumn="0"/>
            <w:tcW w:w="1323" w:type="dxa"/>
          </w:tcPr>
          <w:p w14:paraId="379DB56C" w14:textId="69C77DDB" w:rsidR="00842DBF" w:rsidRPr="00174414" w:rsidRDefault="00156AEB" w:rsidP="00B766A3">
            <w:pPr>
              <w:pStyle w:val="EFSATablefirstcolumn"/>
              <w:rPr>
                <w:color w:val="auto"/>
                <w:sz w:val="20"/>
              </w:rPr>
            </w:pPr>
            <w:r w:rsidRPr="00174414">
              <w:rPr>
                <w:color w:val="auto"/>
                <w:sz w:val="20"/>
              </w:rPr>
              <w:t>1</w:t>
            </w:r>
          </w:p>
        </w:tc>
        <w:tc>
          <w:tcPr>
            <w:tcW w:w="1969" w:type="dxa"/>
          </w:tcPr>
          <w:p w14:paraId="3845B1DF" w14:textId="024CE2E8" w:rsidR="00842DBF" w:rsidRPr="00174414" w:rsidRDefault="0080728D" w:rsidP="00B766A3">
            <w:pPr>
              <w:pStyle w:val="EFSATabledata"/>
              <w:tabs>
                <w:tab w:val="clear" w:pos="454"/>
              </w:tabs>
              <w:cnfStyle w:val="000000100000" w:firstRow="0" w:lastRow="0" w:firstColumn="0" w:lastColumn="0" w:oddVBand="0" w:evenVBand="0" w:oddHBand="1" w:evenHBand="0" w:firstRowFirstColumn="0" w:firstRowLastColumn="0" w:lastRowFirstColumn="0" w:lastRowLastColumn="0"/>
              <w:rPr>
                <w:color w:val="auto"/>
                <w:sz w:val="20"/>
              </w:rPr>
            </w:pPr>
            <w:r w:rsidRPr="00174414">
              <w:rPr>
                <w:color w:val="auto"/>
                <w:sz w:val="20"/>
              </w:rPr>
              <w:t xml:space="preserve">BFR - </w:t>
            </w:r>
            <w:proofErr w:type="spellStart"/>
            <w:r w:rsidRPr="00174414">
              <w:rPr>
                <w:color w:val="auto"/>
                <w:sz w:val="20"/>
              </w:rPr>
              <w:t>Bundesinstitut</w:t>
            </w:r>
            <w:proofErr w:type="spellEnd"/>
            <w:r w:rsidRPr="00174414">
              <w:rPr>
                <w:color w:val="auto"/>
                <w:sz w:val="20"/>
              </w:rPr>
              <w:t xml:space="preserve"> für </w:t>
            </w:r>
            <w:proofErr w:type="spellStart"/>
            <w:r w:rsidRPr="00174414">
              <w:rPr>
                <w:color w:val="auto"/>
                <w:sz w:val="20"/>
              </w:rPr>
              <w:t>Risikobewertung</w:t>
            </w:r>
            <w:proofErr w:type="spellEnd"/>
          </w:p>
        </w:tc>
        <w:tc>
          <w:tcPr>
            <w:tcW w:w="2252" w:type="dxa"/>
          </w:tcPr>
          <w:p w14:paraId="64C59658" w14:textId="2E7FD525" w:rsidR="00842DBF" w:rsidRPr="00174414" w:rsidRDefault="00F90387" w:rsidP="00B766A3">
            <w:pPr>
              <w:pStyle w:val="EFSATabledata"/>
              <w:cnfStyle w:val="000000100000" w:firstRow="0" w:lastRow="0" w:firstColumn="0" w:lastColumn="0" w:oddVBand="0" w:evenVBand="0" w:oddHBand="1" w:evenHBand="0" w:firstRowFirstColumn="0" w:firstRowLastColumn="0" w:lastRowFirstColumn="0" w:lastRowLastColumn="0"/>
              <w:rPr>
                <w:color w:val="auto"/>
                <w:sz w:val="20"/>
              </w:rPr>
            </w:pPr>
            <w:r w:rsidRPr="00174414">
              <w:rPr>
                <w:color w:val="auto"/>
                <w:sz w:val="20"/>
              </w:rPr>
              <w:t>Summary</w:t>
            </w:r>
          </w:p>
        </w:tc>
        <w:tc>
          <w:tcPr>
            <w:tcW w:w="4589" w:type="dxa"/>
          </w:tcPr>
          <w:p w14:paraId="074367D2" w14:textId="77777777" w:rsidR="009D417C" w:rsidRPr="00174414" w:rsidRDefault="001743E6" w:rsidP="00B766A3">
            <w:pPr>
              <w:pStyle w:val="EFSATabledata"/>
              <w:tabs>
                <w:tab w:val="clear" w:pos="454"/>
              </w:tabs>
              <w:jc w:val="both"/>
              <w:cnfStyle w:val="000000100000" w:firstRow="0" w:lastRow="0" w:firstColumn="0" w:lastColumn="0" w:oddVBand="0" w:evenVBand="0" w:oddHBand="1" w:evenHBand="0" w:firstRowFirstColumn="0" w:firstRowLastColumn="0" w:lastRowFirstColumn="0" w:lastRowLastColumn="0"/>
              <w:rPr>
                <w:color w:val="auto"/>
                <w:sz w:val="20"/>
              </w:rPr>
            </w:pPr>
            <w:r w:rsidRPr="00174414">
              <w:rPr>
                <w:color w:val="auto"/>
                <w:sz w:val="20"/>
              </w:rPr>
              <w:t>Thank you very much for preparing this important and well conducted risk assessment on Δ</w:t>
            </w:r>
            <w:r w:rsidRPr="00174414">
              <w:rPr>
                <w:color w:val="auto"/>
                <w:sz w:val="20"/>
                <w:vertAlign w:val="superscript"/>
              </w:rPr>
              <w:t>8</w:t>
            </w:r>
            <w:r w:rsidRPr="00174414">
              <w:rPr>
                <w:color w:val="auto"/>
                <w:sz w:val="20"/>
              </w:rPr>
              <w:t xml:space="preserve">-THC. </w:t>
            </w:r>
          </w:p>
          <w:p w14:paraId="48656F71" w14:textId="609E5A42" w:rsidR="00842DBF" w:rsidRPr="00174414" w:rsidRDefault="001743E6" w:rsidP="00B766A3">
            <w:pPr>
              <w:pStyle w:val="EFSATabledata"/>
              <w:tabs>
                <w:tab w:val="clear" w:pos="454"/>
              </w:tabs>
              <w:jc w:val="both"/>
              <w:cnfStyle w:val="000000100000" w:firstRow="0" w:lastRow="0" w:firstColumn="0" w:lastColumn="0" w:oddVBand="0" w:evenVBand="0" w:oddHBand="1" w:evenHBand="0" w:firstRowFirstColumn="0" w:firstRowLastColumn="0" w:lastRowFirstColumn="0" w:lastRowLastColumn="0"/>
              <w:rPr>
                <w:color w:val="auto"/>
                <w:sz w:val="20"/>
              </w:rPr>
            </w:pPr>
            <w:r w:rsidRPr="00174414">
              <w:rPr>
                <w:color w:val="auto"/>
                <w:sz w:val="20"/>
              </w:rPr>
              <w:t>p. 4-5, lines 113-115, p. 47, lines 1475-1476 and p. 81, lines 2597-2598: The sentence “These conclusions are supported by the QSAR analysis for</w:t>
            </w:r>
            <w:r w:rsidR="00036605" w:rsidRPr="00174414">
              <w:rPr>
                <w:color w:val="auto"/>
                <w:sz w:val="20"/>
              </w:rPr>
              <w:t xml:space="preserve"> </w:t>
            </w:r>
            <w:r w:rsidRPr="00174414">
              <w:rPr>
                <w:color w:val="auto"/>
                <w:sz w:val="20"/>
              </w:rPr>
              <w:t>Δ</w:t>
            </w:r>
            <w:r w:rsidRPr="00174414">
              <w:rPr>
                <w:color w:val="auto"/>
                <w:sz w:val="20"/>
                <w:vertAlign w:val="superscript"/>
              </w:rPr>
              <w:t>8</w:t>
            </w:r>
            <w:r w:rsidRPr="00174414">
              <w:rPr>
                <w:color w:val="auto"/>
                <w:sz w:val="20"/>
              </w:rPr>
              <w:t>-THC and Δ</w:t>
            </w:r>
            <w:r w:rsidRPr="00174414">
              <w:rPr>
                <w:color w:val="auto"/>
                <w:sz w:val="20"/>
                <w:vertAlign w:val="superscript"/>
              </w:rPr>
              <w:t>9</w:t>
            </w:r>
            <w:r w:rsidRPr="00174414">
              <w:rPr>
                <w:color w:val="auto"/>
                <w:sz w:val="20"/>
              </w:rPr>
              <w:t xml:space="preserve">-THC which gives consistently negative predictions for both substances.” may lead to confusion since also positive predictions are described in the annex. The positive predictions may be of low relevance, e. g., due to low reliability of the underlying models. However, slight modifications to the statement above may help to avoid confusions for less experienced readers. </w:t>
            </w:r>
          </w:p>
          <w:p w14:paraId="08C4B66C" w14:textId="5CEFA764" w:rsidR="00842DBF" w:rsidRPr="00174414" w:rsidRDefault="00842DBF" w:rsidP="00B766A3">
            <w:pPr>
              <w:pStyle w:val="EFSATabledata"/>
              <w:tabs>
                <w:tab w:val="clear" w:pos="454"/>
              </w:tabs>
              <w:jc w:val="both"/>
              <w:cnfStyle w:val="000000100000" w:firstRow="0" w:lastRow="0" w:firstColumn="0" w:lastColumn="0" w:oddVBand="0" w:evenVBand="0" w:oddHBand="1" w:evenHBand="0" w:firstRowFirstColumn="0" w:firstRowLastColumn="0" w:lastRowFirstColumn="0" w:lastRowLastColumn="0"/>
              <w:rPr>
                <w:color w:val="auto"/>
                <w:sz w:val="20"/>
              </w:rPr>
            </w:pPr>
          </w:p>
          <w:p w14:paraId="5FB68CA7" w14:textId="4E70935F" w:rsidR="008338CB" w:rsidRPr="008338CB" w:rsidRDefault="001743E6" w:rsidP="009B5F07">
            <w:pPr>
              <w:pStyle w:val="EFSATabledata"/>
              <w:tabs>
                <w:tab w:val="clear" w:pos="454"/>
              </w:tabs>
              <w:jc w:val="both"/>
              <w:cnfStyle w:val="000000100000" w:firstRow="0" w:lastRow="0" w:firstColumn="0" w:lastColumn="0" w:oddVBand="0" w:evenVBand="0" w:oddHBand="1" w:evenHBand="0" w:firstRowFirstColumn="0" w:firstRowLastColumn="0" w:lastRowFirstColumn="0" w:lastRowLastColumn="0"/>
            </w:pPr>
            <w:r w:rsidRPr="00174414">
              <w:rPr>
                <w:color w:val="auto"/>
                <w:sz w:val="20"/>
              </w:rPr>
              <w:t>p. 6, lines 179-180 and p. 83, lines 2673-2674: “Further studies on the transfer rate of Δ</w:t>
            </w:r>
            <w:r w:rsidRPr="00174414">
              <w:rPr>
                <w:color w:val="auto"/>
                <w:sz w:val="20"/>
                <w:vertAlign w:val="superscript"/>
              </w:rPr>
              <w:t>8</w:t>
            </w:r>
            <w:r w:rsidRPr="00174414">
              <w:rPr>
                <w:color w:val="auto"/>
                <w:sz w:val="20"/>
              </w:rPr>
              <w:t>-THC, and its metabolites, into animal products intended for human consumption are needed.</w:t>
            </w:r>
            <w:r w:rsidR="002F1106" w:rsidRPr="00174414">
              <w:rPr>
                <w:color w:val="auto"/>
                <w:sz w:val="20"/>
              </w:rPr>
              <w:t xml:space="preserve"> </w:t>
            </w:r>
            <w:r w:rsidRPr="00174414">
              <w:rPr>
                <w:color w:val="auto"/>
                <w:sz w:val="20"/>
              </w:rPr>
              <w:t>“It should be noted, that for Δ</w:t>
            </w:r>
            <w:r w:rsidRPr="00174414">
              <w:rPr>
                <w:color w:val="auto"/>
                <w:sz w:val="20"/>
                <w:vertAlign w:val="superscript"/>
              </w:rPr>
              <w:t>9</w:t>
            </w:r>
            <w:r w:rsidRPr="00174414">
              <w:rPr>
                <w:color w:val="auto"/>
                <w:sz w:val="20"/>
              </w:rPr>
              <w:t>-THC, data on the transfer from feed to cow milk is available (Wagner et al. 2022, https://doi.org/10.1038/s43016-022-00623-7). Given the high structural similarity and the similar toxicokinetic properties of Δ</w:t>
            </w:r>
            <w:r w:rsidRPr="00174414">
              <w:rPr>
                <w:color w:val="auto"/>
                <w:sz w:val="20"/>
                <w:vertAlign w:val="superscript"/>
              </w:rPr>
              <w:t>9</w:t>
            </w:r>
            <w:r w:rsidRPr="00174414">
              <w:rPr>
                <w:color w:val="auto"/>
                <w:sz w:val="20"/>
              </w:rPr>
              <w:t>-THC and Δ</w:t>
            </w:r>
            <w:r w:rsidRPr="00174414">
              <w:rPr>
                <w:color w:val="auto"/>
                <w:sz w:val="20"/>
                <w:vertAlign w:val="superscript"/>
              </w:rPr>
              <w:t>8</w:t>
            </w:r>
            <w:r w:rsidRPr="00174414">
              <w:rPr>
                <w:color w:val="auto"/>
                <w:sz w:val="20"/>
              </w:rPr>
              <w:t>-THC, it should be considered to include the results from this study in the opinion.</w:t>
            </w:r>
          </w:p>
        </w:tc>
        <w:tc>
          <w:tcPr>
            <w:tcW w:w="3586" w:type="dxa"/>
          </w:tcPr>
          <w:p w14:paraId="19F2D5E9" w14:textId="2175E47D" w:rsidR="005355DA" w:rsidRPr="00174414" w:rsidRDefault="3173CC60" w:rsidP="00B766A3">
            <w:pPr>
              <w:pStyle w:val="EFSATabledata"/>
              <w:jc w:val="both"/>
              <w:cnfStyle w:val="000000100000" w:firstRow="0" w:lastRow="0" w:firstColumn="0" w:lastColumn="0" w:oddVBand="0" w:evenVBand="0" w:oddHBand="1" w:evenHBand="0" w:firstRowFirstColumn="0" w:firstRowLastColumn="0" w:lastRowFirstColumn="0" w:lastRowLastColumn="0"/>
              <w:rPr>
                <w:color w:val="auto"/>
                <w:sz w:val="20"/>
              </w:rPr>
            </w:pPr>
            <w:r w:rsidRPr="00174414">
              <w:rPr>
                <w:color w:val="auto"/>
                <w:sz w:val="20"/>
              </w:rPr>
              <w:t xml:space="preserve">The following amendments were introduced in the opinion </w:t>
            </w:r>
            <w:r w:rsidR="42800D96" w:rsidRPr="00174414">
              <w:rPr>
                <w:color w:val="auto"/>
                <w:sz w:val="20"/>
              </w:rPr>
              <w:t>to clarify this point,</w:t>
            </w:r>
            <w:r w:rsidRPr="00174414">
              <w:rPr>
                <w:color w:val="auto"/>
                <w:sz w:val="20"/>
              </w:rPr>
              <w:t xml:space="preserve"> where relevant</w:t>
            </w:r>
            <w:r w:rsidR="000B5BB1" w:rsidRPr="00174414">
              <w:rPr>
                <w:color w:val="auto"/>
                <w:sz w:val="20"/>
              </w:rPr>
              <w:t xml:space="preserve"> (</w:t>
            </w:r>
            <w:r w:rsidR="002C4313" w:rsidRPr="00174414">
              <w:rPr>
                <w:color w:val="auto"/>
                <w:sz w:val="20"/>
              </w:rPr>
              <w:t xml:space="preserve">Summary, section 3.1.3, </w:t>
            </w:r>
            <w:r w:rsidR="00F7763B" w:rsidRPr="00174414">
              <w:rPr>
                <w:color w:val="auto"/>
                <w:sz w:val="20"/>
              </w:rPr>
              <w:t>section 4)</w:t>
            </w:r>
            <w:r w:rsidR="4AD258FE" w:rsidRPr="00174414">
              <w:rPr>
                <w:color w:val="auto"/>
                <w:sz w:val="20"/>
              </w:rPr>
              <w:t>:</w:t>
            </w:r>
            <w:r w:rsidR="5EFDC96A" w:rsidRPr="00174414">
              <w:rPr>
                <w:color w:val="auto"/>
                <w:sz w:val="20"/>
              </w:rPr>
              <w:t xml:space="preserve"> </w:t>
            </w:r>
            <w:r w:rsidRPr="00174414">
              <w:rPr>
                <w:color w:val="auto"/>
                <w:sz w:val="20"/>
              </w:rPr>
              <w:t>‘</w:t>
            </w:r>
            <w:r w:rsidR="50681A28" w:rsidRPr="00174414">
              <w:rPr>
                <w:rFonts w:eastAsia="Verdana" w:cs="Verdana"/>
                <w:color w:val="auto"/>
                <w:sz w:val="20"/>
                <w:lang w:val="fr"/>
              </w:rPr>
              <w:t xml:space="preserve">QSAR </w:t>
            </w:r>
            <w:proofErr w:type="spellStart"/>
            <w:r w:rsidR="50681A28" w:rsidRPr="00174414">
              <w:rPr>
                <w:rFonts w:eastAsia="Verdana" w:cs="Verdana"/>
                <w:color w:val="auto"/>
                <w:sz w:val="20"/>
                <w:lang w:val="fr"/>
              </w:rPr>
              <w:t>a</w:t>
            </w:r>
            <w:r w:rsidR="7B6597D3" w:rsidRPr="00174414">
              <w:rPr>
                <w:rFonts w:eastAsia="Verdana" w:cs="Verdana"/>
                <w:color w:val="auto"/>
                <w:sz w:val="20"/>
                <w:lang w:val="fr"/>
              </w:rPr>
              <w:t>n</w:t>
            </w:r>
            <w:r w:rsidR="50681A28" w:rsidRPr="00174414">
              <w:rPr>
                <w:rFonts w:eastAsia="Verdana" w:cs="Verdana"/>
                <w:color w:val="auto"/>
                <w:sz w:val="20"/>
                <w:lang w:val="fr"/>
              </w:rPr>
              <w:t>alysis</w:t>
            </w:r>
            <w:proofErr w:type="spellEnd"/>
            <w:r w:rsidR="50681A28" w:rsidRPr="00174414">
              <w:rPr>
                <w:rFonts w:eastAsia="Verdana" w:cs="Verdana"/>
                <w:color w:val="auto"/>
                <w:sz w:val="20"/>
                <w:lang w:val="fr"/>
              </w:rPr>
              <w:t xml:space="preserve"> supports the </w:t>
            </w:r>
            <w:proofErr w:type="spellStart"/>
            <w:r w:rsidR="50681A28" w:rsidRPr="00174414">
              <w:rPr>
                <w:rFonts w:eastAsia="Verdana" w:cs="Verdana"/>
                <w:color w:val="auto"/>
                <w:sz w:val="20"/>
                <w:lang w:val="fr"/>
              </w:rPr>
              <w:t>read-across</w:t>
            </w:r>
            <w:proofErr w:type="spellEnd"/>
            <w:r w:rsidR="50681A28" w:rsidRPr="00174414">
              <w:rPr>
                <w:rFonts w:eastAsia="Verdana" w:cs="Verdana"/>
                <w:color w:val="auto"/>
                <w:sz w:val="20"/>
                <w:lang w:val="fr"/>
              </w:rPr>
              <w:t xml:space="preserve"> </w:t>
            </w:r>
            <w:proofErr w:type="spellStart"/>
            <w:r w:rsidR="50681A28" w:rsidRPr="00174414">
              <w:rPr>
                <w:rFonts w:eastAsia="Verdana" w:cs="Verdana"/>
                <w:color w:val="auto"/>
                <w:sz w:val="20"/>
                <w:lang w:val="fr"/>
              </w:rPr>
              <w:t>hypothesis</w:t>
            </w:r>
            <w:proofErr w:type="spellEnd"/>
            <w:r w:rsidR="50681A28" w:rsidRPr="00174414">
              <w:rPr>
                <w:rFonts w:eastAsia="Verdana" w:cs="Verdana"/>
                <w:color w:val="auto"/>
                <w:sz w:val="20"/>
                <w:lang w:val="fr"/>
              </w:rPr>
              <w:t xml:space="preserve"> </w:t>
            </w:r>
            <w:proofErr w:type="spellStart"/>
            <w:r w:rsidR="50681A28" w:rsidRPr="00174414">
              <w:rPr>
                <w:rFonts w:eastAsia="Verdana" w:cs="Verdana"/>
                <w:color w:val="auto"/>
                <w:sz w:val="20"/>
                <w:lang w:val="fr"/>
              </w:rPr>
              <w:t>between</w:t>
            </w:r>
            <w:proofErr w:type="spellEnd"/>
            <w:r w:rsidR="50681A28" w:rsidRPr="00174414">
              <w:rPr>
                <w:rFonts w:eastAsia="Verdana" w:cs="Verdana"/>
                <w:color w:val="auto"/>
                <w:sz w:val="20"/>
                <w:lang w:val="fr"/>
              </w:rPr>
              <w:t xml:space="preserve"> Δ⁸-THC and Δ⁹-THC</w:t>
            </w:r>
            <w:r w:rsidR="778D91A5" w:rsidRPr="00174414">
              <w:rPr>
                <w:color w:val="auto"/>
                <w:sz w:val="20"/>
              </w:rPr>
              <w:t xml:space="preserve">. </w:t>
            </w:r>
            <w:r w:rsidR="54E4C114" w:rsidRPr="00174414">
              <w:rPr>
                <w:color w:val="auto"/>
                <w:sz w:val="20"/>
              </w:rPr>
              <w:t>The analysis only considered QSAR predictions with good reliability</w:t>
            </w:r>
            <w:r w:rsidR="2B09771D" w:rsidRPr="00174414">
              <w:rPr>
                <w:color w:val="auto"/>
                <w:sz w:val="20"/>
              </w:rPr>
              <w:t>.</w:t>
            </w:r>
            <w:r w:rsidR="54E4C114" w:rsidRPr="00174414">
              <w:rPr>
                <w:color w:val="auto"/>
                <w:sz w:val="20"/>
              </w:rPr>
              <w:t xml:space="preserve"> </w:t>
            </w:r>
            <w:r w:rsidR="329B1CAB" w:rsidRPr="00174414">
              <w:rPr>
                <w:color w:val="auto"/>
                <w:sz w:val="20"/>
              </w:rPr>
              <w:t>These</w:t>
            </w:r>
            <w:r w:rsidR="54E4C114" w:rsidRPr="00174414">
              <w:rPr>
                <w:color w:val="auto"/>
                <w:sz w:val="20"/>
              </w:rPr>
              <w:t xml:space="preserve"> are available for </w:t>
            </w:r>
            <w:r w:rsidR="00944E42" w:rsidRPr="00174414">
              <w:rPr>
                <w:color w:val="auto"/>
                <w:sz w:val="20"/>
              </w:rPr>
              <w:t xml:space="preserve">bacterial mutagenicity (Ames) tests </w:t>
            </w:r>
            <w:r w:rsidR="54E4C114" w:rsidRPr="00174414">
              <w:rPr>
                <w:color w:val="auto"/>
                <w:sz w:val="20"/>
              </w:rPr>
              <w:t>and indicate negative results.</w:t>
            </w:r>
            <w:r w:rsidRPr="00174414">
              <w:rPr>
                <w:color w:val="auto"/>
                <w:sz w:val="20"/>
              </w:rPr>
              <w:t>’</w:t>
            </w:r>
          </w:p>
          <w:p w14:paraId="6F871469" w14:textId="0B95A12F" w:rsidR="795A777E" w:rsidRPr="00174414" w:rsidRDefault="795A777E" w:rsidP="00B766A3">
            <w:pPr>
              <w:pStyle w:val="EFSATabledata"/>
              <w:jc w:val="both"/>
              <w:cnfStyle w:val="000000100000" w:firstRow="0" w:lastRow="0" w:firstColumn="0" w:lastColumn="0" w:oddVBand="0" w:evenVBand="0" w:oddHBand="1" w:evenHBand="0" w:firstRowFirstColumn="0" w:firstRowLastColumn="0" w:lastRowFirstColumn="0" w:lastRowLastColumn="0"/>
              <w:rPr>
                <w:color w:val="auto"/>
                <w:sz w:val="20"/>
              </w:rPr>
            </w:pPr>
          </w:p>
          <w:p w14:paraId="53E80069" w14:textId="00EC5DE9" w:rsidR="795A777E" w:rsidRPr="00174414" w:rsidRDefault="795A777E" w:rsidP="00B766A3">
            <w:pPr>
              <w:pStyle w:val="EFSATabledata"/>
              <w:jc w:val="both"/>
              <w:cnfStyle w:val="000000100000" w:firstRow="0" w:lastRow="0" w:firstColumn="0" w:lastColumn="0" w:oddVBand="0" w:evenVBand="0" w:oddHBand="1" w:evenHBand="0" w:firstRowFirstColumn="0" w:firstRowLastColumn="0" w:lastRowFirstColumn="0" w:lastRowLastColumn="0"/>
              <w:rPr>
                <w:color w:val="auto"/>
                <w:sz w:val="20"/>
              </w:rPr>
            </w:pPr>
          </w:p>
          <w:p w14:paraId="6D899A86" w14:textId="77777777" w:rsidR="00AE6E5B" w:rsidRDefault="00AE6E5B" w:rsidP="00B766A3">
            <w:pPr>
              <w:pStyle w:val="EFSATabledata"/>
              <w:jc w:val="both"/>
              <w:cnfStyle w:val="000000100000" w:firstRow="0" w:lastRow="0" w:firstColumn="0" w:lastColumn="0" w:oddVBand="0" w:evenVBand="0" w:oddHBand="1" w:evenHBand="0" w:firstRowFirstColumn="0" w:firstRowLastColumn="0" w:lastRowFirstColumn="0" w:lastRowLastColumn="0"/>
              <w:rPr>
                <w:color w:val="auto"/>
                <w:sz w:val="20"/>
              </w:rPr>
            </w:pPr>
          </w:p>
          <w:p w14:paraId="4B6CFF64" w14:textId="77777777" w:rsidR="005A4F5C" w:rsidRDefault="005A4F5C" w:rsidP="00B766A3">
            <w:pPr>
              <w:pStyle w:val="EFSATabledata"/>
              <w:jc w:val="both"/>
              <w:cnfStyle w:val="000000100000" w:firstRow="0" w:lastRow="0" w:firstColumn="0" w:lastColumn="0" w:oddVBand="0" w:evenVBand="0" w:oddHBand="1" w:evenHBand="0" w:firstRowFirstColumn="0" w:firstRowLastColumn="0" w:lastRowFirstColumn="0" w:lastRowLastColumn="0"/>
              <w:rPr>
                <w:color w:val="auto"/>
                <w:sz w:val="20"/>
              </w:rPr>
            </w:pPr>
          </w:p>
          <w:p w14:paraId="30B4D804" w14:textId="77777777" w:rsidR="005A4F5C" w:rsidRPr="00174414" w:rsidRDefault="005A4F5C" w:rsidP="00B766A3">
            <w:pPr>
              <w:pStyle w:val="EFSATabledata"/>
              <w:jc w:val="both"/>
              <w:cnfStyle w:val="000000100000" w:firstRow="0" w:lastRow="0" w:firstColumn="0" w:lastColumn="0" w:oddVBand="0" w:evenVBand="0" w:oddHBand="1" w:evenHBand="0" w:firstRowFirstColumn="0" w:firstRowLastColumn="0" w:lastRowFirstColumn="0" w:lastRowLastColumn="0"/>
              <w:rPr>
                <w:color w:val="auto"/>
                <w:sz w:val="20"/>
              </w:rPr>
            </w:pPr>
          </w:p>
          <w:p w14:paraId="739E34EA" w14:textId="3035FD35" w:rsidR="002B4BC0" w:rsidRPr="00174414" w:rsidRDefault="00E246E9" w:rsidP="00B766A3">
            <w:pPr>
              <w:pStyle w:val="EFSATabledata"/>
              <w:jc w:val="both"/>
              <w:cnfStyle w:val="000000100000" w:firstRow="0" w:lastRow="0" w:firstColumn="0" w:lastColumn="0" w:oddVBand="0" w:evenVBand="0" w:oddHBand="1" w:evenHBand="0" w:firstRowFirstColumn="0" w:firstRowLastColumn="0" w:lastRowFirstColumn="0" w:lastRowLastColumn="0"/>
              <w:rPr>
                <w:color w:val="auto"/>
                <w:sz w:val="20"/>
              </w:rPr>
            </w:pPr>
            <w:r w:rsidRPr="00174414">
              <w:rPr>
                <w:color w:val="auto"/>
                <w:sz w:val="20"/>
              </w:rPr>
              <w:t>The Panel agrees that the high structural similarity and the similar toxicokinetic properties of Δ</w:t>
            </w:r>
            <w:r w:rsidRPr="00174414">
              <w:rPr>
                <w:color w:val="auto"/>
                <w:sz w:val="20"/>
                <w:vertAlign w:val="superscript"/>
              </w:rPr>
              <w:t>9</w:t>
            </w:r>
            <w:r w:rsidRPr="00174414">
              <w:rPr>
                <w:color w:val="auto"/>
                <w:sz w:val="20"/>
              </w:rPr>
              <w:t>-THC and Δ</w:t>
            </w:r>
            <w:r w:rsidRPr="00174414">
              <w:rPr>
                <w:color w:val="auto"/>
                <w:sz w:val="20"/>
                <w:vertAlign w:val="superscript"/>
              </w:rPr>
              <w:t>8</w:t>
            </w:r>
            <w:r w:rsidRPr="00174414">
              <w:rPr>
                <w:color w:val="auto"/>
                <w:sz w:val="20"/>
              </w:rPr>
              <w:t>-THC, point to a similar tran</w:t>
            </w:r>
            <w:r w:rsidR="000C3FBE" w:rsidRPr="00174414">
              <w:rPr>
                <w:color w:val="auto"/>
                <w:sz w:val="20"/>
              </w:rPr>
              <w:t>s</w:t>
            </w:r>
            <w:r w:rsidRPr="00174414">
              <w:rPr>
                <w:color w:val="auto"/>
                <w:sz w:val="20"/>
              </w:rPr>
              <w:t xml:space="preserve">fer. </w:t>
            </w:r>
            <w:r w:rsidR="2505E56C" w:rsidRPr="00174414">
              <w:rPr>
                <w:color w:val="auto"/>
                <w:sz w:val="20"/>
              </w:rPr>
              <w:t>The</w:t>
            </w:r>
            <w:r w:rsidR="006D060F" w:rsidRPr="00174414">
              <w:rPr>
                <w:color w:val="auto"/>
                <w:sz w:val="20"/>
              </w:rPr>
              <w:t xml:space="preserve"> publication of Wagner et al. (2022) </w:t>
            </w:r>
            <w:r w:rsidR="0090412E" w:rsidRPr="00174414">
              <w:rPr>
                <w:color w:val="auto"/>
                <w:sz w:val="20"/>
              </w:rPr>
              <w:t xml:space="preserve">was </w:t>
            </w:r>
            <w:r w:rsidR="00171F15" w:rsidRPr="00174414">
              <w:rPr>
                <w:color w:val="auto"/>
                <w:sz w:val="20"/>
              </w:rPr>
              <w:t xml:space="preserve">taken into account </w:t>
            </w:r>
            <w:r w:rsidR="005301F5" w:rsidRPr="00174414">
              <w:rPr>
                <w:color w:val="auto"/>
                <w:sz w:val="20"/>
              </w:rPr>
              <w:t xml:space="preserve">and </w:t>
            </w:r>
            <w:r w:rsidR="00A16C33" w:rsidRPr="00174414">
              <w:rPr>
                <w:color w:val="auto"/>
                <w:sz w:val="20"/>
              </w:rPr>
              <w:t xml:space="preserve">the </w:t>
            </w:r>
            <w:r w:rsidR="005301F5" w:rsidRPr="00174414">
              <w:rPr>
                <w:color w:val="auto"/>
                <w:sz w:val="20"/>
              </w:rPr>
              <w:t xml:space="preserve">cited </w:t>
            </w:r>
            <w:r w:rsidR="00A16C33" w:rsidRPr="00174414">
              <w:rPr>
                <w:color w:val="auto"/>
                <w:sz w:val="20"/>
              </w:rPr>
              <w:t xml:space="preserve">text </w:t>
            </w:r>
            <w:r w:rsidR="0042413A" w:rsidRPr="00174414">
              <w:rPr>
                <w:color w:val="auto"/>
                <w:sz w:val="20"/>
              </w:rPr>
              <w:t xml:space="preserve">in section </w:t>
            </w:r>
            <w:r w:rsidR="0071579E" w:rsidRPr="00174414">
              <w:rPr>
                <w:color w:val="auto"/>
                <w:sz w:val="20"/>
              </w:rPr>
              <w:t xml:space="preserve">3.1.1.2 </w:t>
            </w:r>
            <w:r w:rsidR="00A16C33" w:rsidRPr="00174414">
              <w:rPr>
                <w:color w:val="auto"/>
                <w:sz w:val="20"/>
              </w:rPr>
              <w:t xml:space="preserve">was modified </w:t>
            </w:r>
            <w:r w:rsidR="00E6198C" w:rsidRPr="00174414">
              <w:rPr>
                <w:color w:val="auto"/>
                <w:sz w:val="20"/>
              </w:rPr>
              <w:t xml:space="preserve">for clarity </w:t>
            </w:r>
            <w:r w:rsidR="00A16C33" w:rsidRPr="00174414">
              <w:rPr>
                <w:color w:val="auto"/>
                <w:sz w:val="20"/>
              </w:rPr>
              <w:t>as follows:</w:t>
            </w:r>
            <w:r w:rsidR="00E6198C" w:rsidRPr="00174414">
              <w:rPr>
                <w:color w:val="auto"/>
                <w:sz w:val="20"/>
              </w:rPr>
              <w:t xml:space="preserve"> </w:t>
            </w:r>
            <w:r w:rsidR="00DB07C4" w:rsidRPr="00174414">
              <w:rPr>
                <w:color w:val="auto"/>
                <w:sz w:val="20"/>
              </w:rPr>
              <w:t xml:space="preserve"> </w:t>
            </w:r>
            <w:r w:rsidR="00A16C33" w:rsidRPr="00174414">
              <w:rPr>
                <w:color w:val="auto"/>
                <w:sz w:val="20"/>
              </w:rPr>
              <w:t>’Measurable levels of Δ</w:t>
            </w:r>
            <w:r w:rsidR="00A16C33" w:rsidRPr="00174414">
              <w:rPr>
                <w:color w:val="auto"/>
                <w:sz w:val="20"/>
                <w:vertAlign w:val="superscript"/>
              </w:rPr>
              <w:t>8</w:t>
            </w:r>
            <w:r w:rsidR="00A16C33" w:rsidRPr="00174414">
              <w:rPr>
                <w:color w:val="auto"/>
                <w:sz w:val="20"/>
              </w:rPr>
              <w:t>-THC were not detected in dairy milk from cows fed hemp silage</w:t>
            </w:r>
            <w:r w:rsidR="00E47EBD" w:rsidRPr="00174414">
              <w:rPr>
                <w:color w:val="auto"/>
                <w:sz w:val="20"/>
              </w:rPr>
              <w:t xml:space="preserve"> </w:t>
            </w:r>
            <w:r w:rsidR="00A16C33" w:rsidRPr="00174414">
              <w:rPr>
                <w:color w:val="auto"/>
                <w:sz w:val="20"/>
              </w:rPr>
              <w:t>(1.6</w:t>
            </w:r>
            <w:r w:rsidR="00A16C33" w:rsidRPr="00174414" w:rsidDel="00FB5C2E">
              <w:rPr>
                <w:color w:val="auto"/>
                <w:sz w:val="20"/>
              </w:rPr>
              <w:t>8</w:t>
            </w:r>
            <w:r w:rsidR="00A16C33" w:rsidRPr="00174414">
              <w:rPr>
                <w:color w:val="auto"/>
                <w:sz w:val="20"/>
              </w:rPr>
              <w:t xml:space="preserve"> kg DM hemp silage</w:t>
            </w:r>
            <w:r w:rsidR="00E47EBD" w:rsidRPr="00174414">
              <w:rPr>
                <w:color w:val="auto"/>
                <w:sz w:val="20"/>
              </w:rPr>
              <w:t xml:space="preserve"> </w:t>
            </w:r>
            <w:r w:rsidR="00A16C33" w:rsidRPr="00174414">
              <w:rPr>
                <w:color w:val="auto"/>
                <w:sz w:val="20"/>
              </w:rPr>
              <w:t xml:space="preserve">per day) for 7 days </w:t>
            </w:r>
            <w:r w:rsidR="00A16C33" w:rsidRPr="00174414">
              <w:rPr>
                <w:color w:val="auto"/>
                <w:sz w:val="20"/>
              </w:rPr>
              <w:lastRenderedPageBreak/>
              <w:t>(Wagner et al., 2022). The concentration ofΔ</w:t>
            </w:r>
            <w:r w:rsidR="00A16C33" w:rsidRPr="00174414">
              <w:rPr>
                <w:color w:val="auto"/>
                <w:sz w:val="20"/>
                <w:vertAlign w:val="superscript"/>
              </w:rPr>
              <w:t>8</w:t>
            </w:r>
            <w:r w:rsidR="00A16C33" w:rsidRPr="00174414">
              <w:rPr>
                <w:color w:val="auto"/>
                <w:sz w:val="20"/>
              </w:rPr>
              <w:t>-THC in the feed was below the limit of detection (0.2-2ng/g DM)’</w:t>
            </w:r>
            <w:r w:rsidR="00E6198C" w:rsidRPr="00174414">
              <w:rPr>
                <w:color w:val="auto"/>
                <w:sz w:val="20"/>
              </w:rPr>
              <w:t>.</w:t>
            </w:r>
            <w:r w:rsidR="00A16C33" w:rsidRPr="00174414">
              <w:rPr>
                <w:color w:val="auto"/>
                <w:sz w:val="20"/>
              </w:rPr>
              <w:t xml:space="preserve"> </w:t>
            </w:r>
            <w:r w:rsidR="00481595" w:rsidRPr="00174414">
              <w:rPr>
                <w:color w:val="auto"/>
                <w:sz w:val="20"/>
              </w:rPr>
              <w:t>The</w:t>
            </w:r>
            <w:r w:rsidR="00340552" w:rsidRPr="00174414">
              <w:rPr>
                <w:color w:val="auto"/>
                <w:sz w:val="20"/>
              </w:rPr>
              <w:t xml:space="preserve"> Panel</w:t>
            </w:r>
            <w:r w:rsidR="00481595" w:rsidRPr="00174414">
              <w:rPr>
                <w:color w:val="auto"/>
                <w:sz w:val="20"/>
              </w:rPr>
              <w:t xml:space="preserve">, before </w:t>
            </w:r>
            <w:r w:rsidR="008F5D1A" w:rsidRPr="00174414">
              <w:rPr>
                <w:color w:val="auto"/>
                <w:sz w:val="20"/>
              </w:rPr>
              <w:t>considering</w:t>
            </w:r>
            <w:r w:rsidR="00481595" w:rsidRPr="00174414">
              <w:rPr>
                <w:color w:val="auto"/>
                <w:sz w:val="20"/>
              </w:rPr>
              <w:t xml:space="preserve"> any </w:t>
            </w:r>
            <w:r w:rsidR="008F5D1A" w:rsidRPr="00174414">
              <w:rPr>
                <w:color w:val="auto"/>
                <w:sz w:val="20"/>
              </w:rPr>
              <w:t>conclusions on</w:t>
            </w:r>
            <w:r w:rsidR="00481595" w:rsidRPr="00174414">
              <w:rPr>
                <w:color w:val="auto"/>
                <w:sz w:val="20"/>
              </w:rPr>
              <w:t xml:space="preserve"> transfer would recommend the collection of further data. Therefore</w:t>
            </w:r>
            <w:r w:rsidR="00215A91">
              <w:rPr>
                <w:color w:val="auto"/>
                <w:sz w:val="20"/>
              </w:rPr>
              <w:t>,</w:t>
            </w:r>
            <w:r w:rsidR="00481595" w:rsidRPr="00174414">
              <w:rPr>
                <w:color w:val="auto"/>
                <w:sz w:val="20"/>
              </w:rPr>
              <w:t xml:space="preserve"> it </w:t>
            </w:r>
            <w:r w:rsidR="00984D2E" w:rsidRPr="00174414">
              <w:rPr>
                <w:color w:val="auto"/>
                <w:sz w:val="20"/>
              </w:rPr>
              <w:t>changed</w:t>
            </w:r>
            <w:r w:rsidR="006819A5" w:rsidRPr="00174414">
              <w:rPr>
                <w:color w:val="auto"/>
                <w:sz w:val="20"/>
              </w:rPr>
              <w:t xml:space="preserve"> its recommendation</w:t>
            </w:r>
            <w:r w:rsidR="00DB7DA2" w:rsidRPr="00174414">
              <w:rPr>
                <w:color w:val="auto"/>
                <w:sz w:val="20"/>
              </w:rPr>
              <w:t xml:space="preserve"> </w:t>
            </w:r>
            <w:r w:rsidR="00462165" w:rsidRPr="00174414">
              <w:rPr>
                <w:color w:val="auto"/>
                <w:sz w:val="20"/>
              </w:rPr>
              <w:t>(</w:t>
            </w:r>
            <w:r w:rsidR="00DB7DA2" w:rsidRPr="00174414">
              <w:rPr>
                <w:color w:val="auto"/>
                <w:sz w:val="20"/>
              </w:rPr>
              <w:t>section</w:t>
            </w:r>
            <w:r w:rsidR="000E547E" w:rsidRPr="00174414">
              <w:rPr>
                <w:color w:val="auto"/>
                <w:sz w:val="20"/>
              </w:rPr>
              <w:t xml:space="preserve"> 5)</w:t>
            </w:r>
            <w:r w:rsidR="00DB7DA2" w:rsidRPr="00174414">
              <w:rPr>
                <w:color w:val="auto"/>
                <w:sz w:val="20"/>
              </w:rPr>
              <w:t xml:space="preserve"> </w:t>
            </w:r>
            <w:r w:rsidR="00984D2E" w:rsidRPr="00174414">
              <w:rPr>
                <w:color w:val="auto"/>
                <w:sz w:val="20"/>
              </w:rPr>
              <w:t>to</w:t>
            </w:r>
            <w:r w:rsidR="006819A5" w:rsidRPr="00174414">
              <w:rPr>
                <w:color w:val="auto"/>
                <w:sz w:val="20"/>
              </w:rPr>
              <w:t xml:space="preserve">: </w:t>
            </w:r>
            <w:r w:rsidR="00C060AD" w:rsidRPr="00174414">
              <w:rPr>
                <w:color w:val="auto"/>
                <w:sz w:val="20"/>
              </w:rPr>
              <w:t>“</w:t>
            </w:r>
            <w:r w:rsidR="00984D2E" w:rsidRPr="00174414">
              <w:rPr>
                <w:color w:val="auto"/>
                <w:sz w:val="20"/>
              </w:rPr>
              <w:t>Further studies on the transfer rate of Δ</w:t>
            </w:r>
            <w:r w:rsidR="00984D2E" w:rsidRPr="00174414">
              <w:rPr>
                <w:color w:val="auto"/>
                <w:sz w:val="20"/>
                <w:vertAlign w:val="superscript"/>
              </w:rPr>
              <w:t>8</w:t>
            </w:r>
            <w:r w:rsidR="00984D2E" w:rsidRPr="00174414">
              <w:rPr>
                <w:color w:val="auto"/>
                <w:sz w:val="20"/>
              </w:rPr>
              <w:t xml:space="preserve">-THC, and its metabolites, into animal products intended for human consumption </w:t>
            </w:r>
            <w:r w:rsidR="0BB8FAFD" w:rsidRPr="00174414">
              <w:rPr>
                <w:color w:val="auto"/>
                <w:sz w:val="20"/>
              </w:rPr>
              <w:t>would be</w:t>
            </w:r>
            <w:r w:rsidR="00984D2E" w:rsidRPr="00174414">
              <w:rPr>
                <w:color w:val="auto"/>
                <w:sz w:val="20"/>
              </w:rPr>
              <w:t xml:space="preserve"> needed, after confirming the actual presence of </w:t>
            </w:r>
            <w:r w:rsidR="00984D2E" w:rsidRPr="00174414">
              <w:rPr>
                <w:color w:val="auto"/>
                <w:sz w:val="20"/>
                <w:lang w:val="fr-FR"/>
              </w:rPr>
              <w:t>Δ</w:t>
            </w:r>
            <w:r w:rsidR="00984D2E" w:rsidRPr="00174414">
              <w:rPr>
                <w:color w:val="auto"/>
                <w:sz w:val="20"/>
                <w:vertAlign w:val="superscript"/>
              </w:rPr>
              <w:t>8</w:t>
            </w:r>
            <w:r w:rsidR="00984D2E" w:rsidRPr="00174414">
              <w:rPr>
                <w:color w:val="auto"/>
                <w:sz w:val="20"/>
              </w:rPr>
              <w:t>-THC in hemp feed materials.</w:t>
            </w:r>
            <w:r w:rsidR="00C060AD" w:rsidRPr="00174414">
              <w:rPr>
                <w:color w:val="auto"/>
                <w:sz w:val="20"/>
              </w:rPr>
              <w:t>”</w:t>
            </w:r>
          </w:p>
        </w:tc>
      </w:tr>
      <w:tr w:rsidR="00174414" w:rsidRPr="00174414" w14:paraId="3383C236" w14:textId="1760EACC" w:rsidTr="00ED449F">
        <w:trPr>
          <w:trHeight w:val="2865"/>
        </w:trPr>
        <w:tc>
          <w:tcPr>
            <w:cnfStyle w:val="001000000000" w:firstRow="0" w:lastRow="0" w:firstColumn="1" w:lastColumn="0" w:oddVBand="0" w:evenVBand="0" w:oddHBand="0" w:evenHBand="0" w:firstRowFirstColumn="0" w:firstRowLastColumn="0" w:lastRowFirstColumn="0" w:lastRowLastColumn="0"/>
            <w:tcW w:w="1323" w:type="dxa"/>
          </w:tcPr>
          <w:p w14:paraId="3DC8D47A" w14:textId="25342B1B" w:rsidR="006B1701" w:rsidRPr="00174414" w:rsidRDefault="00156AEB" w:rsidP="00B766A3">
            <w:pPr>
              <w:pStyle w:val="EFSATablefirstcolumn"/>
              <w:rPr>
                <w:color w:val="auto"/>
                <w:sz w:val="20"/>
              </w:rPr>
            </w:pPr>
            <w:r w:rsidRPr="00174414">
              <w:rPr>
                <w:color w:val="auto"/>
                <w:sz w:val="20"/>
              </w:rPr>
              <w:lastRenderedPageBreak/>
              <w:t>2</w:t>
            </w:r>
          </w:p>
        </w:tc>
        <w:tc>
          <w:tcPr>
            <w:tcW w:w="1969" w:type="dxa"/>
          </w:tcPr>
          <w:p w14:paraId="5C8C3106" w14:textId="78FE67C6" w:rsidR="006B1701" w:rsidRPr="00174414" w:rsidRDefault="00A31CB6" w:rsidP="00B766A3">
            <w:pPr>
              <w:pStyle w:val="EFSATabledata"/>
              <w:tabs>
                <w:tab w:val="clear" w:pos="454"/>
              </w:tabs>
              <w:cnfStyle w:val="000000000000" w:firstRow="0" w:lastRow="0" w:firstColumn="0" w:lastColumn="0" w:oddVBand="0" w:evenVBand="0" w:oddHBand="0" w:evenHBand="0" w:firstRowFirstColumn="0" w:firstRowLastColumn="0" w:lastRowFirstColumn="0" w:lastRowLastColumn="0"/>
              <w:rPr>
                <w:color w:val="auto"/>
                <w:sz w:val="20"/>
              </w:rPr>
            </w:pPr>
            <w:proofErr w:type="spellStart"/>
            <w:r w:rsidRPr="00174414">
              <w:rPr>
                <w:color w:val="auto"/>
                <w:sz w:val="20"/>
              </w:rPr>
              <w:t>B</w:t>
            </w:r>
            <w:r w:rsidR="00260714" w:rsidRPr="00174414">
              <w:rPr>
                <w:color w:val="auto"/>
                <w:sz w:val="20"/>
              </w:rPr>
              <w:t>f</w:t>
            </w:r>
            <w:r w:rsidRPr="00174414">
              <w:rPr>
                <w:color w:val="auto"/>
                <w:sz w:val="20"/>
              </w:rPr>
              <w:t>R</w:t>
            </w:r>
            <w:proofErr w:type="spellEnd"/>
            <w:r w:rsidRPr="00174414">
              <w:rPr>
                <w:color w:val="auto"/>
                <w:sz w:val="20"/>
              </w:rPr>
              <w:t xml:space="preserve"> - </w:t>
            </w:r>
            <w:proofErr w:type="spellStart"/>
            <w:r w:rsidRPr="00174414">
              <w:rPr>
                <w:color w:val="auto"/>
                <w:sz w:val="20"/>
              </w:rPr>
              <w:t>Bundesinstitut</w:t>
            </w:r>
            <w:proofErr w:type="spellEnd"/>
            <w:r w:rsidRPr="00174414">
              <w:rPr>
                <w:color w:val="auto"/>
                <w:sz w:val="20"/>
              </w:rPr>
              <w:t xml:space="preserve"> für </w:t>
            </w:r>
            <w:proofErr w:type="spellStart"/>
            <w:r w:rsidRPr="00174414">
              <w:rPr>
                <w:color w:val="auto"/>
                <w:sz w:val="20"/>
              </w:rPr>
              <w:t>Risikobewertung</w:t>
            </w:r>
            <w:proofErr w:type="spellEnd"/>
          </w:p>
        </w:tc>
        <w:tc>
          <w:tcPr>
            <w:tcW w:w="2252" w:type="dxa"/>
          </w:tcPr>
          <w:p w14:paraId="094191D1" w14:textId="4724D9F5" w:rsidR="006B1701" w:rsidRPr="00174414" w:rsidRDefault="00624002" w:rsidP="00B766A3">
            <w:pPr>
              <w:pStyle w:val="EFSATabledata"/>
              <w:tabs>
                <w:tab w:val="clear" w:pos="454"/>
              </w:tabs>
              <w:cnfStyle w:val="000000000000" w:firstRow="0" w:lastRow="0" w:firstColumn="0" w:lastColumn="0" w:oddVBand="0" w:evenVBand="0" w:oddHBand="0" w:evenHBand="0" w:firstRowFirstColumn="0" w:firstRowLastColumn="0" w:lastRowFirstColumn="0" w:lastRowLastColumn="0"/>
              <w:rPr>
                <w:color w:val="auto"/>
                <w:sz w:val="20"/>
              </w:rPr>
            </w:pPr>
            <w:r w:rsidRPr="00174414">
              <w:rPr>
                <w:color w:val="auto"/>
                <w:sz w:val="20"/>
              </w:rPr>
              <w:t>In experimental animals</w:t>
            </w:r>
          </w:p>
        </w:tc>
        <w:tc>
          <w:tcPr>
            <w:tcW w:w="4589" w:type="dxa"/>
          </w:tcPr>
          <w:p w14:paraId="78AFC36D" w14:textId="03389E30" w:rsidR="006B1701" w:rsidRPr="009B5F07" w:rsidRDefault="00624002" w:rsidP="00B766A3">
            <w:pPr>
              <w:pStyle w:val="EFSATabledata"/>
              <w:jc w:val="both"/>
              <w:cnfStyle w:val="000000000000" w:firstRow="0" w:lastRow="0" w:firstColumn="0" w:lastColumn="0" w:oddVBand="0" w:evenVBand="0" w:oddHBand="0" w:evenHBand="0" w:firstRowFirstColumn="0" w:firstRowLastColumn="0" w:lastRowFirstColumn="0" w:lastRowLastColumn="0"/>
              <w:rPr>
                <w:color w:val="auto"/>
                <w:spacing w:val="-2"/>
                <w:sz w:val="20"/>
              </w:rPr>
            </w:pPr>
            <w:r w:rsidRPr="009B5F07">
              <w:rPr>
                <w:color w:val="auto"/>
                <w:spacing w:val="-2"/>
                <w:sz w:val="20"/>
              </w:rPr>
              <w:t>p. 19, lines 599-603: “In apparent contrast with its lipophilicity, Δ</w:t>
            </w:r>
            <w:r w:rsidRPr="009B5F07">
              <w:rPr>
                <w:color w:val="auto"/>
                <w:spacing w:val="-2"/>
                <w:sz w:val="20"/>
                <w:vertAlign w:val="superscript"/>
              </w:rPr>
              <w:t>9</w:t>
            </w:r>
            <w:r w:rsidRPr="009B5F07">
              <w:rPr>
                <w:color w:val="auto"/>
                <w:spacing w:val="-2"/>
                <w:sz w:val="20"/>
              </w:rPr>
              <w:t>-THC undergoes a slow and limited absorption upon oral administration. This results in a bioavailability of about 26 % in monkeys, also due to an extensive pre-systemic metabolism (see below). The role of drug transporters (P-</w:t>
            </w:r>
            <w:proofErr w:type="spellStart"/>
            <w:r w:rsidRPr="009B5F07">
              <w:rPr>
                <w:color w:val="auto"/>
                <w:spacing w:val="-2"/>
                <w:sz w:val="20"/>
              </w:rPr>
              <w:t>gp</w:t>
            </w:r>
            <w:proofErr w:type="spellEnd"/>
            <w:r w:rsidRPr="009B5F07">
              <w:rPr>
                <w:color w:val="auto"/>
                <w:spacing w:val="-2"/>
                <w:sz w:val="20"/>
              </w:rPr>
              <w:t>) in limiting enteric absorption has been demonstrated in mice. Blood peaks in animals are detected 1-4 h after oral exposure.” The first sentence may be slightly modified. It indeed seems that the relatively low bioavailability is likely to be the result of pronounced pre-systemic (e.g., hepatic) clearance. However, this does not necessarily point to a slow and limited absorption in the gastrointestinal tract.</w:t>
            </w:r>
          </w:p>
        </w:tc>
        <w:tc>
          <w:tcPr>
            <w:tcW w:w="3586" w:type="dxa"/>
          </w:tcPr>
          <w:p w14:paraId="7C1C5C43" w14:textId="25D918FD" w:rsidR="00404A2E" w:rsidRPr="00174414" w:rsidRDefault="394861B3" w:rsidP="00B24164">
            <w:pPr>
              <w:pStyle w:val="EFSATabledata"/>
              <w:jc w:val="both"/>
              <w:cnfStyle w:val="000000000000" w:firstRow="0" w:lastRow="0" w:firstColumn="0" w:lastColumn="0" w:oddVBand="0" w:evenVBand="0" w:oddHBand="0" w:evenHBand="0" w:firstRowFirstColumn="0" w:firstRowLastColumn="0" w:lastRowFirstColumn="0" w:lastRowLastColumn="0"/>
              <w:rPr>
                <w:color w:val="auto"/>
                <w:sz w:val="20"/>
              </w:rPr>
            </w:pPr>
            <w:r w:rsidRPr="00174414">
              <w:rPr>
                <w:color w:val="auto"/>
                <w:sz w:val="20"/>
              </w:rPr>
              <w:t>Indeed</w:t>
            </w:r>
            <w:r w:rsidR="00215A91">
              <w:rPr>
                <w:color w:val="auto"/>
                <w:sz w:val="20"/>
              </w:rPr>
              <w:t>,</w:t>
            </w:r>
            <w:r w:rsidRPr="00174414">
              <w:rPr>
                <w:color w:val="auto"/>
                <w:sz w:val="20"/>
              </w:rPr>
              <w:t xml:space="preserve"> the </w:t>
            </w:r>
            <w:r w:rsidR="02DDE4CA" w:rsidRPr="00174414">
              <w:rPr>
                <w:color w:val="auto"/>
                <w:sz w:val="20"/>
              </w:rPr>
              <w:t>limited bioavailability should be actually attributable to an extensive pre-systemic metabo</w:t>
            </w:r>
            <w:r w:rsidR="59C9FC68" w:rsidRPr="00174414">
              <w:rPr>
                <w:color w:val="auto"/>
                <w:sz w:val="20"/>
              </w:rPr>
              <w:t xml:space="preserve">lism and – at least </w:t>
            </w:r>
            <w:r w:rsidR="548802EB" w:rsidRPr="00174414">
              <w:rPr>
                <w:color w:val="auto"/>
                <w:sz w:val="20"/>
              </w:rPr>
              <w:t>in mice- by the e</w:t>
            </w:r>
            <w:r w:rsidR="770A8264" w:rsidRPr="00174414">
              <w:rPr>
                <w:color w:val="auto"/>
                <w:sz w:val="20"/>
              </w:rPr>
              <w:t>xtruding action of efflux proteins (</w:t>
            </w:r>
            <w:proofErr w:type="spellStart"/>
            <w:r w:rsidR="770A8264" w:rsidRPr="00174414">
              <w:rPr>
                <w:color w:val="auto"/>
                <w:sz w:val="20"/>
              </w:rPr>
              <w:t>Pgp</w:t>
            </w:r>
            <w:proofErr w:type="spellEnd"/>
            <w:r w:rsidR="00404A2E" w:rsidRPr="00174414">
              <w:rPr>
                <w:color w:val="auto"/>
                <w:sz w:val="20"/>
              </w:rPr>
              <w:t xml:space="preserve">) </w:t>
            </w:r>
            <w:r w:rsidR="00F90F74" w:rsidRPr="00174414">
              <w:rPr>
                <w:color w:val="auto"/>
                <w:sz w:val="20"/>
              </w:rPr>
              <w:t xml:space="preserve">and therefore no change is </w:t>
            </w:r>
            <w:r w:rsidR="00E62A12" w:rsidRPr="00174414">
              <w:rPr>
                <w:color w:val="auto"/>
                <w:sz w:val="20"/>
              </w:rPr>
              <w:t xml:space="preserve">considered </w:t>
            </w:r>
            <w:r w:rsidR="00F90F74" w:rsidRPr="00174414">
              <w:rPr>
                <w:color w:val="auto"/>
                <w:sz w:val="20"/>
              </w:rPr>
              <w:t>necessary</w:t>
            </w:r>
          </w:p>
        </w:tc>
      </w:tr>
      <w:tr w:rsidR="00174414" w:rsidRPr="00174414" w14:paraId="4A91E8A5" w14:textId="670C7378" w:rsidTr="00ED449F">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1323" w:type="dxa"/>
          </w:tcPr>
          <w:p w14:paraId="60BE6FCD" w14:textId="5D666E8B" w:rsidR="00796F30" w:rsidRPr="00174414" w:rsidRDefault="00796F30" w:rsidP="00B766A3">
            <w:pPr>
              <w:pStyle w:val="EFSATablefirstcolumn"/>
              <w:rPr>
                <w:color w:val="auto"/>
                <w:sz w:val="20"/>
              </w:rPr>
            </w:pPr>
            <w:r w:rsidRPr="00174414">
              <w:rPr>
                <w:color w:val="auto"/>
                <w:sz w:val="20"/>
              </w:rPr>
              <w:lastRenderedPageBreak/>
              <w:t>3</w:t>
            </w:r>
          </w:p>
        </w:tc>
        <w:tc>
          <w:tcPr>
            <w:tcW w:w="1969" w:type="dxa"/>
          </w:tcPr>
          <w:p w14:paraId="04D3F1AE" w14:textId="6CAB272C" w:rsidR="00796F30" w:rsidRPr="00174414" w:rsidRDefault="00796F30" w:rsidP="00B766A3">
            <w:pPr>
              <w:pStyle w:val="EFSATabledata"/>
              <w:tabs>
                <w:tab w:val="clear" w:pos="454"/>
                <w:tab w:val="decimal" w:pos="255"/>
              </w:tabs>
              <w:cnfStyle w:val="000000100000" w:firstRow="0" w:lastRow="0" w:firstColumn="0" w:lastColumn="0" w:oddVBand="0" w:evenVBand="0" w:oddHBand="1" w:evenHBand="0" w:firstRowFirstColumn="0" w:firstRowLastColumn="0" w:lastRowFirstColumn="0" w:lastRowLastColumn="0"/>
              <w:rPr>
                <w:color w:val="auto"/>
                <w:sz w:val="20"/>
              </w:rPr>
            </w:pPr>
            <w:r w:rsidRPr="00174414">
              <w:rPr>
                <w:color w:val="auto"/>
                <w:sz w:val="20"/>
              </w:rPr>
              <w:t>UK Committee on Toxicity</w:t>
            </w:r>
          </w:p>
        </w:tc>
        <w:tc>
          <w:tcPr>
            <w:tcW w:w="2252" w:type="dxa"/>
          </w:tcPr>
          <w:p w14:paraId="51EB4A65" w14:textId="750FFAC1" w:rsidR="00796F30" w:rsidRPr="00174414" w:rsidRDefault="00796F30" w:rsidP="00B766A3">
            <w:pPr>
              <w:pStyle w:val="EFSATabledata"/>
              <w:tabs>
                <w:tab w:val="clear" w:pos="454"/>
              </w:tabs>
              <w:cnfStyle w:val="000000100000" w:firstRow="0" w:lastRow="0" w:firstColumn="0" w:lastColumn="0" w:oddVBand="0" w:evenVBand="0" w:oddHBand="1" w:evenHBand="0" w:firstRowFirstColumn="0" w:firstRowLastColumn="0" w:lastRowFirstColumn="0" w:lastRowLastColumn="0"/>
              <w:rPr>
                <w:rFonts w:cs="Calibri"/>
                <w:color w:val="auto"/>
                <w:sz w:val="20"/>
              </w:rPr>
            </w:pPr>
            <w:r w:rsidRPr="00174414">
              <w:rPr>
                <w:rFonts w:cs="Calibri"/>
                <w:color w:val="auto"/>
                <w:sz w:val="20"/>
              </w:rPr>
              <w:t>Summary</w:t>
            </w:r>
          </w:p>
        </w:tc>
        <w:tc>
          <w:tcPr>
            <w:tcW w:w="4589" w:type="dxa"/>
          </w:tcPr>
          <w:p w14:paraId="524E7BDF" w14:textId="54963736" w:rsidR="00796F30" w:rsidRPr="00174414" w:rsidRDefault="53E550D2" w:rsidP="00B766A3">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174414">
              <w:rPr>
                <w:rFonts w:ascii="Verdana" w:eastAsia="Aptos Narrow" w:hAnsi="Verdana" w:cs="Aptos Narrow"/>
                <w:sz w:val="20"/>
                <w:szCs w:val="20"/>
              </w:rPr>
              <w:t>The Committee on Toxicity noted that this document presents more evidence relating to Δ</w:t>
            </w:r>
            <w:r w:rsidRPr="00174414">
              <w:rPr>
                <w:rFonts w:ascii="Verdana" w:eastAsia="Aptos Narrow" w:hAnsi="Verdana" w:cs="Aptos Narrow"/>
                <w:sz w:val="20"/>
                <w:szCs w:val="20"/>
                <w:vertAlign w:val="superscript"/>
              </w:rPr>
              <w:t>9</w:t>
            </w:r>
            <w:r w:rsidRPr="00174414">
              <w:rPr>
                <w:rFonts w:ascii="Verdana" w:eastAsia="Aptos Narrow" w:hAnsi="Verdana" w:cs="Aptos Narrow"/>
                <w:sz w:val="20"/>
                <w:szCs w:val="20"/>
              </w:rPr>
              <w:t>-THC than Δ</w:t>
            </w:r>
            <w:r w:rsidRPr="00174414">
              <w:rPr>
                <w:rFonts w:ascii="Verdana" w:eastAsia="Aptos Narrow" w:hAnsi="Verdana" w:cs="Aptos Narrow"/>
                <w:sz w:val="20"/>
                <w:szCs w:val="20"/>
                <w:vertAlign w:val="superscript"/>
              </w:rPr>
              <w:t>8</w:t>
            </w:r>
            <w:r w:rsidRPr="00174414">
              <w:rPr>
                <w:rFonts w:ascii="Verdana" w:eastAsia="Aptos Narrow" w:hAnsi="Verdana" w:cs="Aptos Narrow"/>
                <w:sz w:val="20"/>
                <w:szCs w:val="20"/>
              </w:rPr>
              <w:t>-THC, which is not the aim of the evaluation.</w:t>
            </w:r>
          </w:p>
        </w:tc>
        <w:tc>
          <w:tcPr>
            <w:tcW w:w="3586" w:type="dxa"/>
          </w:tcPr>
          <w:p w14:paraId="12D4D67E" w14:textId="70A58D3E" w:rsidR="004563A9" w:rsidRPr="00174414" w:rsidRDefault="004563A9" w:rsidP="00B766A3">
            <w:pPr>
              <w:pStyle w:val="EFSATabledata"/>
              <w:jc w:val="both"/>
              <w:cnfStyle w:val="000000100000" w:firstRow="0" w:lastRow="0" w:firstColumn="0" w:lastColumn="0" w:oddVBand="0" w:evenVBand="0" w:oddHBand="1" w:evenHBand="0" w:firstRowFirstColumn="0" w:firstRowLastColumn="0" w:lastRowFirstColumn="0" w:lastRowLastColumn="0"/>
              <w:rPr>
                <w:rStyle w:val="Hyperlink"/>
                <w:color w:val="auto"/>
                <w:sz w:val="20"/>
              </w:rPr>
            </w:pPr>
            <w:r w:rsidRPr="00174414">
              <w:rPr>
                <w:color w:val="auto"/>
                <w:sz w:val="20"/>
              </w:rPr>
              <w:t xml:space="preserve">This document specifically addresses </w:t>
            </w:r>
            <w:r w:rsidR="00EE1EB3" w:rsidRPr="00174414">
              <w:rPr>
                <w:color w:val="auto"/>
                <w:sz w:val="20"/>
              </w:rPr>
              <w:t>literature referring</w:t>
            </w:r>
            <w:r w:rsidRPr="00174414">
              <w:rPr>
                <w:color w:val="auto"/>
                <w:sz w:val="20"/>
              </w:rPr>
              <w:t xml:space="preserve"> </w:t>
            </w:r>
            <w:r w:rsidR="00EE1EB3" w:rsidRPr="00174414">
              <w:rPr>
                <w:color w:val="auto"/>
                <w:sz w:val="20"/>
              </w:rPr>
              <w:t>to</w:t>
            </w:r>
            <w:r w:rsidRPr="00174414">
              <w:rPr>
                <w:color w:val="auto"/>
                <w:sz w:val="20"/>
              </w:rPr>
              <w:t xml:space="preserve"> Δ</w:t>
            </w:r>
            <w:r w:rsidRPr="00174414">
              <w:rPr>
                <w:color w:val="auto"/>
                <w:sz w:val="20"/>
                <w:vertAlign w:val="superscript"/>
              </w:rPr>
              <w:t>8</w:t>
            </w:r>
            <w:r w:rsidRPr="00174414">
              <w:rPr>
                <w:color w:val="auto"/>
                <w:sz w:val="20"/>
              </w:rPr>
              <w:t xml:space="preserve">-THC and </w:t>
            </w:r>
            <w:r w:rsidR="00EE1EB3" w:rsidRPr="00174414">
              <w:rPr>
                <w:color w:val="auto"/>
                <w:sz w:val="20"/>
              </w:rPr>
              <w:t>to</w:t>
            </w:r>
            <w:r w:rsidRPr="00174414">
              <w:rPr>
                <w:color w:val="auto"/>
                <w:sz w:val="20"/>
              </w:rPr>
              <w:t xml:space="preserve"> its comparison with Δ</w:t>
            </w:r>
            <w:r w:rsidRPr="00174414">
              <w:rPr>
                <w:color w:val="auto"/>
                <w:sz w:val="20"/>
                <w:vertAlign w:val="superscript"/>
              </w:rPr>
              <w:t>9</w:t>
            </w:r>
            <w:r w:rsidRPr="00174414">
              <w:rPr>
                <w:color w:val="auto"/>
                <w:sz w:val="20"/>
              </w:rPr>
              <w:t xml:space="preserve">-THC, which is relevant for the hazard assessment. </w:t>
            </w:r>
            <w:r w:rsidR="06AA33AA" w:rsidRPr="00174414">
              <w:rPr>
                <w:color w:val="auto"/>
                <w:sz w:val="20"/>
              </w:rPr>
              <w:t>The</w:t>
            </w:r>
            <w:r w:rsidR="00592684" w:rsidRPr="00174414">
              <w:rPr>
                <w:color w:val="auto"/>
                <w:sz w:val="20"/>
              </w:rPr>
              <w:t>re</w:t>
            </w:r>
            <w:r w:rsidR="06AA33AA" w:rsidRPr="00174414">
              <w:rPr>
                <w:color w:val="auto"/>
                <w:sz w:val="20"/>
              </w:rPr>
              <w:t xml:space="preserve"> should not be confus</w:t>
            </w:r>
            <w:r w:rsidR="00592684" w:rsidRPr="00174414">
              <w:rPr>
                <w:color w:val="auto"/>
                <w:sz w:val="20"/>
              </w:rPr>
              <w:t>ion</w:t>
            </w:r>
            <w:r w:rsidR="06AA33AA" w:rsidRPr="00174414">
              <w:rPr>
                <w:color w:val="auto"/>
                <w:sz w:val="20"/>
              </w:rPr>
              <w:t xml:space="preserve"> with</w:t>
            </w:r>
            <w:r w:rsidRPr="00174414">
              <w:rPr>
                <w:color w:val="auto"/>
                <w:sz w:val="20"/>
              </w:rPr>
              <w:t xml:space="preserve"> </w:t>
            </w:r>
            <w:r w:rsidR="00592684" w:rsidRPr="00174414">
              <w:rPr>
                <w:color w:val="auto"/>
                <w:sz w:val="20"/>
              </w:rPr>
              <w:t>the</w:t>
            </w:r>
            <w:r w:rsidRPr="00174414">
              <w:rPr>
                <w:color w:val="auto"/>
                <w:sz w:val="20"/>
              </w:rPr>
              <w:t xml:space="preserve"> summar</w:t>
            </w:r>
            <w:r w:rsidR="0DFDEB19" w:rsidRPr="00174414">
              <w:rPr>
                <w:color w:val="auto"/>
                <w:sz w:val="20"/>
              </w:rPr>
              <w:t>ies</w:t>
            </w:r>
            <w:r w:rsidRPr="00174414">
              <w:rPr>
                <w:color w:val="auto"/>
                <w:sz w:val="20"/>
              </w:rPr>
              <w:t xml:space="preserve"> of relevant data from the EFSA </w:t>
            </w:r>
            <w:r w:rsidR="00252589" w:rsidRPr="00174414">
              <w:rPr>
                <w:color w:val="auto"/>
                <w:sz w:val="20"/>
              </w:rPr>
              <w:t xml:space="preserve">CONTAM </w:t>
            </w:r>
            <w:r w:rsidR="00E905A3" w:rsidRPr="00174414">
              <w:rPr>
                <w:color w:val="auto"/>
                <w:sz w:val="20"/>
              </w:rPr>
              <w:t xml:space="preserve">(2015) </w:t>
            </w:r>
            <w:r w:rsidRPr="00174414">
              <w:rPr>
                <w:color w:val="auto"/>
                <w:sz w:val="20"/>
              </w:rPr>
              <w:t>scientific opinion on</w:t>
            </w:r>
            <w:r w:rsidRPr="00174414">
              <w:rPr>
                <w:color w:val="auto"/>
              </w:rPr>
              <w:fldChar w:fldCharType="begin"/>
            </w:r>
            <w:r w:rsidRPr="00174414">
              <w:rPr>
                <w:color w:val="auto"/>
              </w:rPr>
              <w:instrText>HYPERLINK "https://www.efsa.europa.eu/en/efsajournal/pub/4141"</w:instrText>
            </w:r>
            <w:r w:rsidRPr="00174414">
              <w:rPr>
                <w:color w:val="auto"/>
              </w:rPr>
            </w:r>
            <w:r w:rsidRPr="00174414">
              <w:rPr>
                <w:color w:val="auto"/>
              </w:rPr>
              <w:fldChar w:fldCharType="separate"/>
            </w:r>
          </w:p>
          <w:p w14:paraId="0A356E60" w14:textId="4F3288E1" w:rsidR="004563A9" w:rsidRPr="00174414" w:rsidRDefault="004563A9" w:rsidP="00B766A3">
            <w:pPr>
              <w:pStyle w:val="EFSATabledata"/>
              <w:jc w:val="both"/>
              <w:cnfStyle w:val="000000100000" w:firstRow="0" w:lastRow="0" w:firstColumn="0" w:lastColumn="0" w:oddVBand="0" w:evenVBand="0" w:oddHBand="1" w:evenHBand="0" w:firstRowFirstColumn="0" w:firstRowLastColumn="0" w:lastRowFirstColumn="0" w:lastRowLastColumn="0"/>
              <w:rPr>
                <w:rStyle w:val="Hyperlink"/>
                <w:color w:val="auto"/>
                <w:sz w:val="20"/>
              </w:rPr>
            </w:pPr>
            <w:r w:rsidRPr="00174414">
              <w:rPr>
                <w:rStyle w:val="Hyperlink"/>
                <w:color w:val="auto"/>
              </w:rPr>
              <w:t>Tetrahydrocannabinol in milk and other food of animal origin</w:t>
            </w:r>
          </w:p>
          <w:p w14:paraId="63B6A99E" w14:textId="616D3EE1" w:rsidR="00796F30" w:rsidRPr="00174414" w:rsidRDefault="004563A9" w:rsidP="00B766A3">
            <w:pPr>
              <w:pStyle w:val="EFSATabledata"/>
              <w:jc w:val="both"/>
              <w:cnfStyle w:val="000000100000" w:firstRow="0" w:lastRow="0" w:firstColumn="0" w:lastColumn="0" w:oddVBand="0" w:evenVBand="0" w:oddHBand="1" w:evenHBand="0" w:firstRowFirstColumn="0" w:firstRowLastColumn="0" w:lastRowFirstColumn="0" w:lastRowLastColumn="0"/>
              <w:rPr>
                <w:color w:val="auto"/>
                <w:sz w:val="20"/>
                <w:highlight w:val="yellow"/>
              </w:rPr>
            </w:pPr>
            <w:r w:rsidRPr="00174414">
              <w:rPr>
                <w:color w:val="auto"/>
              </w:rPr>
              <w:fldChar w:fldCharType="end"/>
            </w:r>
            <w:r w:rsidR="00160C22" w:rsidRPr="00174414">
              <w:rPr>
                <w:color w:val="auto"/>
                <w:sz w:val="20"/>
              </w:rPr>
              <w:t>w</w:t>
            </w:r>
            <w:r w:rsidR="00592684" w:rsidRPr="00174414">
              <w:rPr>
                <w:color w:val="auto"/>
                <w:sz w:val="20"/>
              </w:rPr>
              <w:t>hich are</w:t>
            </w:r>
            <w:r w:rsidRPr="00174414">
              <w:rPr>
                <w:color w:val="auto"/>
                <w:sz w:val="20"/>
              </w:rPr>
              <w:t xml:space="preserve"> provided</w:t>
            </w:r>
            <w:r w:rsidR="1E7BCD98" w:rsidRPr="00174414">
              <w:rPr>
                <w:color w:val="auto"/>
                <w:sz w:val="20"/>
              </w:rPr>
              <w:t xml:space="preserve"> to facilitate the readers non familiar with the previous opinion</w:t>
            </w:r>
            <w:r w:rsidRPr="00174414">
              <w:rPr>
                <w:color w:val="auto"/>
                <w:sz w:val="20"/>
              </w:rPr>
              <w:t>.</w:t>
            </w:r>
          </w:p>
        </w:tc>
      </w:tr>
      <w:tr w:rsidR="00174414" w:rsidRPr="00174414" w14:paraId="05C5468C" w14:textId="7196093B" w:rsidTr="00ED449F">
        <w:trPr>
          <w:trHeight w:val="3244"/>
        </w:trPr>
        <w:tc>
          <w:tcPr>
            <w:cnfStyle w:val="001000000000" w:firstRow="0" w:lastRow="0" w:firstColumn="1" w:lastColumn="0" w:oddVBand="0" w:evenVBand="0" w:oddHBand="0" w:evenHBand="0" w:firstRowFirstColumn="0" w:firstRowLastColumn="0" w:lastRowFirstColumn="0" w:lastRowLastColumn="0"/>
            <w:tcW w:w="1323" w:type="dxa"/>
          </w:tcPr>
          <w:p w14:paraId="5A96E79E" w14:textId="3DABAC21" w:rsidR="00796F30" w:rsidRPr="00174414" w:rsidRDefault="00796F30" w:rsidP="00B766A3">
            <w:pPr>
              <w:pStyle w:val="EFSATablefirstcolumn"/>
              <w:rPr>
                <w:color w:val="auto"/>
                <w:sz w:val="20"/>
              </w:rPr>
            </w:pPr>
            <w:r w:rsidRPr="00174414">
              <w:rPr>
                <w:color w:val="auto"/>
                <w:sz w:val="20"/>
              </w:rPr>
              <w:t>4</w:t>
            </w:r>
          </w:p>
        </w:tc>
        <w:tc>
          <w:tcPr>
            <w:tcW w:w="1969" w:type="dxa"/>
          </w:tcPr>
          <w:p w14:paraId="6A4084E4" w14:textId="188A4527" w:rsidR="00796F30" w:rsidRPr="00174414" w:rsidRDefault="00796F30" w:rsidP="00B766A3">
            <w:pPr>
              <w:pStyle w:val="EFSATabledata"/>
              <w:tabs>
                <w:tab w:val="clear" w:pos="454"/>
                <w:tab w:val="decimal" w:pos="113"/>
              </w:tabs>
              <w:cnfStyle w:val="000000000000" w:firstRow="0" w:lastRow="0" w:firstColumn="0" w:lastColumn="0" w:oddVBand="0" w:evenVBand="0" w:oddHBand="0" w:evenHBand="0" w:firstRowFirstColumn="0" w:firstRowLastColumn="0" w:lastRowFirstColumn="0" w:lastRowLastColumn="0"/>
              <w:rPr>
                <w:color w:val="auto"/>
                <w:sz w:val="20"/>
              </w:rPr>
            </w:pPr>
            <w:r w:rsidRPr="00174414">
              <w:rPr>
                <w:color w:val="auto"/>
                <w:sz w:val="20"/>
              </w:rPr>
              <w:t>UK Committee on Toxicity</w:t>
            </w:r>
          </w:p>
        </w:tc>
        <w:tc>
          <w:tcPr>
            <w:tcW w:w="2252" w:type="dxa"/>
          </w:tcPr>
          <w:p w14:paraId="48371FA1" w14:textId="0113A6CB" w:rsidR="00796F30" w:rsidRPr="00174414" w:rsidRDefault="00796F30" w:rsidP="00B766A3">
            <w:pPr>
              <w:pStyle w:val="EFSATabledata"/>
              <w:tabs>
                <w:tab w:val="clear" w:pos="454"/>
              </w:tabs>
              <w:cnfStyle w:val="000000000000" w:firstRow="0" w:lastRow="0" w:firstColumn="0" w:lastColumn="0" w:oddVBand="0" w:evenVBand="0" w:oddHBand="0" w:evenHBand="0" w:firstRowFirstColumn="0" w:firstRowLastColumn="0" w:lastRowFirstColumn="0" w:lastRowLastColumn="0"/>
              <w:rPr>
                <w:rFonts w:cs="Calibri"/>
                <w:color w:val="auto"/>
                <w:sz w:val="20"/>
              </w:rPr>
            </w:pPr>
            <w:r w:rsidRPr="00174414">
              <w:rPr>
                <w:rFonts w:cs="Calibri"/>
                <w:color w:val="auto"/>
                <w:sz w:val="20"/>
              </w:rPr>
              <w:t>5 Recommendations</w:t>
            </w:r>
          </w:p>
        </w:tc>
        <w:tc>
          <w:tcPr>
            <w:tcW w:w="4589" w:type="dxa"/>
          </w:tcPr>
          <w:p w14:paraId="31D1BDB8" w14:textId="677A3DBD" w:rsidR="00796F30" w:rsidRPr="00174414" w:rsidRDefault="00796F30" w:rsidP="00B766A3">
            <w:pPr>
              <w:pStyle w:val="EFSATabledata"/>
              <w:tabs>
                <w:tab w:val="clear" w:pos="454"/>
              </w:tabs>
              <w:jc w:val="both"/>
              <w:cnfStyle w:val="000000000000" w:firstRow="0" w:lastRow="0" w:firstColumn="0" w:lastColumn="0" w:oddVBand="0" w:evenVBand="0" w:oddHBand="0" w:evenHBand="0" w:firstRowFirstColumn="0" w:firstRowLastColumn="0" w:lastRowFirstColumn="0" w:lastRowLastColumn="0"/>
              <w:rPr>
                <w:rFonts w:cs="Calibri"/>
                <w:color w:val="auto"/>
                <w:sz w:val="20"/>
              </w:rPr>
            </w:pPr>
            <w:r w:rsidRPr="00174414">
              <w:rPr>
                <w:rFonts w:cs="Calibri"/>
                <w:color w:val="auto"/>
                <w:sz w:val="20"/>
              </w:rPr>
              <w:t>The Committee on Toxicity is broadly supportive of EFSA’s recommendations for further research, concluding that these will help in the future with further investigation of Δ</w:t>
            </w:r>
            <w:r w:rsidRPr="00174414">
              <w:rPr>
                <w:rFonts w:cs="Calibri"/>
                <w:color w:val="auto"/>
                <w:sz w:val="20"/>
                <w:vertAlign w:val="superscript"/>
              </w:rPr>
              <w:t>8</w:t>
            </w:r>
            <w:r w:rsidRPr="00174414">
              <w:rPr>
                <w:rFonts w:cs="Calibri"/>
                <w:color w:val="auto"/>
                <w:sz w:val="20"/>
              </w:rPr>
              <w:t xml:space="preserve"> -THC. However, it considers that there is insufficient evidence to confidently set an </w:t>
            </w:r>
            <w:r w:rsidR="00F93FAE" w:rsidRPr="00174414">
              <w:rPr>
                <w:rFonts w:cs="Calibri"/>
                <w:color w:val="auto"/>
                <w:sz w:val="20"/>
              </w:rPr>
              <w:t>Rafid</w:t>
            </w:r>
            <w:r w:rsidRPr="00174414">
              <w:rPr>
                <w:rFonts w:cs="Calibri"/>
                <w:color w:val="auto"/>
                <w:sz w:val="20"/>
              </w:rPr>
              <w:t xml:space="preserve"> for Δ</w:t>
            </w:r>
            <w:r w:rsidRPr="00174414">
              <w:rPr>
                <w:rFonts w:cs="Calibri"/>
                <w:color w:val="auto"/>
                <w:sz w:val="20"/>
                <w:vertAlign w:val="superscript"/>
              </w:rPr>
              <w:t>8</w:t>
            </w:r>
            <w:r w:rsidRPr="00174414">
              <w:rPr>
                <w:rFonts w:cs="Calibri"/>
                <w:color w:val="auto"/>
                <w:sz w:val="20"/>
              </w:rPr>
              <w:t xml:space="preserve"> -THC from the information currently available.</w:t>
            </w:r>
          </w:p>
        </w:tc>
        <w:tc>
          <w:tcPr>
            <w:tcW w:w="3586" w:type="dxa"/>
          </w:tcPr>
          <w:p w14:paraId="23ED1FC9" w14:textId="03A82773" w:rsidR="00796F30" w:rsidRPr="00174414" w:rsidRDefault="004563A9" w:rsidP="00B766A3">
            <w:pPr>
              <w:pStyle w:val="EFSATabledata"/>
              <w:jc w:val="both"/>
              <w:cnfStyle w:val="000000000000" w:firstRow="0" w:lastRow="0" w:firstColumn="0" w:lastColumn="0" w:oddVBand="0" w:evenVBand="0" w:oddHBand="0" w:evenHBand="0" w:firstRowFirstColumn="0" w:firstRowLastColumn="0" w:lastRowFirstColumn="0" w:lastRowLastColumn="0"/>
              <w:rPr>
                <w:color w:val="auto"/>
                <w:sz w:val="20"/>
                <w:highlight w:val="yellow"/>
              </w:rPr>
            </w:pPr>
            <w:r w:rsidRPr="00174414">
              <w:rPr>
                <w:color w:val="auto"/>
                <w:sz w:val="20"/>
              </w:rPr>
              <w:t>The EFSA CONTAM Panel agrees that limited information is available on Δ</w:t>
            </w:r>
            <w:r w:rsidRPr="00174414">
              <w:rPr>
                <w:color w:val="auto"/>
                <w:sz w:val="20"/>
                <w:vertAlign w:val="superscript"/>
              </w:rPr>
              <w:t>8</w:t>
            </w:r>
            <w:r w:rsidRPr="00174414">
              <w:rPr>
                <w:color w:val="auto"/>
                <w:sz w:val="20"/>
              </w:rPr>
              <w:t xml:space="preserve"> -THC. However, the Panel </w:t>
            </w:r>
            <w:r w:rsidR="00170F23" w:rsidRPr="00174414">
              <w:rPr>
                <w:color w:val="auto"/>
                <w:sz w:val="20"/>
              </w:rPr>
              <w:t>considers</w:t>
            </w:r>
            <w:r w:rsidRPr="00174414">
              <w:rPr>
                <w:color w:val="auto"/>
                <w:sz w:val="20"/>
              </w:rPr>
              <w:t xml:space="preserve"> that</w:t>
            </w:r>
            <w:r w:rsidR="00170F23" w:rsidRPr="00174414">
              <w:rPr>
                <w:color w:val="auto"/>
                <w:sz w:val="20"/>
              </w:rPr>
              <w:t>,</w:t>
            </w:r>
            <w:r w:rsidRPr="00174414">
              <w:rPr>
                <w:color w:val="auto"/>
                <w:sz w:val="20"/>
              </w:rPr>
              <w:t xml:space="preserve"> despite the limitations</w:t>
            </w:r>
            <w:r w:rsidR="004E6B69" w:rsidRPr="00174414">
              <w:rPr>
                <w:color w:val="auto"/>
                <w:sz w:val="20"/>
              </w:rPr>
              <w:t>,</w:t>
            </w:r>
            <w:r w:rsidRPr="00174414">
              <w:rPr>
                <w:color w:val="auto"/>
                <w:sz w:val="20"/>
              </w:rPr>
              <w:t xml:space="preserve"> </w:t>
            </w:r>
            <w:r w:rsidR="00170F23" w:rsidRPr="00174414">
              <w:rPr>
                <w:color w:val="auto"/>
                <w:sz w:val="20"/>
              </w:rPr>
              <w:t xml:space="preserve">the extrapolation </w:t>
            </w:r>
            <w:r w:rsidR="005546B1" w:rsidRPr="00174414">
              <w:rPr>
                <w:color w:val="auto"/>
                <w:sz w:val="20"/>
              </w:rPr>
              <w:t>to include Δ</w:t>
            </w:r>
            <w:r w:rsidR="005546B1" w:rsidRPr="00174414">
              <w:rPr>
                <w:color w:val="auto"/>
                <w:sz w:val="20"/>
                <w:vertAlign w:val="superscript"/>
              </w:rPr>
              <w:t>8</w:t>
            </w:r>
            <w:r w:rsidR="005546B1" w:rsidRPr="00174414">
              <w:rPr>
                <w:color w:val="auto"/>
                <w:sz w:val="20"/>
              </w:rPr>
              <w:t xml:space="preserve"> -THC in </w:t>
            </w:r>
            <w:r w:rsidR="00170F23" w:rsidRPr="00174414">
              <w:rPr>
                <w:color w:val="auto"/>
                <w:sz w:val="20"/>
              </w:rPr>
              <w:t xml:space="preserve">the </w:t>
            </w:r>
            <w:proofErr w:type="spellStart"/>
            <w:r w:rsidR="00170F23" w:rsidRPr="00174414">
              <w:rPr>
                <w:color w:val="auto"/>
                <w:sz w:val="20"/>
              </w:rPr>
              <w:t>ARfD</w:t>
            </w:r>
            <w:proofErr w:type="spellEnd"/>
            <w:r w:rsidR="00170F23" w:rsidRPr="00174414">
              <w:rPr>
                <w:color w:val="auto"/>
                <w:sz w:val="20"/>
              </w:rPr>
              <w:t xml:space="preserve"> </w:t>
            </w:r>
            <w:r w:rsidR="005546B1" w:rsidRPr="00174414">
              <w:rPr>
                <w:color w:val="auto"/>
                <w:sz w:val="20"/>
              </w:rPr>
              <w:t>set for Δ</w:t>
            </w:r>
            <w:r w:rsidR="005546B1" w:rsidRPr="00174414">
              <w:rPr>
                <w:color w:val="auto"/>
                <w:sz w:val="20"/>
                <w:vertAlign w:val="superscript"/>
              </w:rPr>
              <w:t>9</w:t>
            </w:r>
            <w:r w:rsidR="005546B1" w:rsidRPr="00174414">
              <w:rPr>
                <w:color w:val="auto"/>
                <w:sz w:val="20"/>
              </w:rPr>
              <w:t xml:space="preserve"> -THC is scientifically justified</w:t>
            </w:r>
            <w:r w:rsidR="00170F23" w:rsidRPr="00174414">
              <w:rPr>
                <w:color w:val="auto"/>
                <w:sz w:val="20"/>
              </w:rPr>
              <w:t xml:space="preserve">. The Panel would like </w:t>
            </w:r>
            <w:r w:rsidR="005546B1" w:rsidRPr="00174414">
              <w:rPr>
                <w:color w:val="auto"/>
                <w:sz w:val="20"/>
              </w:rPr>
              <w:t>also to clarify</w:t>
            </w:r>
            <w:r w:rsidR="00170F23" w:rsidRPr="00174414">
              <w:rPr>
                <w:color w:val="auto"/>
                <w:sz w:val="20"/>
              </w:rPr>
              <w:t xml:space="preserve"> that no </w:t>
            </w:r>
            <w:proofErr w:type="spellStart"/>
            <w:r w:rsidR="00170F23" w:rsidRPr="00174414">
              <w:rPr>
                <w:color w:val="auto"/>
                <w:sz w:val="20"/>
              </w:rPr>
              <w:t>ARfD</w:t>
            </w:r>
            <w:proofErr w:type="spellEnd"/>
            <w:r w:rsidR="00170F23" w:rsidRPr="00174414">
              <w:rPr>
                <w:color w:val="auto"/>
                <w:sz w:val="20"/>
              </w:rPr>
              <w:t xml:space="preserve"> </w:t>
            </w:r>
            <w:r w:rsidR="005546B1" w:rsidRPr="00174414">
              <w:rPr>
                <w:color w:val="auto"/>
                <w:sz w:val="20"/>
              </w:rPr>
              <w:t xml:space="preserve">has been established separately on </w:t>
            </w:r>
            <w:r w:rsidR="00170F23" w:rsidRPr="00174414">
              <w:rPr>
                <w:color w:val="auto"/>
                <w:sz w:val="20"/>
              </w:rPr>
              <w:t>Δ</w:t>
            </w:r>
            <w:r w:rsidR="00170F23" w:rsidRPr="00174414">
              <w:rPr>
                <w:color w:val="auto"/>
                <w:sz w:val="20"/>
                <w:vertAlign w:val="superscript"/>
              </w:rPr>
              <w:t>8</w:t>
            </w:r>
            <w:r w:rsidR="005546B1" w:rsidRPr="00174414">
              <w:rPr>
                <w:color w:val="auto"/>
                <w:sz w:val="20"/>
              </w:rPr>
              <w:t>-</w:t>
            </w:r>
            <w:r w:rsidR="00170F23" w:rsidRPr="00174414">
              <w:rPr>
                <w:color w:val="auto"/>
                <w:sz w:val="20"/>
              </w:rPr>
              <w:t xml:space="preserve">THC. </w:t>
            </w:r>
            <w:r w:rsidR="005546B1" w:rsidRPr="00174414">
              <w:rPr>
                <w:color w:val="auto"/>
                <w:sz w:val="20"/>
              </w:rPr>
              <w:t>It</w:t>
            </w:r>
            <w:r w:rsidR="00170F23" w:rsidRPr="00174414">
              <w:rPr>
                <w:color w:val="auto"/>
                <w:sz w:val="20"/>
              </w:rPr>
              <w:t xml:space="preserve"> also understands that the UK COT currently </w:t>
            </w:r>
            <w:r w:rsidR="005546B1" w:rsidRPr="00174414">
              <w:rPr>
                <w:color w:val="auto"/>
                <w:sz w:val="20"/>
              </w:rPr>
              <w:t>supports</w:t>
            </w:r>
            <w:r w:rsidR="00170F23" w:rsidRPr="00174414">
              <w:rPr>
                <w:color w:val="auto"/>
                <w:sz w:val="20"/>
              </w:rPr>
              <w:t xml:space="preserve"> the </w:t>
            </w:r>
            <w:proofErr w:type="spellStart"/>
            <w:r w:rsidR="00170F23" w:rsidRPr="00174414">
              <w:rPr>
                <w:color w:val="auto"/>
                <w:sz w:val="20"/>
              </w:rPr>
              <w:t>ARfD</w:t>
            </w:r>
            <w:proofErr w:type="spellEnd"/>
            <w:r w:rsidR="00170F23" w:rsidRPr="00174414">
              <w:rPr>
                <w:color w:val="auto"/>
                <w:sz w:val="20"/>
              </w:rPr>
              <w:t xml:space="preserve"> set for Δ</w:t>
            </w:r>
            <w:r w:rsidR="00170F23" w:rsidRPr="00174414">
              <w:rPr>
                <w:color w:val="auto"/>
                <w:sz w:val="20"/>
                <w:vertAlign w:val="superscript"/>
              </w:rPr>
              <w:t>9</w:t>
            </w:r>
            <w:r w:rsidR="00170F23" w:rsidRPr="00174414">
              <w:rPr>
                <w:color w:val="auto"/>
                <w:sz w:val="20"/>
              </w:rPr>
              <w:t xml:space="preserve"> -THC</w:t>
            </w:r>
            <w:r w:rsidR="005546B1" w:rsidRPr="00174414">
              <w:rPr>
                <w:color w:val="auto"/>
                <w:sz w:val="20"/>
              </w:rPr>
              <w:t>.</w:t>
            </w:r>
          </w:p>
        </w:tc>
      </w:tr>
      <w:tr w:rsidR="00174414" w:rsidRPr="00174414" w14:paraId="15CFA6AA" w14:textId="5AE92587" w:rsidTr="00ED449F">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1323" w:type="dxa"/>
          </w:tcPr>
          <w:p w14:paraId="7C302147" w14:textId="7DF73B76" w:rsidR="00796F30" w:rsidRPr="00174414" w:rsidRDefault="00796F30" w:rsidP="00B766A3">
            <w:pPr>
              <w:pStyle w:val="EFSATablefirstcolumn"/>
              <w:rPr>
                <w:color w:val="auto"/>
                <w:sz w:val="20"/>
              </w:rPr>
            </w:pPr>
            <w:r w:rsidRPr="00174414">
              <w:rPr>
                <w:color w:val="auto"/>
                <w:sz w:val="20"/>
              </w:rPr>
              <w:t>5</w:t>
            </w:r>
          </w:p>
        </w:tc>
        <w:tc>
          <w:tcPr>
            <w:tcW w:w="1969" w:type="dxa"/>
          </w:tcPr>
          <w:p w14:paraId="5D799861" w14:textId="39FDDC84" w:rsidR="00796F30" w:rsidRPr="00174414" w:rsidRDefault="00796F30" w:rsidP="00B766A3">
            <w:pPr>
              <w:pStyle w:val="EFSATabledata"/>
              <w:tabs>
                <w:tab w:val="clear" w:pos="454"/>
              </w:tabs>
              <w:cnfStyle w:val="000000100000" w:firstRow="0" w:lastRow="0" w:firstColumn="0" w:lastColumn="0" w:oddVBand="0" w:evenVBand="0" w:oddHBand="1" w:evenHBand="0" w:firstRowFirstColumn="0" w:firstRowLastColumn="0" w:lastRowFirstColumn="0" w:lastRowLastColumn="0"/>
              <w:rPr>
                <w:color w:val="auto"/>
                <w:sz w:val="20"/>
              </w:rPr>
            </w:pPr>
            <w:r w:rsidRPr="00174414">
              <w:rPr>
                <w:color w:val="auto"/>
                <w:sz w:val="20"/>
              </w:rPr>
              <w:t>UK Committee on Toxicity</w:t>
            </w:r>
          </w:p>
        </w:tc>
        <w:tc>
          <w:tcPr>
            <w:tcW w:w="2252" w:type="dxa"/>
          </w:tcPr>
          <w:p w14:paraId="1CD7972F" w14:textId="69F263C7" w:rsidR="00796F30" w:rsidRPr="00174414" w:rsidRDefault="00796F30" w:rsidP="00B766A3">
            <w:pPr>
              <w:pStyle w:val="EFSATabledata"/>
              <w:tabs>
                <w:tab w:val="clear" w:pos="454"/>
              </w:tabs>
              <w:cnfStyle w:val="000000100000" w:firstRow="0" w:lastRow="0" w:firstColumn="0" w:lastColumn="0" w:oddVBand="0" w:evenVBand="0" w:oddHBand="1" w:evenHBand="0" w:firstRowFirstColumn="0" w:firstRowLastColumn="0" w:lastRowFirstColumn="0" w:lastRowLastColumn="0"/>
              <w:rPr>
                <w:rFonts w:cs="Calibri"/>
                <w:color w:val="auto"/>
                <w:sz w:val="20"/>
              </w:rPr>
            </w:pPr>
            <w:r w:rsidRPr="00174414">
              <w:rPr>
                <w:rFonts w:cs="Calibri"/>
                <w:color w:val="auto"/>
                <w:sz w:val="20"/>
              </w:rPr>
              <w:t>1.3.2 Previous assessments</w:t>
            </w:r>
          </w:p>
        </w:tc>
        <w:tc>
          <w:tcPr>
            <w:tcW w:w="4589" w:type="dxa"/>
          </w:tcPr>
          <w:p w14:paraId="6E0CBAAC" w14:textId="1C31019F" w:rsidR="00796F30" w:rsidRPr="00174414" w:rsidRDefault="00796F30" w:rsidP="00B766A3">
            <w:pPr>
              <w:pStyle w:val="EFSATabledata"/>
              <w:tabs>
                <w:tab w:val="clear" w:pos="454"/>
              </w:tabs>
              <w:jc w:val="both"/>
              <w:cnfStyle w:val="000000100000" w:firstRow="0" w:lastRow="0" w:firstColumn="0" w:lastColumn="0" w:oddVBand="0" w:evenVBand="0" w:oddHBand="1" w:evenHBand="0" w:firstRowFirstColumn="0" w:firstRowLastColumn="0" w:lastRowFirstColumn="0" w:lastRowLastColumn="0"/>
              <w:rPr>
                <w:rFonts w:cs="Calibri"/>
                <w:color w:val="auto"/>
                <w:sz w:val="20"/>
              </w:rPr>
            </w:pPr>
            <w:r w:rsidRPr="00174414">
              <w:rPr>
                <w:rFonts w:cs="Calibri"/>
                <w:color w:val="auto"/>
                <w:sz w:val="20"/>
              </w:rPr>
              <w:t>In section 1.3.2 Previous assessments, no reference is made to any UK papers on this matter. The UK position is that precursors, specifically including Δ</w:t>
            </w:r>
            <w:r w:rsidRPr="00174414">
              <w:rPr>
                <w:rFonts w:cs="Calibri"/>
                <w:color w:val="auto"/>
                <w:sz w:val="20"/>
                <w:vertAlign w:val="superscript"/>
              </w:rPr>
              <w:t>9</w:t>
            </w:r>
            <w:r w:rsidRPr="00174414">
              <w:rPr>
                <w:rFonts w:cs="Calibri"/>
                <w:color w:val="auto"/>
                <w:sz w:val="20"/>
              </w:rPr>
              <w:t xml:space="preserve"> -THCA, should be taken into consideration when including other compounds in the </w:t>
            </w:r>
            <w:proofErr w:type="spellStart"/>
            <w:r w:rsidRPr="00174414">
              <w:rPr>
                <w:rFonts w:cs="Calibri"/>
                <w:color w:val="auto"/>
                <w:sz w:val="20"/>
              </w:rPr>
              <w:t>ARfD</w:t>
            </w:r>
            <w:proofErr w:type="spellEnd"/>
            <w:r w:rsidRPr="00174414">
              <w:rPr>
                <w:rFonts w:cs="Calibri"/>
                <w:color w:val="auto"/>
                <w:sz w:val="20"/>
              </w:rPr>
              <w:t xml:space="preserve">. For information: a. The Joint position paper </w:t>
            </w:r>
            <w:r w:rsidRPr="00174414">
              <w:rPr>
                <w:rFonts w:cs="Calibri"/>
                <w:color w:val="auto"/>
                <w:sz w:val="20"/>
              </w:rPr>
              <w:lastRenderedPageBreak/>
              <w:t>from the Advisory Committee on Novel foods and Processes (ACNFP) &amp; Committee on Toxicity (COT) on establishing a Safe Upper Limit for Δ</w:t>
            </w:r>
            <w:r w:rsidRPr="00174414">
              <w:rPr>
                <w:rFonts w:cs="Calibri"/>
                <w:color w:val="auto"/>
                <w:sz w:val="20"/>
                <w:vertAlign w:val="superscript"/>
              </w:rPr>
              <w:t>9</w:t>
            </w:r>
            <w:r w:rsidRPr="00174414">
              <w:rPr>
                <w:rFonts w:cs="Calibri"/>
                <w:color w:val="auto"/>
                <w:sz w:val="20"/>
              </w:rPr>
              <w:t xml:space="preserve"> -THC and its precursor as including CBD novel foods. In this opinion the ACNFP and COT endorsed the EFSA </w:t>
            </w:r>
            <w:proofErr w:type="spellStart"/>
            <w:r w:rsidRPr="00174414">
              <w:rPr>
                <w:rFonts w:cs="Calibri"/>
                <w:color w:val="auto"/>
                <w:sz w:val="20"/>
              </w:rPr>
              <w:t>ARfD</w:t>
            </w:r>
            <w:proofErr w:type="spellEnd"/>
            <w:r w:rsidRPr="00174414">
              <w:rPr>
                <w:rFonts w:cs="Calibri"/>
                <w:color w:val="auto"/>
                <w:sz w:val="20"/>
              </w:rPr>
              <w:t xml:space="preserve"> value of 1 </w:t>
            </w:r>
            <w:proofErr w:type="spellStart"/>
            <w:r w:rsidRPr="00174414">
              <w:rPr>
                <w:rFonts w:cs="Calibri"/>
                <w:color w:val="auto"/>
                <w:sz w:val="20"/>
              </w:rPr>
              <w:t>μg</w:t>
            </w:r>
            <w:proofErr w:type="spellEnd"/>
            <w:r w:rsidRPr="00174414">
              <w:rPr>
                <w:rFonts w:cs="Calibri"/>
                <w:color w:val="auto"/>
                <w:sz w:val="20"/>
              </w:rPr>
              <w:t xml:space="preserve"> /kg bodyweight; both Δ</w:t>
            </w:r>
            <w:r w:rsidRPr="00174414">
              <w:rPr>
                <w:rFonts w:cs="Calibri"/>
                <w:color w:val="auto"/>
                <w:sz w:val="20"/>
                <w:vertAlign w:val="superscript"/>
              </w:rPr>
              <w:t>9</w:t>
            </w:r>
            <w:r w:rsidRPr="00174414">
              <w:rPr>
                <w:rFonts w:cs="Calibri"/>
                <w:color w:val="auto"/>
                <w:sz w:val="20"/>
              </w:rPr>
              <w:t xml:space="preserve"> -THC and Δ</w:t>
            </w:r>
            <w:r w:rsidRPr="00174414">
              <w:rPr>
                <w:rFonts w:cs="Calibri"/>
                <w:color w:val="auto"/>
                <w:sz w:val="20"/>
                <w:vertAlign w:val="superscript"/>
              </w:rPr>
              <w:t>9</w:t>
            </w:r>
            <w:r w:rsidRPr="00174414">
              <w:rPr>
                <w:rFonts w:cs="Calibri"/>
                <w:color w:val="auto"/>
                <w:sz w:val="20"/>
              </w:rPr>
              <w:t xml:space="preserve"> -THCA are included in this HBGV. Reference: Joint position paper from the (ACNFP) &amp; (COT) on establishing a Safe Upper Limit for delta-9-tetrahydrocannabinol (Δ</w:t>
            </w:r>
            <w:r w:rsidRPr="00174414">
              <w:rPr>
                <w:rFonts w:cs="Calibri"/>
                <w:color w:val="auto"/>
                <w:sz w:val="20"/>
                <w:vertAlign w:val="superscript"/>
              </w:rPr>
              <w:t>9</w:t>
            </w:r>
            <w:r w:rsidRPr="00174414">
              <w:rPr>
                <w:rFonts w:cs="Calibri"/>
                <w:color w:val="auto"/>
                <w:sz w:val="20"/>
              </w:rPr>
              <w:t xml:space="preserve">-THC) and its precursor as contaminants of hemp-derived products including CBD novel foods b. The Advisory Council on the Misuse of Drugs (ACMD) recommends “That the total dose of delta-9-THC (including delta-9-THCA) and all other controlled </w:t>
            </w:r>
            <w:proofErr w:type="spellStart"/>
            <w:r w:rsidRPr="00174414">
              <w:rPr>
                <w:rFonts w:cs="Calibri"/>
                <w:color w:val="auto"/>
                <w:sz w:val="20"/>
              </w:rPr>
              <w:t>phytocannabinoids</w:t>
            </w:r>
            <w:proofErr w:type="spellEnd"/>
            <w:r w:rsidRPr="00174414">
              <w:rPr>
                <w:rFonts w:cs="Calibri"/>
                <w:color w:val="auto"/>
                <w:sz w:val="20"/>
              </w:rPr>
              <w:t xml:space="preserve"> in consumer CBD products be controlled. The dose of each controlled </w:t>
            </w:r>
            <w:proofErr w:type="spellStart"/>
            <w:r w:rsidRPr="00174414">
              <w:rPr>
                <w:rFonts w:cs="Calibri"/>
                <w:color w:val="auto"/>
                <w:sz w:val="20"/>
              </w:rPr>
              <w:t>phytocannabinoid</w:t>
            </w:r>
            <w:proofErr w:type="spellEnd"/>
            <w:r w:rsidRPr="00174414">
              <w:rPr>
                <w:rFonts w:cs="Calibri"/>
                <w:color w:val="auto"/>
                <w:sz w:val="20"/>
              </w:rPr>
              <w:t xml:space="preserve"> should not exceed 50 micrograms per unit of consumption. A unit of consumption or ‘single serving’ being defined as the typical quantity of a CBD product consumed on one occasion.” Reference: Advisory council on the Misuse of Drugs, Government response to the ACMD’s advice on consumer CBD products</w:t>
            </w:r>
          </w:p>
        </w:tc>
        <w:tc>
          <w:tcPr>
            <w:tcW w:w="3586" w:type="dxa"/>
          </w:tcPr>
          <w:p w14:paraId="5E794227" w14:textId="6EC72F9C" w:rsidR="000214F3" w:rsidRPr="00174414" w:rsidRDefault="005546B1" w:rsidP="00B766A3">
            <w:pPr>
              <w:pStyle w:val="EFSATabledata"/>
              <w:jc w:val="both"/>
              <w:cnfStyle w:val="000000100000" w:firstRow="0" w:lastRow="0" w:firstColumn="0" w:lastColumn="0" w:oddVBand="0" w:evenVBand="0" w:oddHBand="1" w:evenHBand="0" w:firstRowFirstColumn="0" w:firstRowLastColumn="0" w:lastRowFirstColumn="0" w:lastRowLastColumn="0"/>
              <w:rPr>
                <w:color w:val="auto"/>
                <w:sz w:val="20"/>
              </w:rPr>
            </w:pPr>
            <w:r w:rsidRPr="00174414">
              <w:rPr>
                <w:color w:val="auto"/>
                <w:sz w:val="20"/>
              </w:rPr>
              <w:lastRenderedPageBreak/>
              <w:t xml:space="preserve">Thank you for this </w:t>
            </w:r>
            <w:r w:rsidR="00047FF7" w:rsidRPr="00174414">
              <w:rPr>
                <w:color w:val="auto"/>
                <w:sz w:val="20"/>
              </w:rPr>
              <w:t>comment</w:t>
            </w:r>
            <w:r w:rsidR="0066239A" w:rsidRPr="00174414">
              <w:rPr>
                <w:color w:val="auto"/>
                <w:sz w:val="20"/>
              </w:rPr>
              <w:t xml:space="preserve"> and the information</w:t>
            </w:r>
            <w:r w:rsidRPr="00174414">
              <w:rPr>
                <w:color w:val="auto"/>
                <w:sz w:val="20"/>
              </w:rPr>
              <w:t xml:space="preserve">. </w:t>
            </w:r>
            <w:r w:rsidR="000214F3" w:rsidRPr="00174414">
              <w:rPr>
                <w:color w:val="auto"/>
                <w:sz w:val="20"/>
              </w:rPr>
              <w:t>EFSA</w:t>
            </w:r>
            <w:r w:rsidR="001F4F15" w:rsidRPr="00174414">
              <w:rPr>
                <w:color w:val="auto"/>
                <w:sz w:val="20"/>
              </w:rPr>
              <w:t xml:space="preserve">’s opinion </w:t>
            </w:r>
            <w:r w:rsidR="0079301B" w:rsidRPr="00174414">
              <w:rPr>
                <w:color w:val="auto"/>
                <w:sz w:val="20"/>
              </w:rPr>
              <w:t>addresses</w:t>
            </w:r>
            <w:r w:rsidR="0079301B" w:rsidRPr="00174414">
              <w:rPr>
                <w:rFonts w:cs="Calibri"/>
                <w:color w:val="auto"/>
                <w:sz w:val="20"/>
              </w:rPr>
              <w:t xml:space="preserve"> </w:t>
            </w:r>
            <w:r w:rsidR="0079301B" w:rsidRPr="00174414">
              <w:rPr>
                <w:color w:val="auto"/>
                <w:sz w:val="20"/>
              </w:rPr>
              <w:t>Δ</w:t>
            </w:r>
            <w:r w:rsidR="0079301B" w:rsidRPr="00174414">
              <w:rPr>
                <w:color w:val="auto"/>
                <w:sz w:val="20"/>
                <w:vertAlign w:val="superscript"/>
              </w:rPr>
              <w:t>8</w:t>
            </w:r>
            <w:r w:rsidR="0079301B" w:rsidRPr="00174414">
              <w:rPr>
                <w:color w:val="auto"/>
                <w:sz w:val="20"/>
              </w:rPr>
              <w:t xml:space="preserve"> -THC </w:t>
            </w:r>
            <w:r w:rsidR="003624A4" w:rsidRPr="00174414">
              <w:rPr>
                <w:color w:val="auto"/>
                <w:sz w:val="20"/>
              </w:rPr>
              <w:t>while</w:t>
            </w:r>
            <w:r w:rsidR="0050182B" w:rsidRPr="00174414">
              <w:rPr>
                <w:color w:val="auto"/>
                <w:sz w:val="20"/>
              </w:rPr>
              <w:t xml:space="preserve"> </w:t>
            </w:r>
            <w:r w:rsidR="0066239A" w:rsidRPr="00174414">
              <w:rPr>
                <w:color w:val="auto"/>
                <w:sz w:val="20"/>
              </w:rPr>
              <w:t xml:space="preserve">the Joint position paper from the (ACNFP) &amp; (COT) on establishing a </w:t>
            </w:r>
          </w:p>
          <w:p w14:paraId="2397B6E6" w14:textId="4C6F2146" w:rsidR="00C9027A" w:rsidRPr="00174414" w:rsidRDefault="00C554BC" w:rsidP="00B766A3">
            <w:pPr>
              <w:pStyle w:val="EFSATabledata"/>
              <w:jc w:val="both"/>
              <w:cnfStyle w:val="000000100000" w:firstRow="0" w:lastRow="0" w:firstColumn="0" w:lastColumn="0" w:oddVBand="0" w:evenVBand="0" w:oddHBand="1" w:evenHBand="0" w:firstRowFirstColumn="0" w:firstRowLastColumn="0" w:lastRowFirstColumn="0" w:lastRowLastColumn="0"/>
              <w:rPr>
                <w:color w:val="auto"/>
                <w:sz w:val="20"/>
              </w:rPr>
            </w:pPr>
            <w:r w:rsidRPr="00174414">
              <w:rPr>
                <w:color w:val="auto"/>
                <w:sz w:val="20"/>
              </w:rPr>
              <w:t xml:space="preserve">Safety of synthetic cannabidiol as a novel food pursuant to </w:t>
            </w:r>
            <w:r w:rsidRPr="00174414">
              <w:rPr>
                <w:color w:val="auto"/>
                <w:sz w:val="20"/>
              </w:rPr>
              <w:lastRenderedPageBreak/>
              <w:t xml:space="preserve">Regulation (EU) 2015/2283 </w:t>
            </w:r>
            <w:r w:rsidR="00510D04" w:rsidRPr="00174414">
              <w:rPr>
                <w:color w:val="auto"/>
                <w:sz w:val="20"/>
              </w:rPr>
              <w:t>updated on 1 July 2025</w:t>
            </w:r>
            <w:r w:rsidR="003624A4" w:rsidRPr="00174414">
              <w:rPr>
                <w:color w:val="auto"/>
                <w:sz w:val="20"/>
              </w:rPr>
              <w:t xml:space="preserve"> do </w:t>
            </w:r>
            <w:r w:rsidR="00FE550F" w:rsidRPr="00174414">
              <w:rPr>
                <w:color w:val="auto"/>
                <w:sz w:val="20"/>
              </w:rPr>
              <w:t xml:space="preserve">not </w:t>
            </w:r>
            <w:r w:rsidR="003624A4" w:rsidRPr="00174414">
              <w:rPr>
                <w:color w:val="auto"/>
                <w:sz w:val="20"/>
              </w:rPr>
              <w:t>evaluate the data on this compound</w:t>
            </w:r>
            <w:r w:rsidRPr="00174414">
              <w:rPr>
                <w:color w:val="auto"/>
                <w:sz w:val="20"/>
              </w:rPr>
              <w:t>.</w:t>
            </w:r>
            <w:r w:rsidR="000D2097" w:rsidRPr="00174414">
              <w:rPr>
                <w:color w:val="auto"/>
                <w:sz w:val="20"/>
              </w:rPr>
              <w:t xml:space="preserve"> </w:t>
            </w:r>
            <w:r w:rsidR="00B342B3" w:rsidRPr="00174414">
              <w:rPr>
                <w:color w:val="auto"/>
                <w:sz w:val="20"/>
              </w:rPr>
              <w:t>Please also note that CBD products as novel foods have not been approved in the EU</w:t>
            </w:r>
            <w:r w:rsidR="00DA6E21" w:rsidRPr="00174414">
              <w:rPr>
                <w:color w:val="auto"/>
                <w:sz w:val="20"/>
              </w:rPr>
              <w:t xml:space="preserve"> and additional evaluations are available on these products (</w:t>
            </w:r>
            <w:r w:rsidR="00B00C83" w:rsidRPr="00174414">
              <w:rPr>
                <w:color w:val="auto"/>
                <w:sz w:val="20"/>
              </w:rPr>
              <w:t>EFSA NDA Panel, 2022; 202</w:t>
            </w:r>
            <w:r w:rsidR="00FF39F3" w:rsidRPr="00174414">
              <w:rPr>
                <w:color w:val="auto"/>
                <w:sz w:val="20"/>
              </w:rPr>
              <w:t>5</w:t>
            </w:r>
            <w:r w:rsidR="00DA6E21" w:rsidRPr="00174414">
              <w:rPr>
                <w:color w:val="auto"/>
                <w:sz w:val="20"/>
              </w:rPr>
              <w:t>)</w:t>
            </w:r>
            <w:r w:rsidR="00B342B3" w:rsidRPr="00174414">
              <w:rPr>
                <w:color w:val="auto"/>
                <w:sz w:val="20"/>
              </w:rPr>
              <w:t xml:space="preserve">. </w:t>
            </w:r>
            <w:r w:rsidR="007B3C28" w:rsidRPr="00174414">
              <w:rPr>
                <w:color w:val="auto"/>
                <w:sz w:val="20"/>
              </w:rPr>
              <w:t>Finally</w:t>
            </w:r>
            <w:r w:rsidR="0027682F" w:rsidRPr="00174414">
              <w:rPr>
                <w:color w:val="auto"/>
                <w:sz w:val="20"/>
              </w:rPr>
              <w:t>,</w:t>
            </w:r>
            <w:r w:rsidR="007B3C28" w:rsidRPr="00174414">
              <w:rPr>
                <w:color w:val="auto"/>
                <w:sz w:val="20"/>
              </w:rPr>
              <w:t xml:space="preserve"> n</w:t>
            </w:r>
            <w:r w:rsidR="00B342B3" w:rsidRPr="00174414">
              <w:rPr>
                <w:color w:val="auto"/>
                <w:sz w:val="20"/>
              </w:rPr>
              <w:t>ote that the permitted levels</w:t>
            </w:r>
            <w:r w:rsidR="005A26B0" w:rsidRPr="00174414">
              <w:rPr>
                <w:color w:val="auto"/>
                <w:sz w:val="20"/>
              </w:rPr>
              <w:t xml:space="preserve"> of </w:t>
            </w:r>
            <w:r w:rsidR="009404EE" w:rsidRPr="00174414">
              <w:rPr>
                <w:color w:val="auto"/>
                <w:sz w:val="20"/>
              </w:rPr>
              <w:t>Δ</w:t>
            </w:r>
            <w:r w:rsidR="009404EE" w:rsidRPr="00174414">
              <w:rPr>
                <w:color w:val="auto"/>
                <w:sz w:val="20"/>
                <w:vertAlign w:val="superscript"/>
              </w:rPr>
              <w:t>9</w:t>
            </w:r>
            <w:r w:rsidR="009404EE" w:rsidRPr="00174414">
              <w:rPr>
                <w:color w:val="auto"/>
                <w:sz w:val="20"/>
              </w:rPr>
              <w:t xml:space="preserve"> -THC</w:t>
            </w:r>
            <w:r w:rsidR="00B30155" w:rsidRPr="00174414">
              <w:rPr>
                <w:color w:val="auto"/>
                <w:sz w:val="20"/>
              </w:rPr>
              <w:t xml:space="preserve"> </w:t>
            </w:r>
            <w:r w:rsidR="00B342B3" w:rsidRPr="00174414">
              <w:rPr>
                <w:color w:val="auto"/>
                <w:sz w:val="20"/>
              </w:rPr>
              <w:t>are set by the European Commission</w:t>
            </w:r>
            <w:r w:rsidR="00E60E3A" w:rsidRPr="00174414">
              <w:rPr>
                <w:color w:val="auto"/>
                <w:sz w:val="20"/>
              </w:rPr>
              <w:t>.</w:t>
            </w:r>
            <w:r w:rsidR="00E60E3A" w:rsidRPr="00174414">
              <w:rPr>
                <w:rFonts w:eastAsia="Times New Roman" w:cs="Tahoma"/>
                <w:color w:val="auto"/>
                <w:sz w:val="20"/>
                <w:lang w:eastAsia="fr-FR"/>
              </w:rPr>
              <w:t xml:space="preserve"> </w:t>
            </w:r>
            <w:r w:rsidR="00E60E3A" w:rsidRPr="00174414">
              <w:rPr>
                <w:color w:val="auto"/>
                <w:sz w:val="20"/>
              </w:rPr>
              <w:t xml:space="preserve">Specifically, the regulation sets limits for the sum of </w:t>
            </w:r>
            <w:r w:rsidR="00E60E3A" w:rsidRPr="00174414">
              <w:rPr>
                <w:color w:val="auto"/>
                <w:sz w:val="20"/>
                <w:lang w:val="fr-FR"/>
              </w:rPr>
              <w:t>Δ</w:t>
            </w:r>
            <w:r w:rsidR="00E60E3A" w:rsidRPr="00174414">
              <w:rPr>
                <w:color w:val="auto"/>
                <w:sz w:val="20"/>
                <w:vertAlign w:val="superscript"/>
              </w:rPr>
              <w:t>9</w:t>
            </w:r>
            <w:r w:rsidR="00E60E3A" w:rsidRPr="00174414">
              <w:rPr>
                <w:color w:val="auto"/>
                <w:sz w:val="20"/>
              </w:rPr>
              <w:t xml:space="preserve">-THC and </w:t>
            </w:r>
            <w:r w:rsidR="00E60E3A" w:rsidRPr="00174414">
              <w:rPr>
                <w:color w:val="auto"/>
                <w:sz w:val="20"/>
                <w:lang w:val="fr-FR"/>
              </w:rPr>
              <w:t>Δ</w:t>
            </w:r>
            <w:r w:rsidR="00E60E3A" w:rsidRPr="00174414">
              <w:rPr>
                <w:color w:val="auto"/>
                <w:sz w:val="20"/>
                <w:vertAlign w:val="superscript"/>
              </w:rPr>
              <w:t>9</w:t>
            </w:r>
            <w:r w:rsidR="00E60E3A" w:rsidRPr="00174414">
              <w:rPr>
                <w:color w:val="auto"/>
                <w:sz w:val="20"/>
              </w:rPr>
              <w:t>-tetrahydrocannabinolic acid (</w:t>
            </w:r>
            <w:r w:rsidR="00E60E3A" w:rsidRPr="00174414">
              <w:rPr>
                <w:color w:val="auto"/>
                <w:sz w:val="20"/>
                <w:lang w:val="fr-FR"/>
              </w:rPr>
              <w:t>Δ</w:t>
            </w:r>
            <w:r w:rsidR="00E60E3A" w:rsidRPr="00174414">
              <w:rPr>
                <w:color w:val="auto"/>
                <w:sz w:val="20"/>
                <w:vertAlign w:val="superscript"/>
              </w:rPr>
              <w:t>9</w:t>
            </w:r>
            <w:r w:rsidR="00E60E3A" w:rsidRPr="00174414">
              <w:rPr>
                <w:color w:val="auto"/>
                <w:sz w:val="20"/>
              </w:rPr>
              <w:t xml:space="preserve">-THCA), with </w:t>
            </w:r>
            <w:r w:rsidR="00E60E3A" w:rsidRPr="00174414">
              <w:rPr>
                <w:color w:val="auto"/>
                <w:sz w:val="20"/>
                <w:lang w:val="fr-FR"/>
              </w:rPr>
              <w:t>Δ</w:t>
            </w:r>
            <w:r w:rsidR="00E60E3A" w:rsidRPr="00174414">
              <w:rPr>
                <w:color w:val="auto"/>
                <w:sz w:val="20"/>
                <w:vertAlign w:val="superscript"/>
              </w:rPr>
              <w:t>9</w:t>
            </w:r>
            <w:r w:rsidR="00E60E3A" w:rsidRPr="00174414">
              <w:rPr>
                <w:color w:val="auto"/>
                <w:sz w:val="20"/>
              </w:rPr>
              <w:t xml:space="preserve">-THCA being converted to </w:t>
            </w:r>
            <w:r w:rsidR="00E60E3A" w:rsidRPr="00174414">
              <w:rPr>
                <w:color w:val="auto"/>
                <w:sz w:val="20"/>
                <w:lang w:val="fr-FR"/>
              </w:rPr>
              <w:t>Δ</w:t>
            </w:r>
            <w:r w:rsidR="00E60E3A" w:rsidRPr="00174414">
              <w:rPr>
                <w:color w:val="auto"/>
                <w:sz w:val="20"/>
                <w:vertAlign w:val="superscript"/>
              </w:rPr>
              <w:t>9</w:t>
            </w:r>
            <w:r w:rsidR="00E60E3A" w:rsidRPr="00174414">
              <w:rPr>
                <w:color w:val="auto"/>
                <w:sz w:val="20"/>
              </w:rPr>
              <w:t>-THC equivalents by applying a factor of 0.877</w:t>
            </w:r>
            <w:r w:rsidR="001717D4" w:rsidRPr="00174414">
              <w:rPr>
                <w:color w:val="auto"/>
                <w:sz w:val="20"/>
              </w:rPr>
              <w:t xml:space="preserve"> because </w:t>
            </w:r>
            <w:r w:rsidR="001717D4" w:rsidRPr="00174414">
              <w:rPr>
                <w:color w:val="auto"/>
                <w:sz w:val="20"/>
                <w:lang w:val="fr-FR"/>
              </w:rPr>
              <w:t>Δ</w:t>
            </w:r>
            <w:r w:rsidR="001717D4" w:rsidRPr="00174414">
              <w:rPr>
                <w:color w:val="auto"/>
                <w:sz w:val="20"/>
                <w:vertAlign w:val="superscript"/>
              </w:rPr>
              <w:t>9</w:t>
            </w:r>
            <w:r w:rsidR="001717D4" w:rsidRPr="00174414">
              <w:rPr>
                <w:color w:val="auto"/>
                <w:sz w:val="20"/>
              </w:rPr>
              <w:t>-THCA</w:t>
            </w:r>
            <w:r w:rsidR="003608AE" w:rsidRPr="00174414">
              <w:rPr>
                <w:color w:val="auto"/>
                <w:sz w:val="20"/>
              </w:rPr>
              <w:t xml:space="preserve"> under specific conditions could be transformed to </w:t>
            </w:r>
            <w:r w:rsidR="003608AE" w:rsidRPr="00174414">
              <w:rPr>
                <w:color w:val="auto"/>
                <w:sz w:val="20"/>
                <w:lang w:val="fr-FR"/>
              </w:rPr>
              <w:t>Δ</w:t>
            </w:r>
            <w:r w:rsidR="003608AE" w:rsidRPr="00174414">
              <w:rPr>
                <w:color w:val="auto"/>
                <w:sz w:val="20"/>
                <w:vertAlign w:val="superscript"/>
              </w:rPr>
              <w:t>9</w:t>
            </w:r>
            <w:r w:rsidR="003608AE" w:rsidRPr="00174414">
              <w:rPr>
                <w:color w:val="auto"/>
                <w:sz w:val="20"/>
              </w:rPr>
              <w:t>-THC</w:t>
            </w:r>
            <w:r w:rsidR="00C73AD0" w:rsidRPr="00174414">
              <w:rPr>
                <w:color w:val="auto"/>
                <w:sz w:val="20"/>
              </w:rPr>
              <w:t>. The factor applied is based on the difference of the molecular weights of the two compounds</w:t>
            </w:r>
            <w:r w:rsidR="00E60E3A" w:rsidRPr="00174414">
              <w:rPr>
                <w:color w:val="auto"/>
                <w:sz w:val="20"/>
              </w:rPr>
              <w:t>.</w:t>
            </w:r>
          </w:p>
          <w:p w14:paraId="3D519F22" w14:textId="7D0A3113" w:rsidR="00047FF7" w:rsidRPr="00174414" w:rsidRDefault="00047FF7" w:rsidP="00B766A3">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tc>
      </w:tr>
      <w:tr w:rsidR="00174414" w:rsidRPr="00174414" w14:paraId="2DAB9F76" w14:textId="7F52B530" w:rsidTr="00ED449F">
        <w:trPr>
          <w:trHeight w:val="414"/>
        </w:trPr>
        <w:tc>
          <w:tcPr>
            <w:cnfStyle w:val="001000000000" w:firstRow="0" w:lastRow="0" w:firstColumn="1" w:lastColumn="0" w:oddVBand="0" w:evenVBand="0" w:oddHBand="0" w:evenHBand="0" w:firstRowFirstColumn="0" w:firstRowLastColumn="0" w:lastRowFirstColumn="0" w:lastRowLastColumn="0"/>
            <w:tcW w:w="1323" w:type="dxa"/>
          </w:tcPr>
          <w:p w14:paraId="5A399143" w14:textId="10B11708" w:rsidR="00796F30" w:rsidRPr="00174414" w:rsidRDefault="00796F30" w:rsidP="00B766A3">
            <w:pPr>
              <w:pStyle w:val="EFSATablefirstcolumn"/>
              <w:rPr>
                <w:color w:val="auto"/>
                <w:sz w:val="20"/>
              </w:rPr>
            </w:pPr>
            <w:r w:rsidRPr="00174414">
              <w:rPr>
                <w:color w:val="auto"/>
                <w:sz w:val="20"/>
              </w:rPr>
              <w:lastRenderedPageBreak/>
              <w:t>6</w:t>
            </w:r>
          </w:p>
        </w:tc>
        <w:tc>
          <w:tcPr>
            <w:tcW w:w="1969" w:type="dxa"/>
          </w:tcPr>
          <w:p w14:paraId="6D869872" w14:textId="1207D09A" w:rsidR="00796F30" w:rsidRPr="00174414" w:rsidRDefault="00796F30" w:rsidP="00B766A3">
            <w:pPr>
              <w:pStyle w:val="EFSATabledata"/>
              <w:tabs>
                <w:tab w:val="clear" w:pos="454"/>
              </w:tabs>
              <w:cnfStyle w:val="000000000000" w:firstRow="0" w:lastRow="0" w:firstColumn="0" w:lastColumn="0" w:oddVBand="0" w:evenVBand="0" w:oddHBand="0" w:evenHBand="0" w:firstRowFirstColumn="0" w:firstRowLastColumn="0" w:lastRowFirstColumn="0" w:lastRowLastColumn="0"/>
              <w:rPr>
                <w:color w:val="auto"/>
                <w:sz w:val="20"/>
              </w:rPr>
            </w:pPr>
            <w:r w:rsidRPr="00174414">
              <w:rPr>
                <w:color w:val="auto"/>
                <w:sz w:val="20"/>
              </w:rPr>
              <w:t>UK Committee on Toxicity</w:t>
            </w:r>
          </w:p>
        </w:tc>
        <w:tc>
          <w:tcPr>
            <w:tcW w:w="2252" w:type="dxa"/>
          </w:tcPr>
          <w:p w14:paraId="5F9336D6" w14:textId="12EAC5AE" w:rsidR="00796F30" w:rsidRPr="00174414" w:rsidRDefault="00796F30" w:rsidP="00B766A3">
            <w:pPr>
              <w:pStyle w:val="EFSATabledata"/>
              <w:tabs>
                <w:tab w:val="clear" w:pos="454"/>
              </w:tabs>
              <w:cnfStyle w:val="000000000000" w:firstRow="0" w:lastRow="0" w:firstColumn="0" w:lastColumn="0" w:oddVBand="0" w:evenVBand="0" w:oddHBand="0" w:evenHBand="0" w:firstRowFirstColumn="0" w:firstRowLastColumn="0" w:lastRowFirstColumn="0" w:lastRowLastColumn="0"/>
              <w:rPr>
                <w:color w:val="auto"/>
                <w:sz w:val="20"/>
                <w:highlight w:val="green"/>
              </w:rPr>
            </w:pPr>
            <w:r w:rsidRPr="00174414">
              <w:rPr>
                <w:rFonts w:cs="Calibri"/>
                <w:color w:val="auto"/>
                <w:sz w:val="20"/>
              </w:rPr>
              <w:t xml:space="preserve">3.1.1 </w:t>
            </w:r>
            <w:proofErr w:type="spellStart"/>
            <w:r w:rsidRPr="00174414">
              <w:rPr>
                <w:rFonts w:cs="Calibri"/>
                <w:color w:val="auto"/>
                <w:sz w:val="20"/>
              </w:rPr>
              <w:t>Toxicokinetics</w:t>
            </w:r>
            <w:proofErr w:type="spellEnd"/>
          </w:p>
        </w:tc>
        <w:tc>
          <w:tcPr>
            <w:tcW w:w="4589" w:type="dxa"/>
          </w:tcPr>
          <w:p w14:paraId="4A5EE760" w14:textId="4164AF71" w:rsidR="00796F30" w:rsidRPr="00CA2AA1" w:rsidRDefault="00796F30" w:rsidP="00B766A3">
            <w:pPr>
              <w:pStyle w:val="EFSATabledata"/>
              <w:tabs>
                <w:tab w:val="clear" w:pos="454"/>
              </w:tabs>
              <w:jc w:val="both"/>
              <w:cnfStyle w:val="000000000000" w:firstRow="0" w:lastRow="0" w:firstColumn="0" w:lastColumn="0" w:oddVBand="0" w:evenVBand="0" w:oddHBand="0" w:evenHBand="0" w:firstRowFirstColumn="0" w:firstRowLastColumn="0" w:lastRowFirstColumn="0" w:lastRowLastColumn="0"/>
              <w:rPr>
                <w:color w:val="auto"/>
                <w:spacing w:val="-8"/>
                <w:sz w:val="20"/>
                <w:highlight w:val="green"/>
              </w:rPr>
            </w:pPr>
            <w:r w:rsidRPr="00CA2AA1">
              <w:rPr>
                <w:rFonts w:cs="Calibri"/>
                <w:color w:val="auto"/>
                <w:spacing w:val="-8"/>
                <w:sz w:val="20"/>
              </w:rPr>
              <w:t>1. The Committee on Toxicity highlights that there are significant data gaps regarding the pharmacokinetics of Δ</w:t>
            </w:r>
            <w:r w:rsidRPr="00CA2AA1">
              <w:rPr>
                <w:rFonts w:cs="Calibri"/>
                <w:color w:val="auto"/>
                <w:spacing w:val="-8"/>
                <w:sz w:val="20"/>
                <w:vertAlign w:val="superscript"/>
              </w:rPr>
              <w:t>8</w:t>
            </w:r>
            <w:r w:rsidRPr="00CA2AA1">
              <w:rPr>
                <w:rFonts w:cs="Calibri"/>
                <w:color w:val="auto"/>
                <w:spacing w:val="-8"/>
                <w:sz w:val="20"/>
              </w:rPr>
              <w:t xml:space="preserve"> -THC – in particular its metabolism – and that potential accumulation of Δ</w:t>
            </w:r>
            <w:r w:rsidRPr="00CA2AA1">
              <w:rPr>
                <w:rFonts w:cs="Calibri"/>
                <w:color w:val="auto"/>
                <w:spacing w:val="-8"/>
                <w:sz w:val="20"/>
                <w:vertAlign w:val="superscript"/>
              </w:rPr>
              <w:t>8</w:t>
            </w:r>
            <w:r w:rsidRPr="00CA2AA1">
              <w:rPr>
                <w:rFonts w:cs="Calibri"/>
                <w:color w:val="auto"/>
                <w:spacing w:val="-8"/>
                <w:sz w:val="20"/>
              </w:rPr>
              <w:t xml:space="preserve"> -THC had not been considered due to these gaps. Incomplete understanding of the </w:t>
            </w:r>
            <w:r w:rsidRPr="00CA2AA1">
              <w:rPr>
                <w:rFonts w:cs="Calibri"/>
                <w:color w:val="auto"/>
                <w:spacing w:val="-8"/>
                <w:sz w:val="20"/>
              </w:rPr>
              <w:lastRenderedPageBreak/>
              <w:t>effects of food matrix on absorption, disposition and potential accumulation also constitutes a data gap which needs to be better addressed. 2. The Committee on Toxicity raised concerns regarding the potential for interference with drug metabolism in the liver leading to possible drug interactions e.g. potential liver sensitivity due to CYP-mediated oxidation of Δ</w:t>
            </w:r>
            <w:r w:rsidRPr="00CA2AA1">
              <w:rPr>
                <w:rFonts w:cs="Calibri"/>
                <w:color w:val="auto"/>
                <w:spacing w:val="-8"/>
                <w:sz w:val="20"/>
                <w:vertAlign w:val="superscript"/>
              </w:rPr>
              <w:t>8</w:t>
            </w:r>
            <w:r w:rsidRPr="00CA2AA1">
              <w:rPr>
                <w:rFonts w:cs="Calibri"/>
                <w:color w:val="auto"/>
                <w:spacing w:val="-8"/>
                <w:sz w:val="20"/>
              </w:rPr>
              <w:t xml:space="preserve"> -THC. This could cause issues in patients taking other medications. The risk to these vulnerable populations should be considered in the evaluation.</w:t>
            </w:r>
          </w:p>
        </w:tc>
        <w:tc>
          <w:tcPr>
            <w:tcW w:w="3586" w:type="dxa"/>
          </w:tcPr>
          <w:p w14:paraId="64DD30EC" w14:textId="5CE3B535" w:rsidR="00796F30" w:rsidRDefault="711DE195" w:rsidP="00B766A3">
            <w:pPr>
              <w:pStyle w:val="EFSATabledata"/>
              <w:jc w:val="both"/>
              <w:cnfStyle w:val="000000000000" w:firstRow="0" w:lastRow="0" w:firstColumn="0" w:lastColumn="0" w:oddVBand="0" w:evenVBand="0" w:oddHBand="0" w:evenHBand="0" w:firstRowFirstColumn="0" w:firstRowLastColumn="0" w:lastRowFirstColumn="0" w:lastRowLastColumn="0"/>
              <w:rPr>
                <w:color w:val="auto"/>
                <w:sz w:val="20"/>
              </w:rPr>
            </w:pPr>
            <w:r w:rsidRPr="00174414">
              <w:rPr>
                <w:color w:val="auto"/>
                <w:sz w:val="20"/>
              </w:rPr>
              <w:lastRenderedPageBreak/>
              <w:t xml:space="preserve">1) </w:t>
            </w:r>
            <w:r w:rsidR="00193060" w:rsidRPr="00174414">
              <w:rPr>
                <w:color w:val="auto"/>
                <w:sz w:val="20"/>
              </w:rPr>
              <w:t>The Pane</w:t>
            </w:r>
            <w:r w:rsidR="00F3002F" w:rsidRPr="00174414">
              <w:rPr>
                <w:color w:val="auto"/>
                <w:sz w:val="20"/>
              </w:rPr>
              <w:t>l</w:t>
            </w:r>
            <w:r w:rsidR="7D904909" w:rsidRPr="00174414">
              <w:rPr>
                <w:color w:val="auto"/>
                <w:sz w:val="20"/>
              </w:rPr>
              <w:t xml:space="preserve"> agree</w:t>
            </w:r>
            <w:r w:rsidR="00193060" w:rsidRPr="00174414">
              <w:rPr>
                <w:color w:val="auto"/>
                <w:sz w:val="20"/>
              </w:rPr>
              <w:t>s</w:t>
            </w:r>
            <w:r w:rsidR="7D904909" w:rsidRPr="00174414">
              <w:rPr>
                <w:color w:val="auto"/>
                <w:sz w:val="20"/>
              </w:rPr>
              <w:t xml:space="preserve"> </w:t>
            </w:r>
            <w:r w:rsidR="63DC9DFB" w:rsidRPr="00174414">
              <w:rPr>
                <w:color w:val="auto"/>
                <w:sz w:val="20"/>
              </w:rPr>
              <w:t>that</w:t>
            </w:r>
            <w:r w:rsidR="00822F86" w:rsidRPr="00174414">
              <w:rPr>
                <w:color w:val="auto"/>
                <w:sz w:val="20"/>
              </w:rPr>
              <w:t xml:space="preserve"> there is</w:t>
            </w:r>
            <w:r w:rsidR="7D904909" w:rsidRPr="00174414">
              <w:rPr>
                <w:color w:val="auto"/>
                <w:sz w:val="20"/>
              </w:rPr>
              <w:t xml:space="preserve"> limited information on </w:t>
            </w:r>
            <w:r w:rsidR="007A0CAB" w:rsidRPr="00174414">
              <w:rPr>
                <w:color w:val="auto"/>
                <w:sz w:val="20"/>
                <w:lang w:val="fr-FR"/>
              </w:rPr>
              <w:t>Δ</w:t>
            </w:r>
            <w:r w:rsidR="007A0CAB" w:rsidRPr="00174414">
              <w:rPr>
                <w:color w:val="auto"/>
                <w:sz w:val="20"/>
                <w:vertAlign w:val="superscript"/>
              </w:rPr>
              <w:t>8</w:t>
            </w:r>
            <w:r w:rsidR="007A0CAB" w:rsidRPr="00174414">
              <w:rPr>
                <w:color w:val="auto"/>
                <w:sz w:val="20"/>
              </w:rPr>
              <w:t xml:space="preserve">-THC </w:t>
            </w:r>
            <w:r w:rsidR="7D904909" w:rsidRPr="00174414">
              <w:rPr>
                <w:color w:val="auto"/>
                <w:sz w:val="20"/>
              </w:rPr>
              <w:t>TK via the oral route</w:t>
            </w:r>
            <w:r w:rsidR="4612AA46" w:rsidRPr="00174414">
              <w:rPr>
                <w:color w:val="auto"/>
                <w:sz w:val="20"/>
              </w:rPr>
              <w:t xml:space="preserve"> </w:t>
            </w:r>
            <w:r w:rsidR="51AEBC32" w:rsidRPr="00174414">
              <w:rPr>
                <w:color w:val="auto"/>
                <w:sz w:val="20"/>
              </w:rPr>
              <w:t xml:space="preserve">and </w:t>
            </w:r>
            <w:r w:rsidR="00B176BE" w:rsidRPr="00174414">
              <w:rPr>
                <w:color w:val="auto"/>
                <w:sz w:val="20"/>
              </w:rPr>
              <w:t>that no</w:t>
            </w:r>
            <w:r w:rsidR="51AEBC32" w:rsidRPr="00174414">
              <w:rPr>
                <w:color w:val="auto"/>
                <w:sz w:val="20"/>
              </w:rPr>
              <w:t xml:space="preserve"> information of the transfer in animal products</w:t>
            </w:r>
            <w:r w:rsidR="10F0A260" w:rsidRPr="00174414">
              <w:rPr>
                <w:color w:val="auto"/>
                <w:sz w:val="20"/>
              </w:rPr>
              <w:t xml:space="preserve"> is available</w:t>
            </w:r>
            <w:r w:rsidR="00F4451B" w:rsidRPr="00174414">
              <w:rPr>
                <w:color w:val="auto"/>
                <w:sz w:val="20"/>
              </w:rPr>
              <w:t>.</w:t>
            </w:r>
            <w:r w:rsidR="008C1714" w:rsidRPr="00174414">
              <w:rPr>
                <w:color w:val="auto"/>
                <w:sz w:val="20"/>
              </w:rPr>
              <w:t xml:space="preserve"> </w:t>
            </w:r>
            <w:r w:rsidR="00F4451B" w:rsidRPr="00174414">
              <w:rPr>
                <w:color w:val="auto"/>
                <w:sz w:val="20"/>
              </w:rPr>
              <w:t>T</w:t>
            </w:r>
            <w:r w:rsidR="008C1714" w:rsidRPr="00174414">
              <w:rPr>
                <w:color w:val="auto"/>
                <w:sz w:val="20"/>
              </w:rPr>
              <w:t xml:space="preserve">his </w:t>
            </w:r>
            <w:r w:rsidR="008C1714" w:rsidRPr="00174414">
              <w:rPr>
                <w:color w:val="auto"/>
                <w:sz w:val="20"/>
              </w:rPr>
              <w:lastRenderedPageBreak/>
              <w:t xml:space="preserve">point is </w:t>
            </w:r>
            <w:r w:rsidR="00F4451B" w:rsidRPr="00174414">
              <w:rPr>
                <w:color w:val="auto"/>
                <w:sz w:val="20"/>
              </w:rPr>
              <w:t>already ad</w:t>
            </w:r>
            <w:r w:rsidR="00CD79CE" w:rsidRPr="00174414">
              <w:rPr>
                <w:color w:val="auto"/>
                <w:sz w:val="20"/>
              </w:rPr>
              <w:t>d</w:t>
            </w:r>
            <w:r w:rsidR="00F4451B" w:rsidRPr="00174414">
              <w:rPr>
                <w:color w:val="auto"/>
                <w:sz w:val="20"/>
              </w:rPr>
              <w:t>ressed</w:t>
            </w:r>
            <w:r w:rsidR="008C1714" w:rsidRPr="00174414">
              <w:rPr>
                <w:color w:val="auto"/>
                <w:sz w:val="20"/>
              </w:rPr>
              <w:t xml:space="preserve"> in the recommendations</w:t>
            </w:r>
            <w:r w:rsidR="51AEBC32" w:rsidRPr="00174414">
              <w:rPr>
                <w:color w:val="auto"/>
                <w:sz w:val="20"/>
              </w:rPr>
              <w:t xml:space="preserve">. </w:t>
            </w:r>
          </w:p>
          <w:p w14:paraId="14524328" w14:textId="77777777" w:rsidR="00CA2AA1" w:rsidRPr="00174414" w:rsidRDefault="00CA2AA1" w:rsidP="00B766A3">
            <w:pPr>
              <w:pStyle w:val="EFSATabledata"/>
              <w:jc w:val="both"/>
              <w:cnfStyle w:val="000000000000" w:firstRow="0" w:lastRow="0" w:firstColumn="0" w:lastColumn="0" w:oddVBand="0" w:evenVBand="0" w:oddHBand="0" w:evenHBand="0" w:firstRowFirstColumn="0" w:firstRowLastColumn="0" w:lastRowFirstColumn="0" w:lastRowLastColumn="0"/>
              <w:rPr>
                <w:color w:val="auto"/>
                <w:sz w:val="20"/>
              </w:rPr>
            </w:pPr>
          </w:p>
          <w:p w14:paraId="22FDEA7A" w14:textId="16B0ACC1" w:rsidR="00796F30" w:rsidRPr="00174414" w:rsidRDefault="18368F74" w:rsidP="00B766A3">
            <w:pPr>
              <w:pStyle w:val="EFSATabledata"/>
              <w:jc w:val="both"/>
              <w:cnfStyle w:val="000000000000" w:firstRow="0" w:lastRow="0" w:firstColumn="0" w:lastColumn="0" w:oddVBand="0" w:evenVBand="0" w:oddHBand="0" w:evenHBand="0" w:firstRowFirstColumn="0" w:firstRowLastColumn="0" w:lastRowFirstColumn="0" w:lastRowLastColumn="0"/>
              <w:rPr>
                <w:color w:val="auto"/>
                <w:sz w:val="20"/>
              </w:rPr>
            </w:pPr>
            <w:r w:rsidRPr="00174414">
              <w:rPr>
                <w:color w:val="auto"/>
                <w:sz w:val="20"/>
              </w:rPr>
              <w:t xml:space="preserve">2) </w:t>
            </w:r>
            <w:r w:rsidR="00CA7C11" w:rsidRPr="00174414">
              <w:rPr>
                <w:color w:val="auto"/>
                <w:sz w:val="20"/>
              </w:rPr>
              <w:t xml:space="preserve">EFSA in its evaluations addresses </w:t>
            </w:r>
            <w:r w:rsidR="00BF2B2C" w:rsidRPr="00174414">
              <w:rPr>
                <w:color w:val="auto"/>
                <w:sz w:val="20"/>
              </w:rPr>
              <w:t xml:space="preserve">the risk </w:t>
            </w:r>
            <w:r w:rsidR="76C6A70F" w:rsidRPr="00174414">
              <w:rPr>
                <w:color w:val="auto"/>
                <w:sz w:val="20"/>
              </w:rPr>
              <w:t>to</w:t>
            </w:r>
            <w:r w:rsidR="00BF2B2C" w:rsidRPr="00174414">
              <w:rPr>
                <w:color w:val="auto"/>
                <w:sz w:val="20"/>
              </w:rPr>
              <w:t xml:space="preserve"> the general</w:t>
            </w:r>
            <w:r w:rsidR="00CA7C11" w:rsidRPr="00174414">
              <w:rPr>
                <w:color w:val="auto"/>
                <w:sz w:val="20"/>
              </w:rPr>
              <w:t xml:space="preserve"> population</w:t>
            </w:r>
            <w:r w:rsidR="00295D86" w:rsidRPr="00174414">
              <w:rPr>
                <w:color w:val="auto"/>
                <w:sz w:val="20"/>
              </w:rPr>
              <w:t xml:space="preserve">. </w:t>
            </w:r>
            <w:r w:rsidR="00A5362F" w:rsidRPr="00174414">
              <w:rPr>
                <w:color w:val="auto"/>
                <w:sz w:val="20"/>
              </w:rPr>
              <w:t>It is not within the Panel's mandate to investigate interactions with all medications in the context of food contaminant risk assessment, unless specific issues are raised</w:t>
            </w:r>
            <w:r w:rsidR="00B762A5" w:rsidRPr="00174414">
              <w:rPr>
                <w:color w:val="auto"/>
                <w:sz w:val="20"/>
              </w:rPr>
              <w:t>.</w:t>
            </w:r>
          </w:p>
        </w:tc>
      </w:tr>
      <w:tr w:rsidR="00174414" w:rsidRPr="00174414" w14:paraId="0DD83C26" w14:textId="77777777" w:rsidTr="00ED449F">
        <w:trPr>
          <w:cnfStyle w:val="000000100000" w:firstRow="0" w:lastRow="0" w:firstColumn="0" w:lastColumn="0" w:oddVBand="0" w:evenVBand="0" w:oddHBand="1" w:evenHBand="0" w:firstRowFirstColumn="0" w:firstRowLastColumn="0" w:lastRowFirstColumn="0" w:lastRowLastColumn="0"/>
          <w:trHeight w:val="5228"/>
        </w:trPr>
        <w:tc>
          <w:tcPr>
            <w:cnfStyle w:val="001000000000" w:firstRow="0" w:lastRow="0" w:firstColumn="1" w:lastColumn="0" w:oddVBand="0" w:evenVBand="0" w:oddHBand="0" w:evenHBand="0" w:firstRowFirstColumn="0" w:firstRowLastColumn="0" w:lastRowFirstColumn="0" w:lastRowLastColumn="0"/>
            <w:tcW w:w="1323" w:type="dxa"/>
          </w:tcPr>
          <w:p w14:paraId="54A09170" w14:textId="74CD3671" w:rsidR="00796F30" w:rsidRPr="00174414" w:rsidRDefault="00796F30" w:rsidP="00B766A3">
            <w:pPr>
              <w:pStyle w:val="EFSATablefirstcolumn"/>
              <w:rPr>
                <w:color w:val="auto"/>
                <w:sz w:val="20"/>
              </w:rPr>
            </w:pPr>
            <w:r w:rsidRPr="00174414">
              <w:rPr>
                <w:color w:val="auto"/>
                <w:sz w:val="20"/>
              </w:rPr>
              <w:lastRenderedPageBreak/>
              <w:t>7</w:t>
            </w:r>
          </w:p>
        </w:tc>
        <w:tc>
          <w:tcPr>
            <w:tcW w:w="1969" w:type="dxa"/>
          </w:tcPr>
          <w:p w14:paraId="2EF8591E" w14:textId="734E50A6" w:rsidR="00796F30" w:rsidRPr="00174414" w:rsidRDefault="00796F30" w:rsidP="00B766A3">
            <w:pPr>
              <w:pStyle w:val="EFSATabledata"/>
              <w:tabs>
                <w:tab w:val="clear" w:pos="454"/>
              </w:tabs>
              <w:cnfStyle w:val="000000100000" w:firstRow="0" w:lastRow="0" w:firstColumn="0" w:lastColumn="0" w:oddVBand="0" w:evenVBand="0" w:oddHBand="1" w:evenHBand="0" w:firstRowFirstColumn="0" w:firstRowLastColumn="0" w:lastRowFirstColumn="0" w:lastRowLastColumn="0"/>
              <w:rPr>
                <w:color w:val="auto"/>
                <w:sz w:val="20"/>
              </w:rPr>
            </w:pPr>
            <w:r w:rsidRPr="00174414">
              <w:rPr>
                <w:color w:val="auto"/>
                <w:sz w:val="20"/>
              </w:rPr>
              <w:t>UK Committee on Toxicity</w:t>
            </w:r>
          </w:p>
        </w:tc>
        <w:tc>
          <w:tcPr>
            <w:tcW w:w="2252" w:type="dxa"/>
          </w:tcPr>
          <w:p w14:paraId="087FAF2A" w14:textId="53AE50DE" w:rsidR="00796F30" w:rsidRPr="00174414" w:rsidRDefault="00796F30" w:rsidP="00B766A3">
            <w:pPr>
              <w:pStyle w:val="EFSATabledata"/>
              <w:tabs>
                <w:tab w:val="clear" w:pos="454"/>
              </w:tabs>
              <w:cnfStyle w:val="000000100000" w:firstRow="0" w:lastRow="0" w:firstColumn="0" w:lastColumn="0" w:oddVBand="0" w:evenVBand="0" w:oddHBand="1" w:evenHBand="0" w:firstRowFirstColumn="0" w:firstRowLastColumn="0" w:lastRowFirstColumn="0" w:lastRowLastColumn="0"/>
              <w:rPr>
                <w:color w:val="auto"/>
                <w:sz w:val="20"/>
                <w:highlight w:val="green"/>
              </w:rPr>
            </w:pPr>
            <w:r w:rsidRPr="00174414">
              <w:rPr>
                <w:rFonts w:cs="Calibri"/>
                <w:color w:val="auto"/>
                <w:sz w:val="20"/>
              </w:rPr>
              <w:t>3.1.2 Toxicity in experimental animals</w:t>
            </w:r>
          </w:p>
        </w:tc>
        <w:tc>
          <w:tcPr>
            <w:tcW w:w="4589" w:type="dxa"/>
          </w:tcPr>
          <w:p w14:paraId="6B833052" w14:textId="77777777" w:rsidR="00463018" w:rsidRPr="00CA2AA1" w:rsidRDefault="00796F30" w:rsidP="00B766A3">
            <w:pPr>
              <w:pStyle w:val="EFSATabledata"/>
              <w:tabs>
                <w:tab w:val="clear" w:pos="454"/>
              </w:tabs>
              <w:jc w:val="both"/>
              <w:cnfStyle w:val="000000100000" w:firstRow="0" w:lastRow="0" w:firstColumn="0" w:lastColumn="0" w:oddVBand="0" w:evenVBand="0" w:oddHBand="1" w:evenHBand="0" w:firstRowFirstColumn="0" w:firstRowLastColumn="0" w:lastRowFirstColumn="0" w:lastRowLastColumn="0"/>
              <w:rPr>
                <w:rFonts w:cs="Calibri"/>
                <w:color w:val="auto"/>
                <w:spacing w:val="-10"/>
                <w:sz w:val="20"/>
              </w:rPr>
            </w:pPr>
            <w:r w:rsidRPr="00CA2AA1">
              <w:rPr>
                <w:rFonts w:cs="Calibri"/>
                <w:color w:val="auto"/>
                <w:spacing w:val="-10"/>
                <w:sz w:val="20"/>
              </w:rPr>
              <w:t>Studies showed indications of reproductive and developmental toxicity in both males and females and, in particular, that Δ</w:t>
            </w:r>
            <w:r w:rsidRPr="00CA2AA1">
              <w:rPr>
                <w:rFonts w:cs="Calibri"/>
                <w:color w:val="auto"/>
                <w:spacing w:val="-10"/>
                <w:sz w:val="20"/>
                <w:vertAlign w:val="superscript"/>
              </w:rPr>
              <w:t>8</w:t>
            </w:r>
            <w:r w:rsidRPr="00CA2AA1">
              <w:rPr>
                <w:rFonts w:cs="Calibri"/>
                <w:color w:val="auto"/>
                <w:spacing w:val="-10"/>
                <w:sz w:val="20"/>
              </w:rPr>
              <w:t xml:space="preserve"> -THC might have greater potency in females. This exploration is limited and should be highlighted as an area of concern. </w:t>
            </w:r>
          </w:p>
          <w:p w14:paraId="106BCDA4" w14:textId="77777777" w:rsidR="00260714" w:rsidRPr="00CA2AA1" w:rsidRDefault="00260714" w:rsidP="00B766A3">
            <w:pPr>
              <w:pStyle w:val="EFSATabledata"/>
              <w:tabs>
                <w:tab w:val="clear" w:pos="454"/>
              </w:tabs>
              <w:jc w:val="both"/>
              <w:cnfStyle w:val="000000100000" w:firstRow="0" w:lastRow="0" w:firstColumn="0" w:lastColumn="0" w:oddVBand="0" w:evenVBand="0" w:oddHBand="1" w:evenHBand="0" w:firstRowFirstColumn="0" w:firstRowLastColumn="0" w:lastRowFirstColumn="0" w:lastRowLastColumn="0"/>
              <w:rPr>
                <w:rFonts w:cs="Calibri"/>
                <w:color w:val="auto"/>
                <w:spacing w:val="-10"/>
                <w:sz w:val="20"/>
              </w:rPr>
            </w:pPr>
          </w:p>
          <w:p w14:paraId="224F576F" w14:textId="77777777" w:rsidR="00B24164" w:rsidRPr="00CA2AA1" w:rsidRDefault="00B24164" w:rsidP="00B766A3">
            <w:pPr>
              <w:pStyle w:val="EFSATabledata"/>
              <w:tabs>
                <w:tab w:val="clear" w:pos="454"/>
              </w:tabs>
              <w:jc w:val="both"/>
              <w:cnfStyle w:val="000000100000" w:firstRow="0" w:lastRow="0" w:firstColumn="0" w:lastColumn="0" w:oddVBand="0" w:evenVBand="0" w:oddHBand="1" w:evenHBand="0" w:firstRowFirstColumn="0" w:firstRowLastColumn="0" w:lastRowFirstColumn="0" w:lastRowLastColumn="0"/>
              <w:rPr>
                <w:rFonts w:cs="Calibri"/>
                <w:color w:val="auto"/>
                <w:spacing w:val="-10"/>
                <w:sz w:val="20"/>
              </w:rPr>
            </w:pPr>
          </w:p>
          <w:p w14:paraId="553D5B31" w14:textId="77777777" w:rsidR="008800A2" w:rsidRPr="00CA2AA1" w:rsidRDefault="008800A2" w:rsidP="00B766A3">
            <w:pPr>
              <w:pStyle w:val="EFSATabledata"/>
              <w:tabs>
                <w:tab w:val="clear" w:pos="454"/>
              </w:tabs>
              <w:jc w:val="both"/>
              <w:cnfStyle w:val="000000100000" w:firstRow="0" w:lastRow="0" w:firstColumn="0" w:lastColumn="0" w:oddVBand="0" w:evenVBand="0" w:oddHBand="1" w:evenHBand="0" w:firstRowFirstColumn="0" w:firstRowLastColumn="0" w:lastRowFirstColumn="0" w:lastRowLastColumn="0"/>
              <w:rPr>
                <w:rFonts w:cs="Calibri"/>
                <w:color w:val="auto"/>
                <w:spacing w:val="-10"/>
                <w:sz w:val="20"/>
              </w:rPr>
            </w:pPr>
          </w:p>
          <w:p w14:paraId="256F9AE0" w14:textId="67236DEF" w:rsidR="00796F30" w:rsidRPr="00CA2AA1" w:rsidRDefault="00796F30" w:rsidP="00B766A3">
            <w:pPr>
              <w:pStyle w:val="EFSATabledata"/>
              <w:tabs>
                <w:tab w:val="clear" w:pos="454"/>
              </w:tabs>
              <w:jc w:val="both"/>
              <w:cnfStyle w:val="000000100000" w:firstRow="0" w:lastRow="0" w:firstColumn="0" w:lastColumn="0" w:oddVBand="0" w:evenVBand="0" w:oddHBand="1" w:evenHBand="0" w:firstRowFirstColumn="0" w:firstRowLastColumn="0" w:lastRowFirstColumn="0" w:lastRowLastColumn="0"/>
              <w:rPr>
                <w:color w:val="auto"/>
                <w:spacing w:val="-10"/>
                <w:sz w:val="20"/>
                <w:highlight w:val="green"/>
                <w:lang w:val="da-DK"/>
              </w:rPr>
            </w:pPr>
            <w:r w:rsidRPr="00CA2AA1">
              <w:rPr>
                <w:rFonts w:cs="Calibri"/>
                <w:color w:val="auto"/>
                <w:spacing w:val="-10"/>
                <w:sz w:val="20"/>
              </w:rPr>
              <w:t xml:space="preserve">Additional Committee on Toxicity comment: "EFSA noted “reduced resistance to influenza virus after oral administration” of delta 9 based on </w:t>
            </w:r>
            <w:proofErr w:type="spellStart"/>
            <w:r w:rsidRPr="00CA2AA1">
              <w:rPr>
                <w:rFonts w:cs="Calibri"/>
                <w:color w:val="auto"/>
                <w:spacing w:val="-10"/>
                <w:sz w:val="20"/>
              </w:rPr>
              <w:t>Karmaus</w:t>
            </w:r>
            <w:proofErr w:type="spellEnd"/>
            <w:r w:rsidRPr="00CA2AA1">
              <w:rPr>
                <w:rFonts w:cs="Calibri"/>
                <w:color w:val="auto"/>
                <w:spacing w:val="-10"/>
                <w:sz w:val="20"/>
              </w:rPr>
              <w:t xml:space="preserve"> et al. This study demonstrated altered immune cell trafficking and cytokine production in mice treated with delta 9 THC in an A/PR/8 model of influenza infection. However, it is not clear from this study if these alterations led to consequential functional effects on the progression and resolution of the infection e.g. through altered viral clearance, or other physiological or mortality related endpoints."</w:t>
            </w:r>
          </w:p>
        </w:tc>
        <w:tc>
          <w:tcPr>
            <w:tcW w:w="3586" w:type="dxa"/>
          </w:tcPr>
          <w:p w14:paraId="37EE4A25" w14:textId="19902268" w:rsidR="00CF0C53" w:rsidRPr="00CA2AA1" w:rsidRDefault="00033CF4" w:rsidP="00B766A3">
            <w:pPr>
              <w:pStyle w:val="EFSATabledata"/>
              <w:jc w:val="both"/>
              <w:cnfStyle w:val="000000100000" w:firstRow="0" w:lastRow="0" w:firstColumn="0" w:lastColumn="0" w:oddVBand="0" w:evenVBand="0" w:oddHBand="1" w:evenHBand="0" w:firstRowFirstColumn="0" w:firstRowLastColumn="0" w:lastRowFirstColumn="0" w:lastRowLastColumn="0"/>
              <w:rPr>
                <w:i/>
                <w:color w:val="auto"/>
                <w:spacing w:val="-10"/>
                <w:sz w:val="20"/>
              </w:rPr>
            </w:pPr>
            <w:r w:rsidRPr="00CA2AA1">
              <w:rPr>
                <w:color w:val="auto"/>
                <w:spacing w:val="-10"/>
                <w:sz w:val="20"/>
              </w:rPr>
              <w:t xml:space="preserve">Please note that </w:t>
            </w:r>
            <w:r w:rsidR="00D3008A" w:rsidRPr="00CA2AA1">
              <w:rPr>
                <w:color w:val="auto"/>
                <w:spacing w:val="-10"/>
                <w:sz w:val="20"/>
              </w:rPr>
              <w:t xml:space="preserve">throughout the document </w:t>
            </w:r>
            <w:r w:rsidR="00BB2600" w:rsidRPr="00CA2AA1">
              <w:rPr>
                <w:color w:val="auto"/>
                <w:spacing w:val="-10"/>
                <w:sz w:val="20"/>
              </w:rPr>
              <w:t>the higher potency of Δ</w:t>
            </w:r>
            <w:r w:rsidR="00BB2600" w:rsidRPr="00CA2AA1">
              <w:rPr>
                <w:color w:val="auto"/>
                <w:spacing w:val="-10"/>
                <w:sz w:val="20"/>
                <w:vertAlign w:val="superscript"/>
              </w:rPr>
              <w:t>8</w:t>
            </w:r>
            <w:r w:rsidR="00BB2600" w:rsidRPr="00CA2AA1">
              <w:rPr>
                <w:color w:val="auto"/>
                <w:spacing w:val="-10"/>
                <w:sz w:val="20"/>
              </w:rPr>
              <w:t xml:space="preserve"> -THC in female rats compared to male rats </w:t>
            </w:r>
            <w:r w:rsidRPr="00CA2AA1">
              <w:rPr>
                <w:color w:val="auto"/>
                <w:spacing w:val="-10"/>
                <w:sz w:val="20"/>
              </w:rPr>
              <w:t xml:space="preserve">has been </w:t>
            </w:r>
            <w:r w:rsidR="00D3008A" w:rsidRPr="00CA2AA1">
              <w:rPr>
                <w:color w:val="auto"/>
                <w:spacing w:val="-10"/>
                <w:sz w:val="20"/>
              </w:rPr>
              <w:t>describe</w:t>
            </w:r>
            <w:r w:rsidRPr="00CA2AA1">
              <w:rPr>
                <w:color w:val="auto"/>
                <w:spacing w:val="-10"/>
                <w:sz w:val="20"/>
              </w:rPr>
              <w:t>d</w:t>
            </w:r>
            <w:r w:rsidR="00D3008A" w:rsidRPr="00CA2AA1">
              <w:rPr>
                <w:color w:val="auto"/>
                <w:spacing w:val="-10"/>
                <w:sz w:val="20"/>
              </w:rPr>
              <w:t xml:space="preserve"> </w:t>
            </w:r>
            <w:r w:rsidR="00FE7DE9" w:rsidRPr="00CA2AA1">
              <w:rPr>
                <w:color w:val="auto"/>
                <w:spacing w:val="-10"/>
                <w:sz w:val="20"/>
              </w:rPr>
              <w:t>in detail</w:t>
            </w:r>
            <w:r w:rsidR="00F312AA" w:rsidRPr="00CA2AA1">
              <w:rPr>
                <w:color w:val="auto"/>
                <w:spacing w:val="-10"/>
                <w:sz w:val="20"/>
              </w:rPr>
              <w:t xml:space="preserve"> </w:t>
            </w:r>
            <w:r w:rsidR="00776091" w:rsidRPr="00CA2AA1">
              <w:rPr>
                <w:color w:val="auto"/>
                <w:spacing w:val="-10"/>
                <w:sz w:val="20"/>
              </w:rPr>
              <w:t xml:space="preserve">and </w:t>
            </w:r>
            <w:r w:rsidR="00225336" w:rsidRPr="00CA2AA1">
              <w:rPr>
                <w:color w:val="auto"/>
                <w:spacing w:val="-10"/>
                <w:sz w:val="20"/>
              </w:rPr>
              <w:t xml:space="preserve">the </w:t>
            </w:r>
            <w:r w:rsidR="00037A4E" w:rsidRPr="00CA2AA1">
              <w:rPr>
                <w:color w:val="auto"/>
                <w:spacing w:val="-10"/>
                <w:sz w:val="20"/>
              </w:rPr>
              <w:t>s</w:t>
            </w:r>
            <w:r w:rsidR="009D183D" w:rsidRPr="00CA2AA1">
              <w:rPr>
                <w:color w:val="auto"/>
                <w:spacing w:val="-10"/>
                <w:sz w:val="20"/>
              </w:rPr>
              <w:t>ex-specific effects</w:t>
            </w:r>
            <w:r w:rsidR="00225336" w:rsidRPr="00CA2AA1">
              <w:rPr>
                <w:color w:val="auto"/>
                <w:spacing w:val="-10"/>
                <w:sz w:val="20"/>
              </w:rPr>
              <w:t xml:space="preserve"> have been reported</w:t>
            </w:r>
            <w:r w:rsidR="00776091" w:rsidRPr="00CA2AA1">
              <w:rPr>
                <w:color w:val="auto"/>
                <w:spacing w:val="-10"/>
                <w:sz w:val="20"/>
              </w:rPr>
              <w:t>.</w:t>
            </w:r>
            <w:r w:rsidR="005F24A7" w:rsidRPr="00CA2AA1">
              <w:rPr>
                <w:color w:val="auto"/>
                <w:spacing w:val="-10"/>
                <w:sz w:val="20"/>
              </w:rPr>
              <w:t xml:space="preserve"> </w:t>
            </w:r>
            <w:r w:rsidR="00B52BD0" w:rsidRPr="00CA2AA1">
              <w:rPr>
                <w:color w:val="auto"/>
                <w:spacing w:val="-10"/>
                <w:sz w:val="20"/>
              </w:rPr>
              <w:t xml:space="preserve">The Panel </w:t>
            </w:r>
            <w:r w:rsidR="0043434D" w:rsidRPr="00CA2AA1">
              <w:rPr>
                <w:color w:val="auto"/>
                <w:spacing w:val="-10"/>
                <w:sz w:val="20"/>
              </w:rPr>
              <w:t xml:space="preserve">therefore </w:t>
            </w:r>
            <w:r w:rsidR="00B52BD0" w:rsidRPr="00CA2AA1">
              <w:rPr>
                <w:color w:val="auto"/>
                <w:spacing w:val="-10"/>
                <w:sz w:val="20"/>
              </w:rPr>
              <w:t>considers that this issue has been explored sufficiently.</w:t>
            </w:r>
          </w:p>
          <w:p w14:paraId="20A6AFFB" w14:textId="77777777" w:rsidR="00A476C2" w:rsidRPr="00CA2AA1" w:rsidRDefault="00A476C2" w:rsidP="00B766A3">
            <w:pPr>
              <w:pStyle w:val="EFSATabledata"/>
              <w:jc w:val="both"/>
              <w:cnfStyle w:val="000000100000" w:firstRow="0" w:lastRow="0" w:firstColumn="0" w:lastColumn="0" w:oddVBand="0" w:evenVBand="0" w:oddHBand="1" w:evenHBand="0" w:firstRowFirstColumn="0" w:firstRowLastColumn="0" w:lastRowFirstColumn="0" w:lastRowLastColumn="0"/>
              <w:rPr>
                <w:color w:val="auto"/>
                <w:spacing w:val="-10"/>
                <w:sz w:val="20"/>
              </w:rPr>
            </w:pPr>
          </w:p>
          <w:p w14:paraId="45955B31" w14:textId="26DFF1F0" w:rsidR="00796F30" w:rsidRPr="00CA2AA1" w:rsidRDefault="00172501" w:rsidP="00B766A3">
            <w:pPr>
              <w:pStyle w:val="EFSATabledata"/>
              <w:jc w:val="both"/>
              <w:cnfStyle w:val="000000100000" w:firstRow="0" w:lastRow="0" w:firstColumn="0" w:lastColumn="0" w:oddVBand="0" w:evenVBand="0" w:oddHBand="1" w:evenHBand="0" w:firstRowFirstColumn="0" w:firstRowLastColumn="0" w:lastRowFirstColumn="0" w:lastRowLastColumn="0"/>
              <w:rPr>
                <w:color w:val="auto"/>
                <w:spacing w:val="-10"/>
                <w:sz w:val="20"/>
                <w:highlight w:val="yellow"/>
              </w:rPr>
            </w:pPr>
            <w:r w:rsidRPr="00CA2AA1">
              <w:rPr>
                <w:color w:val="auto"/>
                <w:spacing w:val="-10"/>
                <w:sz w:val="20"/>
              </w:rPr>
              <w:t>This sentence reports on</w:t>
            </w:r>
            <w:r w:rsidR="00B25A61" w:rsidRPr="00CA2AA1">
              <w:rPr>
                <w:color w:val="auto"/>
                <w:spacing w:val="-10"/>
                <w:sz w:val="20"/>
              </w:rPr>
              <w:t xml:space="preserve"> immunomodulatory effects of Δ</w:t>
            </w:r>
            <w:r w:rsidR="00B25A61" w:rsidRPr="00CA2AA1">
              <w:rPr>
                <w:color w:val="auto"/>
                <w:spacing w:val="-10"/>
                <w:sz w:val="20"/>
                <w:vertAlign w:val="superscript"/>
              </w:rPr>
              <w:t>9</w:t>
            </w:r>
            <w:r w:rsidR="00B25A61" w:rsidRPr="00CA2AA1">
              <w:rPr>
                <w:color w:val="auto"/>
                <w:spacing w:val="-10"/>
                <w:sz w:val="20"/>
              </w:rPr>
              <w:t>-THC investigated</w:t>
            </w:r>
            <w:r w:rsidR="00182556" w:rsidRPr="00CA2AA1">
              <w:rPr>
                <w:color w:val="auto"/>
                <w:spacing w:val="-10"/>
                <w:sz w:val="20"/>
              </w:rPr>
              <w:t xml:space="preserve"> by</w:t>
            </w:r>
            <w:r w:rsidR="00C10E57" w:rsidRPr="00CA2AA1">
              <w:rPr>
                <w:color w:val="auto"/>
                <w:spacing w:val="-10"/>
                <w:sz w:val="20"/>
              </w:rPr>
              <w:t xml:space="preserve"> </w:t>
            </w:r>
            <w:proofErr w:type="spellStart"/>
            <w:r w:rsidRPr="00CA2AA1">
              <w:rPr>
                <w:color w:val="auto"/>
                <w:spacing w:val="-10"/>
                <w:sz w:val="20"/>
              </w:rPr>
              <w:t>Karmaus</w:t>
            </w:r>
            <w:proofErr w:type="spellEnd"/>
            <w:r w:rsidRPr="00CA2AA1">
              <w:rPr>
                <w:color w:val="auto"/>
                <w:spacing w:val="-10"/>
                <w:sz w:val="20"/>
              </w:rPr>
              <w:t xml:space="preserve"> et al. (2013)</w:t>
            </w:r>
            <w:r w:rsidR="004C7366" w:rsidRPr="00CA2AA1">
              <w:rPr>
                <w:color w:val="auto"/>
                <w:spacing w:val="-10"/>
                <w:sz w:val="20"/>
              </w:rPr>
              <w:t xml:space="preserve"> and is taken from the </w:t>
            </w:r>
            <w:r w:rsidR="00F11317" w:rsidRPr="00CA2AA1">
              <w:rPr>
                <w:color w:val="auto"/>
                <w:spacing w:val="-10"/>
                <w:sz w:val="20"/>
              </w:rPr>
              <w:t>“</w:t>
            </w:r>
            <w:r w:rsidR="00F13FC8" w:rsidRPr="00CA2AA1">
              <w:rPr>
                <w:color w:val="auto"/>
                <w:spacing w:val="-10"/>
                <w:sz w:val="20"/>
              </w:rPr>
              <w:t xml:space="preserve">Summary of experimental toxicity data of </w:t>
            </w:r>
            <w:r w:rsidR="00F13FC8" w:rsidRPr="00CA2AA1">
              <w:rPr>
                <w:color w:val="auto"/>
                <w:spacing w:val="-10"/>
                <w:sz w:val="20"/>
                <w:lang w:val="el-GR"/>
              </w:rPr>
              <w:t>Δ</w:t>
            </w:r>
            <w:r w:rsidR="00F13FC8" w:rsidRPr="00CA2AA1">
              <w:rPr>
                <w:color w:val="auto"/>
                <w:spacing w:val="-10"/>
                <w:sz w:val="20"/>
                <w:vertAlign w:val="superscript"/>
              </w:rPr>
              <w:t>9</w:t>
            </w:r>
            <w:r w:rsidR="00F13FC8" w:rsidRPr="00CA2AA1">
              <w:rPr>
                <w:color w:val="auto"/>
                <w:spacing w:val="-10"/>
                <w:sz w:val="20"/>
              </w:rPr>
              <w:t>-THC as previously evaluated (EFSA CONTAM Panel, 2015)</w:t>
            </w:r>
            <w:r w:rsidR="00F11317" w:rsidRPr="00CA2AA1">
              <w:rPr>
                <w:color w:val="auto"/>
                <w:spacing w:val="-10"/>
                <w:sz w:val="20"/>
              </w:rPr>
              <w:t xml:space="preserve">” which is meant </w:t>
            </w:r>
            <w:r w:rsidR="0018153F" w:rsidRPr="00CA2AA1">
              <w:rPr>
                <w:color w:val="auto"/>
                <w:spacing w:val="-10"/>
                <w:sz w:val="20"/>
              </w:rPr>
              <w:t xml:space="preserve">as background information. </w:t>
            </w:r>
            <w:r w:rsidR="00F13FC8" w:rsidRPr="00CA2AA1">
              <w:rPr>
                <w:i/>
                <w:color w:val="auto"/>
                <w:spacing w:val="-10"/>
                <w:sz w:val="20"/>
              </w:rPr>
              <w:t xml:space="preserve"> </w:t>
            </w:r>
            <w:r w:rsidR="008A5533" w:rsidRPr="00CA2AA1">
              <w:rPr>
                <w:color w:val="auto"/>
                <w:spacing w:val="-10"/>
                <w:sz w:val="20"/>
              </w:rPr>
              <w:t xml:space="preserve">In general, the current opinion does not aim at reviewing </w:t>
            </w:r>
            <w:r w:rsidR="003E37B0" w:rsidRPr="00CA2AA1">
              <w:rPr>
                <w:color w:val="auto"/>
                <w:spacing w:val="-10"/>
                <w:sz w:val="20"/>
              </w:rPr>
              <w:t>the dat</w:t>
            </w:r>
            <w:r w:rsidR="004815CB" w:rsidRPr="00CA2AA1">
              <w:rPr>
                <w:color w:val="auto"/>
                <w:spacing w:val="-10"/>
                <w:sz w:val="20"/>
              </w:rPr>
              <w:t xml:space="preserve">a for </w:t>
            </w:r>
            <w:r w:rsidR="004815CB" w:rsidRPr="00CA2AA1">
              <w:rPr>
                <w:color w:val="auto"/>
                <w:spacing w:val="-10"/>
                <w:sz w:val="20"/>
                <w:lang w:val="el-GR"/>
              </w:rPr>
              <w:t>Δ</w:t>
            </w:r>
            <w:r w:rsidR="004815CB" w:rsidRPr="00CA2AA1">
              <w:rPr>
                <w:color w:val="auto"/>
                <w:spacing w:val="-10"/>
                <w:sz w:val="20"/>
                <w:vertAlign w:val="superscript"/>
              </w:rPr>
              <w:t>9</w:t>
            </w:r>
            <w:r w:rsidR="004815CB" w:rsidRPr="00CA2AA1">
              <w:rPr>
                <w:color w:val="auto"/>
                <w:spacing w:val="-10"/>
                <w:sz w:val="20"/>
              </w:rPr>
              <w:t xml:space="preserve">-THC reported in the </w:t>
            </w:r>
            <w:r w:rsidR="00992ED3" w:rsidRPr="00CA2AA1">
              <w:rPr>
                <w:color w:val="auto"/>
                <w:spacing w:val="-10"/>
                <w:sz w:val="20"/>
              </w:rPr>
              <w:t xml:space="preserve">2015 EFSA </w:t>
            </w:r>
            <w:r w:rsidR="004815CB" w:rsidRPr="00CA2AA1">
              <w:rPr>
                <w:color w:val="auto"/>
                <w:spacing w:val="-10"/>
                <w:sz w:val="20"/>
              </w:rPr>
              <w:t>opinion</w:t>
            </w:r>
            <w:r w:rsidR="00992ED3" w:rsidRPr="00CA2AA1">
              <w:rPr>
                <w:color w:val="auto"/>
                <w:spacing w:val="-10"/>
                <w:sz w:val="20"/>
              </w:rPr>
              <w:t xml:space="preserve"> </w:t>
            </w:r>
            <w:r w:rsidR="00992ED3" w:rsidRPr="00CA2AA1">
              <w:rPr>
                <w:color w:val="auto"/>
                <w:spacing w:val="-10"/>
                <w:sz w:val="20"/>
                <w:lang w:val="en-US"/>
              </w:rPr>
              <w:t>on</w:t>
            </w:r>
            <w:r w:rsidR="005D4F60" w:rsidRPr="00CA2AA1">
              <w:rPr>
                <w:color w:val="auto"/>
                <w:spacing w:val="-10"/>
                <w:sz w:val="20"/>
                <w:lang w:val="en-US"/>
              </w:rPr>
              <w:t xml:space="preserve"> </w:t>
            </w:r>
            <w:r w:rsidR="00992ED3" w:rsidRPr="00CA2AA1">
              <w:rPr>
                <w:color w:val="auto"/>
                <w:spacing w:val="-10"/>
                <w:sz w:val="20"/>
                <w:lang w:val="el-GR"/>
              </w:rPr>
              <w:t>Δ</w:t>
            </w:r>
            <w:r w:rsidR="00992ED3" w:rsidRPr="00CA2AA1">
              <w:rPr>
                <w:color w:val="auto"/>
                <w:spacing w:val="-10"/>
                <w:sz w:val="20"/>
                <w:vertAlign w:val="superscript"/>
              </w:rPr>
              <w:t>9</w:t>
            </w:r>
            <w:r w:rsidR="00992ED3" w:rsidRPr="00CA2AA1">
              <w:rPr>
                <w:color w:val="auto"/>
                <w:spacing w:val="-10"/>
                <w:sz w:val="20"/>
              </w:rPr>
              <w:t>-THC</w:t>
            </w:r>
            <w:r w:rsidR="00760B19" w:rsidRPr="00CA2AA1">
              <w:rPr>
                <w:color w:val="auto"/>
                <w:spacing w:val="-10"/>
                <w:sz w:val="20"/>
              </w:rPr>
              <w:t>.</w:t>
            </w:r>
          </w:p>
        </w:tc>
      </w:tr>
      <w:tr w:rsidR="00174414" w:rsidRPr="00174414" w14:paraId="6BDBDAED" w14:textId="77777777" w:rsidTr="00ED449F">
        <w:trPr>
          <w:trHeight w:val="414"/>
        </w:trPr>
        <w:tc>
          <w:tcPr>
            <w:cnfStyle w:val="001000000000" w:firstRow="0" w:lastRow="0" w:firstColumn="1" w:lastColumn="0" w:oddVBand="0" w:evenVBand="0" w:oddHBand="0" w:evenHBand="0" w:firstRowFirstColumn="0" w:firstRowLastColumn="0" w:lastRowFirstColumn="0" w:lastRowLastColumn="0"/>
            <w:tcW w:w="1323" w:type="dxa"/>
          </w:tcPr>
          <w:p w14:paraId="295C3B66" w14:textId="7FAE7127" w:rsidR="00796F30" w:rsidRPr="00174414" w:rsidRDefault="00796F30" w:rsidP="00B766A3">
            <w:pPr>
              <w:pStyle w:val="EFSATablefirstcolumn"/>
              <w:rPr>
                <w:color w:val="auto"/>
                <w:sz w:val="20"/>
              </w:rPr>
            </w:pPr>
            <w:r w:rsidRPr="00174414">
              <w:rPr>
                <w:color w:val="auto"/>
                <w:sz w:val="20"/>
              </w:rPr>
              <w:lastRenderedPageBreak/>
              <w:t>8</w:t>
            </w:r>
          </w:p>
        </w:tc>
        <w:tc>
          <w:tcPr>
            <w:tcW w:w="1969" w:type="dxa"/>
          </w:tcPr>
          <w:p w14:paraId="525F932B" w14:textId="1EA17491" w:rsidR="00796F30" w:rsidRPr="00174414" w:rsidRDefault="00796F30" w:rsidP="00B766A3">
            <w:pPr>
              <w:pStyle w:val="EFSATabledata"/>
              <w:tabs>
                <w:tab w:val="clear" w:pos="454"/>
              </w:tabs>
              <w:cnfStyle w:val="000000000000" w:firstRow="0" w:lastRow="0" w:firstColumn="0" w:lastColumn="0" w:oddVBand="0" w:evenVBand="0" w:oddHBand="0" w:evenHBand="0" w:firstRowFirstColumn="0" w:firstRowLastColumn="0" w:lastRowFirstColumn="0" w:lastRowLastColumn="0"/>
              <w:rPr>
                <w:color w:val="auto"/>
                <w:sz w:val="20"/>
              </w:rPr>
            </w:pPr>
            <w:r w:rsidRPr="00174414">
              <w:rPr>
                <w:color w:val="auto"/>
                <w:sz w:val="20"/>
              </w:rPr>
              <w:t>UK Committee on Toxicity</w:t>
            </w:r>
          </w:p>
        </w:tc>
        <w:tc>
          <w:tcPr>
            <w:tcW w:w="2252" w:type="dxa"/>
          </w:tcPr>
          <w:p w14:paraId="379DADAA" w14:textId="61613860" w:rsidR="00796F30" w:rsidRPr="00174414" w:rsidRDefault="00796F30" w:rsidP="00B766A3">
            <w:pPr>
              <w:pStyle w:val="EFSATabledata"/>
              <w:tabs>
                <w:tab w:val="clear" w:pos="454"/>
              </w:tabs>
              <w:cnfStyle w:val="000000000000" w:firstRow="0" w:lastRow="0" w:firstColumn="0" w:lastColumn="0" w:oddVBand="0" w:evenVBand="0" w:oddHBand="0" w:evenHBand="0" w:firstRowFirstColumn="0" w:firstRowLastColumn="0" w:lastRowFirstColumn="0" w:lastRowLastColumn="0"/>
              <w:rPr>
                <w:color w:val="auto"/>
                <w:sz w:val="20"/>
                <w:highlight w:val="green"/>
              </w:rPr>
            </w:pPr>
            <w:r w:rsidRPr="00174414">
              <w:rPr>
                <w:rFonts w:cs="Calibri"/>
                <w:color w:val="auto"/>
                <w:sz w:val="20"/>
              </w:rPr>
              <w:t>3.1.4 Human pharmacological and toxicological data</w:t>
            </w:r>
          </w:p>
        </w:tc>
        <w:tc>
          <w:tcPr>
            <w:tcW w:w="4589" w:type="dxa"/>
          </w:tcPr>
          <w:p w14:paraId="371C32D1" w14:textId="1F38E845" w:rsidR="00796F30" w:rsidRPr="00174414" w:rsidRDefault="00796F30" w:rsidP="00B766A3">
            <w:pPr>
              <w:pStyle w:val="EFSATabledata"/>
              <w:tabs>
                <w:tab w:val="clear" w:pos="454"/>
              </w:tabs>
              <w:jc w:val="both"/>
              <w:cnfStyle w:val="000000000000" w:firstRow="0" w:lastRow="0" w:firstColumn="0" w:lastColumn="0" w:oddVBand="0" w:evenVBand="0" w:oddHBand="0" w:evenHBand="0" w:firstRowFirstColumn="0" w:firstRowLastColumn="0" w:lastRowFirstColumn="0" w:lastRowLastColumn="0"/>
              <w:rPr>
                <w:color w:val="auto"/>
                <w:sz w:val="20"/>
                <w:highlight w:val="green"/>
              </w:rPr>
            </w:pPr>
            <w:r w:rsidRPr="00174414">
              <w:rPr>
                <w:rFonts w:cs="Calibri"/>
                <w:color w:val="auto"/>
                <w:sz w:val="20"/>
              </w:rPr>
              <w:t>The Committee on Toxicity noted that “safe upper limits” for CBD and Δ</w:t>
            </w:r>
            <w:r w:rsidRPr="00174414">
              <w:rPr>
                <w:rFonts w:cs="Calibri"/>
                <w:color w:val="auto"/>
                <w:sz w:val="20"/>
                <w:vertAlign w:val="superscript"/>
              </w:rPr>
              <w:t>9</w:t>
            </w:r>
            <w:r w:rsidRPr="00174414">
              <w:rPr>
                <w:rFonts w:cs="Calibri"/>
                <w:color w:val="auto"/>
                <w:sz w:val="20"/>
              </w:rPr>
              <w:t xml:space="preserve"> -THC have previously been set on the basis of liver toxicity rather than psychological and cardiac parameters.</w:t>
            </w:r>
          </w:p>
        </w:tc>
        <w:tc>
          <w:tcPr>
            <w:tcW w:w="3586" w:type="dxa"/>
          </w:tcPr>
          <w:p w14:paraId="4FD65085" w14:textId="24A28C51" w:rsidR="00796F30" w:rsidRPr="00174414" w:rsidRDefault="009B6B98" w:rsidP="00B766A3">
            <w:pPr>
              <w:pStyle w:val="EFSATabledata"/>
              <w:jc w:val="both"/>
              <w:cnfStyle w:val="000000000000" w:firstRow="0" w:lastRow="0" w:firstColumn="0" w:lastColumn="0" w:oddVBand="0" w:evenVBand="0" w:oddHBand="0" w:evenHBand="0" w:firstRowFirstColumn="0" w:firstRowLastColumn="0" w:lastRowFirstColumn="0" w:lastRowLastColumn="0"/>
              <w:rPr>
                <w:color w:val="auto"/>
                <w:sz w:val="20"/>
                <w:highlight w:val="yellow"/>
              </w:rPr>
            </w:pPr>
            <w:r w:rsidRPr="00174414">
              <w:rPr>
                <w:color w:val="auto"/>
                <w:sz w:val="20"/>
              </w:rPr>
              <w:t>T</w:t>
            </w:r>
            <w:r w:rsidR="005D0FE6" w:rsidRPr="00174414">
              <w:rPr>
                <w:color w:val="auto"/>
                <w:sz w:val="20"/>
              </w:rPr>
              <w:t xml:space="preserve">oxicity endpoints </w:t>
            </w:r>
            <w:r w:rsidR="000A4F77" w:rsidRPr="00174414">
              <w:rPr>
                <w:color w:val="auto"/>
                <w:sz w:val="20"/>
              </w:rPr>
              <w:t xml:space="preserve">used </w:t>
            </w:r>
            <w:r w:rsidR="003C68EF" w:rsidRPr="00174414">
              <w:rPr>
                <w:color w:val="auto"/>
                <w:sz w:val="20"/>
              </w:rPr>
              <w:t xml:space="preserve">for cannabidiol alone or in combination with </w:t>
            </w:r>
            <w:r w:rsidR="003C68EF" w:rsidRPr="00174414">
              <w:rPr>
                <w:color w:val="auto"/>
                <w:sz w:val="20"/>
                <w:lang w:val="el-GR"/>
              </w:rPr>
              <w:t>Δ</w:t>
            </w:r>
            <w:r w:rsidR="003C68EF" w:rsidRPr="00174414">
              <w:rPr>
                <w:color w:val="auto"/>
                <w:sz w:val="20"/>
                <w:vertAlign w:val="superscript"/>
              </w:rPr>
              <w:t>9</w:t>
            </w:r>
            <w:r w:rsidR="003C68EF" w:rsidRPr="00174414">
              <w:rPr>
                <w:color w:val="auto"/>
                <w:sz w:val="20"/>
              </w:rPr>
              <w:t>-THC</w:t>
            </w:r>
            <w:r w:rsidR="00B3217B" w:rsidRPr="00174414">
              <w:rPr>
                <w:color w:val="auto"/>
                <w:sz w:val="20"/>
              </w:rPr>
              <w:t xml:space="preserve"> </w:t>
            </w:r>
            <w:r w:rsidR="000778D8" w:rsidRPr="00174414">
              <w:rPr>
                <w:color w:val="auto"/>
                <w:sz w:val="20"/>
              </w:rPr>
              <w:t>are outside the focus of this opinion</w:t>
            </w:r>
            <w:r w:rsidR="005F7916" w:rsidRPr="00174414">
              <w:rPr>
                <w:color w:val="auto"/>
                <w:sz w:val="20"/>
              </w:rPr>
              <w:t>.</w:t>
            </w:r>
          </w:p>
        </w:tc>
      </w:tr>
      <w:tr w:rsidR="00174414" w:rsidRPr="00174414" w14:paraId="731DEDD0" w14:textId="77777777" w:rsidTr="00ED449F">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1323" w:type="dxa"/>
          </w:tcPr>
          <w:p w14:paraId="00750DF5" w14:textId="6237D8C8" w:rsidR="00796F30" w:rsidRPr="00174414" w:rsidRDefault="00796F30" w:rsidP="00B766A3">
            <w:pPr>
              <w:pStyle w:val="EFSATablefirstcolumn"/>
              <w:rPr>
                <w:color w:val="auto"/>
                <w:sz w:val="20"/>
              </w:rPr>
            </w:pPr>
            <w:r w:rsidRPr="00174414">
              <w:rPr>
                <w:color w:val="auto"/>
                <w:sz w:val="20"/>
              </w:rPr>
              <w:t>9</w:t>
            </w:r>
          </w:p>
        </w:tc>
        <w:tc>
          <w:tcPr>
            <w:tcW w:w="1969" w:type="dxa"/>
          </w:tcPr>
          <w:p w14:paraId="25A522F5" w14:textId="62082908" w:rsidR="00796F30" w:rsidRPr="00174414" w:rsidRDefault="00796F30" w:rsidP="00B766A3">
            <w:pPr>
              <w:pStyle w:val="EFSATabledata"/>
              <w:tabs>
                <w:tab w:val="clear" w:pos="454"/>
              </w:tabs>
              <w:cnfStyle w:val="000000100000" w:firstRow="0" w:lastRow="0" w:firstColumn="0" w:lastColumn="0" w:oddVBand="0" w:evenVBand="0" w:oddHBand="1" w:evenHBand="0" w:firstRowFirstColumn="0" w:firstRowLastColumn="0" w:lastRowFirstColumn="0" w:lastRowLastColumn="0"/>
              <w:rPr>
                <w:color w:val="auto"/>
                <w:sz w:val="20"/>
              </w:rPr>
            </w:pPr>
            <w:r w:rsidRPr="00174414">
              <w:rPr>
                <w:color w:val="auto"/>
                <w:sz w:val="20"/>
              </w:rPr>
              <w:t>UK Committee on Toxicity</w:t>
            </w:r>
          </w:p>
        </w:tc>
        <w:tc>
          <w:tcPr>
            <w:tcW w:w="2252" w:type="dxa"/>
          </w:tcPr>
          <w:p w14:paraId="4B3AD843" w14:textId="69BCB202" w:rsidR="00796F30" w:rsidRPr="00174414" w:rsidRDefault="00796F30" w:rsidP="00B766A3">
            <w:pPr>
              <w:pStyle w:val="EFSATabledata"/>
              <w:tabs>
                <w:tab w:val="clear" w:pos="454"/>
              </w:tabs>
              <w:cnfStyle w:val="000000100000" w:firstRow="0" w:lastRow="0" w:firstColumn="0" w:lastColumn="0" w:oddVBand="0" w:evenVBand="0" w:oddHBand="1" w:evenHBand="0" w:firstRowFirstColumn="0" w:firstRowLastColumn="0" w:lastRowFirstColumn="0" w:lastRowLastColumn="0"/>
              <w:rPr>
                <w:color w:val="auto"/>
                <w:sz w:val="20"/>
                <w:highlight w:val="green"/>
              </w:rPr>
            </w:pPr>
            <w:r w:rsidRPr="00174414">
              <w:rPr>
                <w:rFonts w:cs="Calibri"/>
                <w:color w:val="auto"/>
                <w:sz w:val="20"/>
              </w:rPr>
              <w:t>3.1.6 Consideration of critical effects and dose response assessment</w:t>
            </w:r>
          </w:p>
        </w:tc>
        <w:tc>
          <w:tcPr>
            <w:tcW w:w="4589" w:type="dxa"/>
          </w:tcPr>
          <w:p w14:paraId="2B875DB7" w14:textId="65335E27" w:rsidR="00796F30" w:rsidRPr="00174414" w:rsidRDefault="00796F30" w:rsidP="00B766A3">
            <w:pPr>
              <w:pStyle w:val="EFSATabledata"/>
              <w:tabs>
                <w:tab w:val="clear" w:pos="454"/>
              </w:tabs>
              <w:jc w:val="both"/>
              <w:cnfStyle w:val="000000100000" w:firstRow="0" w:lastRow="0" w:firstColumn="0" w:lastColumn="0" w:oddVBand="0" w:evenVBand="0" w:oddHBand="1" w:evenHBand="0" w:firstRowFirstColumn="0" w:firstRowLastColumn="0" w:lastRowFirstColumn="0" w:lastRowLastColumn="0"/>
              <w:rPr>
                <w:color w:val="auto"/>
                <w:sz w:val="20"/>
                <w:highlight w:val="green"/>
              </w:rPr>
            </w:pPr>
            <w:r w:rsidRPr="00174414">
              <w:rPr>
                <w:rFonts w:cs="Calibri"/>
                <w:color w:val="auto"/>
                <w:sz w:val="20"/>
              </w:rPr>
              <w:t>The Committee on Toxicity identified evidence from additional studies that the LOAEL of Δ</w:t>
            </w:r>
            <w:r w:rsidRPr="00174414">
              <w:rPr>
                <w:rFonts w:cs="Calibri"/>
                <w:color w:val="auto"/>
                <w:sz w:val="20"/>
                <w:vertAlign w:val="superscript"/>
              </w:rPr>
              <w:t>9</w:t>
            </w:r>
            <w:r w:rsidRPr="00174414">
              <w:rPr>
                <w:rFonts w:cs="Calibri"/>
                <w:color w:val="auto"/>
                <w:sz w:val="20"/>
              </w:rPr>
              <w:t xml:space="preserve"> -THC may be lower than 2.5mg/kg body weight. It recommended that a dose ranging study be conducted to establish a more accurate LOAEL. This should address Δ</w:t>
            </w:r>
            <w:r w:rsidRPr="00174414">
              <w:rPr>
                <w:rFonts w:cs="Calibri"/>
                <w:color w:val="auto"/>
                <w:sz w:val="20"/>
                <w:vertAlign w:val="superscript"/>
              </w:rPr>
              <w:t>8</w:t>
            </w:r>
            <w:r w:rsidRPr="00174414">
              <w:rPr>
                <w:rFonts w:cs="Calibri"/>
                <w:color w:val="auto"/>
                <w:sz w:val="20"/>
              </w:rPr>
              <w:t xml:space="preserve"> -THC and Δ</w:t>
            </w:r>
            <w:r w:rsidRPr="00174414">
              <w:rPr>
                <w:rFonts w:cs="Calibri"/>
                <w:color w:val="auto"/>
                <w:sz w:val="20"/>
                <w:vertAlign w:val="superscript"/>
              </w:rPr>
              <w:t>9</w:t>
            </w:r>
            <w:r w:rsidRPr="00174414">
              <w:rPr>
                <w:rFonts w:cs="Calibri"/>
                <w:color w:val="auto"/>
                <w:sz w:val="20"/>
              </w:rPr>
              <w:t xml:space="preserve"> -THC separately.</w:t>
            </w:r>
          </w:p>
        </w:tc>
        <w:tc>
          <w:tcPr>
            <w:tcW w:w="3586" w:type="dxa"/>
          </w:tcPr>
          <w:p w14:paraId="03230FB3" w14:textId="3D8446F0" w:rsidR="00796F30" w:rsidRPr="00174414" w:rsidRDefault="00F37086" w:rsidP="00B766A3">
            <w:pPr>
              <w:pStyle w:val="EFSATabledata"/>
              <w:jc w:val="both"/>
              <w:cnfStyle w:val="000000100000" w:firstRow="0" w:lastRow="0" w:firstColumn="0" w:lastColumn="0" w:oddVBand="0" w:evenVBand="0" w:oddHBand="1" w:evenHBand="0" w:firstRowFirstColumn="0" w:firstRowLastColumn="0" w:lastRowFirstColumn="0" w:lastRowLastColumn="0"/>
              <w:rPr>
                <w:color w:val="auto"/>
                <w:sz w:val="20"/>
              </w:rPr>
            </w:pPr>
            <w:r w:rsidRPr="00174414">
              <w:rPr>
                <w:color w:val="auto"/>
                <w:sz w:val="20"/>
              </w:rPr>
              <w:t>It is noted that a new evaluation of</w:t>
            </w:r>
            <w:r w:rsidR="00661CEC" w:rsidRPr="00174414">
              <w:rPr>
                <w:rFonts w:cs="Calibri"/>
                <w:color w:val="auto"/>
                <w:sz w:val="20"/>
              </w:rPr>
              <w:t xml:space="preserve"> </w:t>
            </w:r>
            <w:r w:rsidRPr="00174414">
              <w:rPr>
                <w:color w:val="auto"/>
                <w:sz w:val="20"/>
              </w:rPr>
              <w:t>Δ</w:t>
            </w:r>
            <w:r w:rsidRPr="00174414">
              <w:rPr>
                <w:color w:val="auto"/>
                <w:sz w:val="20"/>
                <w:vertAlign w:val="superscript"/>
              </w:rPr>
              <w:t>9</w:t>
            </w:r>
            <w:r w:rsidRPr="00174414">
              <w:rPr>
                <w:color w:val="auto"/>
                <w:sz w:val="20"/>
              </w:rPr>
              <w:t xml:space="preserve"> -THC was not included in this mandate.</w:t>
            </w:r>
            <w:r w:rsidR="00F93811" w:rsidRPr="00174414">
              <w:rPr>
                <w:color w:val="auto"/>
                <w:sz w:val="20"/>
              </w:rPr>
              <w:t xml:space="preserve"> </w:t>
            </w:r>
            <w:r w:rsidRPr="00174414">
              <w:rPr>
                <w:color w:val="auto"/>
                <w:sz w:val="20"/>
              </w:rPr>
              <w:t xml:space="preserve">The CONTAM Panel </w:t>
            </w:r>
            <w:r w:rsidR="00E8660B" w:rsidRPr="00174414">
              <w:rPr>
                <w:color w:val="auto"/>
                <w:sz w:val="20"/>
              </w:rPr>
              <w:t xml:space="preserve">recommended </w:t>
            </w:r>
            <w:r w:rsidR="003F4C29" w:rsidRPr="00174414">
              <w:rPr>
                <w:color w:val="auto"/>
                <w:sz w:val="20"/>
              </w:rPr>
              <w:t xml:space="preserve">to update the evaluation of </w:t>
            </w:r>
            <w:r w:rsidR="60176918" w:rsidRPr="00174414">
              <w:rPr>
                <w:color w:val="auto"/>
                <w:sz w:val="20"/>
              </w:rPr>
              <w:t xml:space="preserve">genotoxicity and of the mechanism of action as well as </w:t>
            </w:r>
            <w:r w:rsidR="003F4C29" w:rsidRPr="00174414">
              <w:rPr>
                <w:color w:val="auto"/>
                <w:sz w:val="20"/>
              </w:rPr>
              <w:t xml:space="preserve">dose-effect relationships especially for the low-dose-range in human and experimental animal studies, and </w:t>
            </w:r>
            <w:r w:rsidR="001E658D" w:rsidRPr="00174414">
              <w:rPr>
                <w:color w:val="auto"/>
                <w:sz w:val="20"/>
              </w:rPr>
              <w:t xml:space="preserve">to further investigate </w:t>
            </w:r>
            <w:r w:rsidR="003F4C29" w:rsidRPr="00174414">
              <w:rPr>
                <w:color w:val="auto"/>
                <w:sz w:val="20"/>
              </w:rPr>
              <w:t>endpoints in developmental and reproductive toxicology studies.</w:t>
            </w:r>
            <w:r w:rsidR="001E658D" w:rsidRPr="00174414">
              <w:rPr>
                <w:color w:val="auto"/>
                <w:sz w:val="20"/>
              </w:rPr>
              <w:t xml:space="preserve"> </w:t>
            </w:r>
            <w:r w:rsidR="00F45B12" w:rsidRPr="00174414">
              <w:rPr>
                <w:color w:val="auto"/>
                <w:sz w:val="20"/>
              </w:rPr>
              <w:t xml:space="preserve">Such an update may lead to revisions </w:t>
            </w:r>
            <w:r w:rsidR="00BE263C" w:rsidRPr="00174414">
              <w:rPr>
                <w:color w:val="auto"/>
                <w:sz w:val="20"/>
              </w:rPr>
              <w:t>of</w:t>
            </w:r>
            <w:r w:rsidR="00F45B12" w:rsidRPr="00174414">
              <w:rPr>
                <w:color w:val="auto"/>
                <w:sz w:val="20"/>
              </w:rPr>
              <w:t xml:space="preserve"> the </w:t>
            </w:r>
            <w:r w:rsidR="00BE263C" w:rsidRPr="00174414">
              <w:rPr>
                <w:color w:val="auto"/>
                <w:sz w:val="20"/>
              </w:rPr>
              <w:t xml:space="preserve">group </w:t>
            </w:r>
            <w:r w:rsidR="00C451CB" w:rsidRPr="00174414">
              <w:rPr>
                <w:color w:val="auto"/>
                <w:sz w:val="20"/>
              </w:rPr>
              <w:t xml:space="preserve">HBGV </w:t>
            </w:r>
            <w:r w:rsidR="00DC5543" w:rsidRPr="00174414">
              <w:rPr>
                <w:color w:val="auto"/>
                <w:sz w:val="20"/>
              </w:rPr>
              <w:t>proposed for both</w:t>
            </w:r>
            <w:r w:rsidR="00BE263C" w:rsidRPr="00174414">
              <w:rPr>
                <w:color w:val="auto"/>
                <w:sz w:val="20"/>
              </w:rPr>
              <w:t xml:space="preserve"> </w:t>
            </w:r>
            <w:r w:rsidR="00F45B12" w:rsidRPr="00174414">
              <w:rPr>
                <w:color w:val="auto"/>
                <w:sz w:val="20"/>
              </w:rPr>
              <w:t>Δ</w:t>
            </w:r>
            <w:r w:rsidR="00F45B12" w:rsidRPr="00174414">
              <w:rPr>
                <w:color w:val="auto"/>
                <w:sz w:val="20"/>
                <w:vertAlign w:val="superscript"/>
              </w:rPr>
              <w:t>9</w:t>
            </w:r>
            <w:r w:rsidR="00F45B12" w:rsidRPr="00174414">
              <w:rPr>
                <w:color w:val="auto"/>
                <w:sz w:val="20"/>
              </w:rPr>
              <w:t xml:space="preserve"> -THC </w:t>
            </w:r>
            <w:r w:rsidR="00BE263C" w:rsidRPr="00174414">
              <w:rPr>
                <w:color w:val="auto"/>
                <w:sz w:val="20"/>
              </w:rPr>
              <w:t>and</w:t>
            </w:r>
            <w:r w:rsidR="00F45B12" w:rsidRPr="00174414">
              <w:rPr>
                <w:color w:val="auto"/>
                <w:sz w:val="20"/>
              </w:rPr>
              <w:t xml:space="preserve"> Δ</w:t>
            </w:r>
            <w:r w:rsidR="00F45B12" w:rsidRPr="00174414">
              <w:rPr>
                <w:color w:val="auto"/>
                <w:sz w:val="20"/>
                <w:vertAlign w:val="superscript"/>
              </w:rPr>
              <w:t>8</w:t>
            </w:r>
            <w:r w:rsidR="00F45B12" w:rsidRPr="00174414">
              <w:rPr>
                <w:color w:val="auto"/>
                <w:sz w:val="20"/>
              </w:rPr>
              <w:t xml:space="preserve"> -THC</w:t>
            </w:r>
            <w:r w:rsidR="009B3382" w:rsidRPr="00174414">
              <w:rPr>
                <w:color w:val="auto"/>
                <w:sz w:val="20"/>
              </w:rPr>
              <w:t>.</w:t>
            </w:r>
          </w:p>
        </w:tc>
      </w:tr>
      <w:tr w:rsidR="00174414" w:rsidRPr="00174414" w14:paraId="0ED635BE" w14:textId="77777777" w:rsidTr="00ED449F">
        <w:trPr>
          <w:trHeight w:val="414"/>
        </w:trPr>
        <w:tc>
          <w:tcPr>
            <w:cnfStyle w:val="001000000000" w:firstRow="0" w:lastRow="0" w:firstColumn="1" w:lastColumn="0" w:oddVBand="0" w:evenVBand="0" w:oddHBand="0" w:evenHBand="0" w:firstRowFirstColumn="0" w:firstRowLastColumn="0" w:lastRowFirstColumn="0" w:lastRowLastColumn="0"/>
            <w:tcW w:w="1323" w:type="dxa"/>
          </w:tcPr>
          <w:p w14:paraId="4C6C3625" w14:textId="56BD29B4" w:rsidR="00796F30" w:rsidRPr="00174414" w:rsidRDefault="00796F30" w:rsidP="00B766A3">
            <w:pPr>
              <w:pStyle w:val="EFSATablefirstcolumn"/>
              <w:rPr>
                <w:color w:val="auto"/>
                <w:sz w:val="20"/>
                <w:highlight w:val="green"/>
              </w:rPr>
            </w:pPr>
            <w:r w:rsidRPr="00174414">
              <w:rPr>
                <w:color w:val="auto"/>
                <w:sz w:val="20"/>
              </w:rPr>
              <w:t>10</w:t>
            </w:r>
          </w:p>
        </w:tc>
        <w:tc>
          <w:tcPr>
            <w:tcW w:w="1969" w:type="dxa"/>
          </w:tcPr>
          <w:p w14:paraId="6E66035A" w14:textId="1D34417B" w:rsidR="00796F30" w:rsidRPr="00174414" w:rsidRDefault="00796F30" w:rsidP="00B766A3">
            <w:pPr>
              <w:pStyle w:val="EFSATabledata"/>
              <w:tabs>
                <w:tab w:val="clear" w:pos="454"/>
              </w:tabs>
              <w:cnfStyle w:val="000000000000" w:firstRow="0" w:lastRow="0" w:firstColumn="0" w:lastColumn="0" w:oddVBand="0" w:evenVBand="0" w:oddHBand="0" w:evenHBand="0" w:firstRowFirstColumn="0" w:firstRowLastColumn="0" w:lastRowFirstColumn="0" w:lastRowLastColumn="0"/>
              <w:rPr>
                <w:color w:val="auto"/>
                <w:sz w:val="20"/>
              </w:rPr>
            </w:pPr>
            <w:r w:rsidRPr="00174414">
              <w:rPr>
                <w:color w:val="auto"/>
                <w:sz w:val="20"/>
              </w:rPr>
              <w:t>UK Committee on Toxicity</w:t>
            </w:r>
          </w:p>
        </w:tc>
        <w:tc>
          <w:tcPr>
            <w:tcW w:w="2252" w:type="dxa"/>
          </w:tcPr>
          <w:p w14:paraId="5A9B92B3" w14:textId="0705EF97" w:rsidR="00796F30" w:rsidRPr="00174414" w:rsidRDefault="00796F30" w:rsidP="00B766A3">
            <w:pPr>
              <w:pStyle w:val="EFSATabledata"/>
              <w:tabs>
                <w:tab w:val="clear" w:pos="454"/>
              </w:tabs>
              <w:cnfStyle w:val="000000000000" w:firstRow="0" w:lastRow="0" w:firstColumn="0" w:lastColumn="0" w:oddVBand="0" w:evenVBand="0" w:oddHBand="0" w:evenHBand="0" w:firstRowFirstColumn="0" w:firstRowLastColumn="0" w:lastRowFirstColumn="0" w:lastRowLastColumn="0"/>
              <w:rPr>
                <w:color w:val="auto"/>
                <w:sz w:val="20"/>
                <w:highlight w:val="green"/>
              </w:rPr>
            </w:pPr>
            <w:r w:rsidRPr="00174414">
              <w:rPr>
                <w:rFonts w:cs="Calibri"/>
                <w:color w:val="auto"/>
                <w:sz w:val="20"/>
              </w:rPr>
              <w:t>3.1.7 Calculation of a relative potency factor</w:t>
            </w:r>
          </w:p>
        </w:tc>
        <w:tc>
          <w:tcPr>
            <w:tcW w:w="4589" w:type="dxa"/>
          </w:tcPr>
          <w:p w14:paraId="1D57B260" w14:textId="7EAFFC1E" w:rsidR="00796F30" w:rsidRPr="00174414" w:rsidRDefault="00796F30" w:rsidP="00B766A3">
            <w:pPr>
              <w:pStyle w:val="EFSATabledata"/>
              <w:tabs>
                <w:tab w:val="clear" w:pos="454"/>
              </w:tabs>
              <w:jc w:val="both"/>
              <w:cnfStyle w:val="000000000000" w:firstRow="0" w:lastRow="0" w:firstColumn="0" w:lastColumn="0" w:oddVBand="0" w:evenVBand="0" w:oddHBand="0" w:evenHBand="0" w:firstRowFirstColumn="0" w:firstRowLastColumn="0" w:lastRowFirstColumn="0" w:lastRowLastColumn="0"/>
              <w:rPr>
                <w:color w:val="auto"/>
                <w:sz w:val="20"/>
                <w:highlight w:val="green"/>
              </w:rPr>
            </w:pPr>
            <w:r w:rsidRPr="00174414">
              <w:rPr>
                <w:rFonts w:cs="Calibri"/>
                <w:color w:val="auto"/>
                <w:sz w:val="20"/>
              </w:rPr>
              <w:t>The relative potencies of Δ</w:t>
            </w:r>
            <w:r w:rsidRPr="00174414">
              <w:rPr>
                <w:rFonts w:cs="Calibri"/>
                <w:color w:val="auto"/>
                <w:sz w:val="20"/>
                <w:vertAlign w:val="superscript"/>
              </w:rPr>
              <w:t>8</w:t>
            </w:r>
            <w:r w:rsidRPr="00174414">
              <w:rPr>
                <w:rFonts w:cs="Calibri"/>
                <w:color w:val="auto"/>
                <w:sz w:val="20"/>
              </w:rPr>
              <w:t xml:space="preserve"> -THC and Δ</w:t>
            </w:r>
            <w:r w:rsidRPr="00174414">
              <w:rPr>
                <w:rFonts w:cs="Calibri"/>
                <w:color w:val="auto"/>
                <w:sz w:val="20"/>
                <w:vertAlign w:val="superscript"/>
              </w:rPr>
              <w:t>9</w:t>
            </w:r>
            <w:r w:rsidRPr="00174414">
              <w:rPr>
                <w:rFonts w:cs="Calibri"/>
                <w:color w:val="auto"/>
                <w:sz w:val="20"/>
              </w:rPr>
              <w:t xml:space="preserve"> -THC have been calculated on the basis of a limited human volunteer study, Zamarripa et al. (2025), which used psychological and cardiac function tests in a small group of healthy adults. The COT deemed this insufficient to establish the relative potencies of Δ</w:t>
            </w:r>
            <w:r w:rsidRPr="00174414">
              <w:rPr>
                <w:rFonts w:cs="Calibri"/>
                <w:color w:val="auto"/>
                <w:sz w:val="20"/>
                <w:vertAlign w:val="superscript"/>
              </w:rPr>
              <w:t>8</w:t>
            </w:r>
            <w:r w:rsidRPr="00174414">
              <w:rPr>
                <w:rFonts w:cs="Calibri"/>
                <w:color w:val="auto"/>
                <w:sz w:val="20"/>
              </w:rPr>
              <w:t xml:space="preserve"> -THC and Δ</w:t>
            </w:r>
            <w:r w:rsidRPr="00174414">
              <w:rPr>
                <w:rFonts w:cs="Calibri"/>
                <w:color w:val="auto"/>
                <w:sz w:val="20"/>
                <w:vertAlign w:val="superscript"/>
              </w:rPr>
              <w:t>9</w:t>
            </w:r>
            <w:r w:rsidRPr="00174414">
              <w:rPr>
                <w:rFonts w:cs="Calibri"/>
                <w:color w:val="auto"/>
                <w:sz w:val="20"/>
              </w:rPr>
              <w:t xml:space="preserve"> -THC, especially given that the available in vivo animal data are limited, and concluded that the calculated potencies are not robust.</w:t>
            </w:r>
          </w:p>
        </w:tc>
        <w:tc>
          <w:tcPr>
            <w:tcW w:w="3586" w:type="dxa"/>
          </w:tcPr>
          <w:p w14:paraId="4862BC14" w14:textId="6CAE3B8F" w:rsidR="00796F30" w:rsidRPr="004F2033" w:rsidRDefault="0050705F" w:rsidP="00B766A3">
            <w:pPr>
              <w:pStyle w:val="EFSATabledata"/>
              <w:jc w:val="both"/>
              <w:cnfStyle w:val="000000000000" w:firstRow="0" w:lastRow="0" w:firstColumn="0" w:lastColumn="0" w:oddVBand="0" w:evenVBand="0" w:oddHBand="0" w:evenHBand="0" w:firstRowFirstColumn="0" w:firstRowLastColumn="0" w:lastRowFirstColumn="0" w:lastRowLastColumn="0"/>
              <w:rPr>
                <w:color w:val="auto"/>
                <w:spacing w:val="-4"/>
                <w:sz w:val="20"/>
                <w:highlight w:val="yellow"/>
              </w:rPr>
            </w:pPr>
            <w:r w:rsidRPr="004F2033">
              <w:rPr>
                <w:color w:val="auto"/>
                <w:spacing w:val="-4"/>
                <w:sz w:val="20"/>
              </w:rPr>
              <w:t>The EFSA CONTAM Panel agrees that limited information is available on Δ</w:t>
            </w:r>
            <w:r w:rsidRPr="004F2033">
              <w:rPr>
                <w:color w:val="auto"/>
                <w:spacing w:val="-4"/>
                <w:sz w:val="20"/>
                <w:vertAlign w:val="superscript"/>
              </w:rPr>
              <w:t>8</w:t>
            </w:r>
            <w:r w:rsidRPr="004F2033">
              <w:rPr>
                <w:color w:val="auto"/>
                <w:spacing w:val="-4"/>
                <w:sz w:val="20"/>
              </w:rPr>
              <w:t xml:space="preserve"> -THC. However, the Panel considers, despite the limitations, which are transparently acknowledged in the opinion, </w:t>
            </w:r>
            <w:r w:rsidR="00661339" w:rsidRPr="004F2033">
              <w:rPr>
                <w:color w:val="auto"/>
                <w:spacing w:val="-4"/>
                <w:sz w:val="20"/>
              </w:rPr>
              <w:t xml:space="preserve">that </w:t>
            </w:r>
            <w:r w:rsidR="00A26D06" w:rsidRPr="004F2033">
              <w:rPr>
                <w:color w:val="auto"/>
                <w:spacing w:val="-4"/>
                <w:sz w:val="20"/>
              </w:rPr>
              <w:t xml:space="preserve">the Zamarripa study is performed in healthy </w:t>
            </w:r>
            <w:r w:rsidR="003D4A14" w:rsidRPr="004F2033">
              <w:rPr>
                <w:color w:val="auto"/>
                <w:spacing w:val="-4"/>
                <w:sz w:val="20"/>
              </w:rPr>
              <w:t xml:space="preserve">human </w:t>
            </w:r>
            <w:r w:rsidR="00A26D06" w:rsidRPr="004F2033">
              <w:rPr>
                <w:color w:val="auto"/>
                <w:spacing w:val="-4"/>
                <w:sz w:val="20"/>
              </w:rPr>
              <w:t xml:space="preserve">subjects, </w:t>
            </w:r>
            <w:r w:rsidR="00941F77" w:rsidRPr="004F2033">
              <w:rPr>
                <w:color w:val="auto"/>
                <w:spacing w:val="-4"/>
                <w:sz w:val="20"/>
              </w:rPr>
              <w:t>with a within-subject crossover design</w:t>
            </w:r>
            <w:r w:rsidR="00844408" w:rsidRPr="004F2033">
              <w:rPr>
                <w:color w:val="auto"/>
                <w:spacing w:val="-4"/>
                <w:sz w:val="20"/>
              </w:rPr>
              <w:t>, directly comparing Δ</w:t>
            </w:r>
            <w:r w:rsidR="00844408" w:rsidRPr="004F2033">
              <w:rPr>
                <w:color w:val="auto"/>
                <w:spacing w:val="-4"/>
                <w:sz w:val="20"/>
                <w:vertAlign w:val="superscript"/>
              </w:rPr>
              <w:t>8</w:t>
            </w:r>
            <w:r w:rsidR="00844408" w:rsidRPr="004F2033">
              <w:rPr>
                <w:color w:val="auto"/>
                <w:spacing w:val="-4"/>
                <w:sz w:val="20"/>
              </w:rPr>
              <w:t xml:space="preserve"> -THC and Δ</w:t>
            </w:r>
            <w:r w:rsidR="00844408" w:rsidRPr="004F2033">
              <w:rPr>
                <w:color w:val="auto"/>
                <w:spacing w:val="-4"/>
                <w:sz w:val="20"/>
                <w:vertAlign w:val="superscript"/>
              </w:rPr>
              <w:t>9</w:t>
            </w:r>
            <w:r w:rsidR="00844408" w:rsidRPr="004F2033">
              <w:rPr>
                <w:color w:val="auto"/>
                <w:spacing w:val="-4"/>
                <w:sz w:val="20"/>
              </w:rPr>
              <w:t xml:space="preserve"> -THC</w:t>
            </w:r>
            <w:r w:rsidR="00941F77" w:rsidRPr="004F2033">
              <w:rPr>
                <w:color w:val="auto"/>
                <w:spacing w:val="-4"/>
                <w:sz w:val="20"/>
              </w:rPr>
              <w:t xml:space="preserve"> </w:t>
            </w:r>
            <w:r w:rsidR="00844408" w:rsidRPr="004F2033">
              <w:rPr>
                <w:color w:val="auto"/>
                <w:spacing w:val="-4"/>
                <w:sz w:val="20"/>
              </w:rPr>
              <w:t>and therefore optimising the comparison</w:t>
            </w:r>
            <w:r w:rsidR="009F46F2" w:rsidRPr="004F2033">
              <w:rPr>
                <w:color w:val="auto"/>
                <w:spacing w:val="-4"/>
                <w:sz w:val="20"/>
              </w:rPr>
              <w:t xml:space="preserve"> of the potency between the compounds</w:t>
            </w:r>
            <w:r w:rsidRPr="004F2033">
              <w:rPr>
                <w:color w:val="auto"/>
                <w:spacing w:val="-4"/>
                <w:sz w:val="20"/>
              </w:rPr>
              <w:t xml:space="preserve">. </w:t>
            </w:r>
            <w:r w:rsidR="00CE77CD" w:rsidRPr="004F2033">
              <w:rPr>
                <w:color w:val="auto"/>
                <w:spacing w:val="-4"/>
                <w:sz w:val="20"/>
              </w:rPr>
              <w:t xml:space="preserve">The </w:t>
            </w:r>
            <w:r w:rsidR="00CE77CD" w:rsidRPr="004F2033">
              <w:rPr>
                <w:color w:val="auto"/>
                <w:spacing w:val="-4"/>
                <w:sz w:val="20"/>
              </w:rPr>
              <w:lastRenderedPageBreak/>
              <w:t>Panel agrees that the in vivo animal data are limited and therefore they have not been used in the hazard assessment</w:t>
            </w:r>
            <w:r w:rsidR="00337A19" w:rsidRPr="004F2033">
              <w:rPr>
                <w:color w:val="auto"/>
                <w:spacing w:val="-4"/>
                <w:sz w:val="20"/>
              </w:rPr>
              <w:t>.</w:t>
            </w:r>
            <w:r w:rsidR="00CE77CD" w:rsidRPr="004F2033">
              <w:rPr>
                <w:color w:val="auto"/>
                <w:spacing w:val="-4"/>
                <w:sz w:val="20"/>
              </w:rPr>
              <w:t xml:space="preserve"> </w:t>
            </w:r>
            <w:r w:rsidR="00B608F3" w:rsidRPr="004F2033">
              <w:rPr>
                <w:color w:val="auto"/>
                <w:spacing w:val="-4"/>
                <w:sz w:val="20"/>
              </w:rPr>
              <w:t>H</w:t>
            </w:r>
            <w:r w:rsidR="00CE77CD" w:rsidRPr="004F2033">
              <w:rPr>
                <w:color w:val="auto"/>
                <w:spacing w:val="-4"/>
                <w:sz w:val="20"/>
              </w:rPr>
              <w:t>owever</w:t>
            </w:r>
            <w:r w:rsidR="00337A19" w:rsidRPr="004F2033">
              <w:rPr>
                <w:color w:val="auto"/>
                <w:spacing w:val="-4"/>
                <w:sz w:val="20"/>
              </w:rPr>
              <w:t>,</w:t>
            </w:r>
            <w:r w:rsidR="00CE77CD" w:rsidRPr="004F2033">
              <w:rPr>
                <w:color w:val="auto"/>
                <w:spacing w:val="-4"/>
                <w:sz w:val="20"/>
              </w:rPr>
              <w:t xml:space="preserve"> in vivo studies in animals and </w:t>
            </w:r>
            <w:r w:rsidR="0030243A" w:rsidRPr="004F2033">
              <w:rPr>
                <w:color w:val="auto"/>
                <w:spacing w:val="-4"/>
                <w:sz w:val="20"/>
              </w:rPr>
              <w:t xml:space="preserve">other </w:t>
            </w:r>
            <w:r w:rsidR="00CE77CD" w:rsidRPr="004F2033">
              <w:rPr>
                <w:color w:val="auto"/>
                <w:spacing w:val="-4"/>
                <w:sz w:val="20"/>
              </w:rPr>
              <w:t>clinical studies in humans support the conclusion that Δ</w:t>
            </w:r>
            <w:r w:rsidR="00CE77CD" w:rsidRPr="004F2033">
              <w:rPr>
                <w:color w:val="auto"/>
                <w:spacing w:val="-4"/>
                <w:sz w:val="20"/>
                <w:vertAlign w:val="superscript"/>
              </w:rPr>
              <w:t>8</w:t>
            </w:r>
            <w:r w:rsidR="00CE77CD" w:rsidRPr="004F2033">
              <w:rPr>
                <w:color w:val="auto"/>
                <w:spacing w:val="-4"/>
                <w:sz w:val="20"/>
              </w:rPr>
              <w:t>-THC appears to be less potent or at best equipotent with respect to Δ</w:t>
            </w:r>
            <w:r w:rsidR="00CE77CD" w:rsidRPr="004F2033">
              <w:rPr>
                <w:color w:val="auto"/>
                <w:spacing w:val="-4"/>
                <w:sz w:val="20"/>
                <w:vertAlign w:val="superscript"/>
              </w:rPr>
              <w:t>9</w:t>
            </w:r>
            <w:r w:rsidR="00CE77CD" w:rsidRPr="004F2033">
              <w:rPr>
                <w:color w:val="auto"/>
                <w:spacing w:val="-4"/>
                <w:sz w:val="20"/>
              </w:rPr>
              <w:t xml:space="preserve"> -THC.</w:t>
            </w:r>
          </w:p>
        </w:tc>
      </w:tr>
      <w:tr w:rsidR="00174414" w:rsidRPr="00174414" w14:paraId="6D0F5E60" w14:textId="77777777" w:rsidTr="00ED449F">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1323" w:type="dxa"/>
          </w:tcPr>
          <w:p w14:paraId="7A13EA3A" w14:textId="29068C36" w:rsidR="00796F30" w:rsidRPr="00174414" w:rsidRDefault="00796F30" w:rsidP="00B766A3">
            <w:pPr>
              <w:pStyle w:val="EFSATablefirstcolumn"/>
              <w:rPr>
                <w:color w:val="auto"/>
                <w:sz w:val="20"/>
              </w:rPr>
            </w:pPr>
            <w:r w:rsidRPr="00174414">
              <w:rPr>
                <w:color w:val="auto"/>
                <w:sz w:val="20"/>
              </w:rPr>
              <w:lastRenderedPageBreak/>
              <w:t>11</w:t>
            </w:r>
          </w:p>
        </w:tc>
        <w:tc>
          <w:tcPr>
            <w:tcW w:w="1969" w:type="dxa"/>
          </w:tcPr>
          <w:p w14:paraId="690DBBAA" w14:textId="16E24904" w:rsidR="00796F30" w:rsidRPr="00174414" w:rsidRDefault="00796F30" w:rsidP="00B766A3">
            <w:pPr>
              <w:pStyle w:val="EFSATabledata"/>
              <w:tabs>
                <w:tab w:val="clear" w:pos="454"/>
              </w:tabs>
              <w:cnfStyle w:val="000000100000" w:firstRow="0" w:lastRow="0" w:firstColumn="0" w:lastColumn="0" w:oddVBand="0" w:evenVBand="0" w:oddHBand="1" w:evenHBand="0" w:firstRowFirstColumn="0" w:firstRowLastColumn="0" w:lastRowFirstColumn="0" w:lastRowLastColumn="0"/>
              <w:rPr>
                <w:color w:val="auto"/>
                <w:sz w:val="20"/>
              </w:rPr>
            </w:pPr>
            <w:r w:rsidRPr="00174414">
              <w:rPr>
                <w:color w:val="auto"/>
                <w:sz w:val="20"/>
              </w:rPr>
              <w:t>UK Committee on Toxicity</w:t>
            </w:r>
          </w:p>
        </w:tc>
        <w:tc>
          <w:tcPr>
            <w:tcW w:w="2252" w:type="dxa"/>
          </w:tcPr>
          <w:p w14:paraId="4EE547B1" w14:textId="09C526CF" w:rsidR="00796F30" w:rsidRPr="00174414" w:rsidRDefault="00796F30" w:rsidP="00B766A3">
            <w:pPr>
              <w:pStyle w:val="EFSATabledata"/>
              <w:tabs>
                <w:tab w:val="clear" w:pos="454"/>
              </w:tabs>
              <w:cnfStyle w:val="000000100000" w:firstRow="0" w:lastRow="0" w:firstColumn="0" w:lastColumn="0" w:oddVBand="0" w:evenVBand="0" w:oddHBand="1" w:evenHBand="0" w:firstRowFirstColumn="0" w:firstRowLastColumn="0" w:lastRowFirstColumn="0" w:lastRowLastColumn="0"/>
              <w:rPr>
                <w:rFonts w:cs="Calibri"/>
                <w:color w:val="auto"/>
                <w:sz w:val="20"/>
              </w:rPr>
            </w:pPr>
            <w:r w:rsidRPr="00174414">
              <w:rPr>
                <w:rFonts w:cs="Calibri"/>
                <w:color w:val="auto"/>
                <w:sz w:val="20"/>
              </w:rPr>
              <w:t>3.1.8 Derivation of a group HBGV for Δ</w:t>
            </w:r>
            <w:r w:rsidRPr="00174414">
              <w:rPr>
                <w:rFonts w:cs="Calibri"/>
                <w:color w:val="auto"/>
                <w:sz w:val="20"/>
                <w:vertAlign w:val="superscript"/>
              </w:rPr>
              <w:t>8</w:t>
            </w:r>
            <w:r w:rsidRPr="00174414">
              <w:rPr>
                <w:rFonts w:cs="Calibri"/>
                <w:color w:val="auto"/>
                <w:sz w:val="20"/>
              </w:rPr>
              <w:t>-THC and Δ</w:t>
            </w:r>
            <w:r w:rsidRPr="00174414">
              <w:rPr>
                <w:rFonts w:cs="Calibri"/>
                <w:color w:val="auto"/>
                <w:sz w:val="20"/>
                <w:vertAlign w:val="superscript"/>
              </w:rPr>
              <w:t>9</w:t>
            </w:r>
            <w:r w:rsidRPr="00174414">
              <w:rPr>
                <w:rFonts w:cs="Calibri"/>
                <w:color w:val="auto"/>
                <w:sz w:val="20"/>
              </w:rPr>
              <w:t>-THC</w:t>
            </w:r>
          </w:p>
        </w:tc>
        <w:tc>
          <w:tcPr>
            <w:tcW w:w="4589" w:type="dxa"/>
          </w:tcPr>
          <w:p w14:paraId="4CFC3076" w14:textId="40681810" w:rsidR="00796F30" w:rsidRPr="00174414" w:rsidRDefault="00796F30" w:rsidP="00B766A3">
            <w:pPr>
              <w:pStyle w:val="EFSATabledata"/>
              <w:tabs>
                <w:tab w:val="clear" w:pos="454"/>
              </w:tabs>
              <w:jc w:val="both"/>
              <w:cnfStyle w:val="000000100000" w:firstRow="0" w:lastRow="0" w:firstColumn="0" w:lastColumn="0" w:oddVBand="0" w:evenVBand="0" w:oddHBand="1" w:evenHBand="0" w:firstRowFirstColumn="0" w:firstRowLastColumn="0" w:lastRowFirstColumn="0" w:lastRowLastColumn="0"/>
              <w:rPr>
                <w:rFonts w:cs="Calibri"/>
                <w:color w:val="auto"/>
                <w:sz w:val="20"/>
              </w:rPr>
            </w:pPr>
            <w:r w:rsidRPr="00174414">
              <w:rPr>
                <w:rFonts w:cs="Calibri"/>
                <w:color w:val="auto"/>
                <w:sz w:val="20"/>
              </w:rPr>
              <w:t xml:space="preserve">The parameters for the </w:t>
            </w:r>
            <w:proofErr w:type="spellStart"/>
            <w:r w:rsidRPr="00174414">
              <w:rPr>
                <w:rFonts w:cs="Calibri"/>
                <w:color w:val="auto"/>
                <w:sz w:val="20"/>
              </w:rPr>
              <w:t>ARfD</w:t>
            </w:r>
            <w:proofErr w:type="spellEnd"/>
            <w:r w:rsidRPr="00174414">
              <w:rPr>
                <w:rFonts w:cs="Calibri"/>
                <w:color w:val="auto"/>
                <w:sz w:val="20"/>
              </w:rPr>
              <w:t xml:space="preserve"> are quoted as “the established </w:t>
            </w:r>
            <w:proofErr w:type="spellStart"/>
            <w:r w:rsidRPr="00174414">
              <w:rPr>
                <w:rFonts w:cs="Calibri"/>
                <w:color w:val="auto"/>
                <w:sz w:val="20"/>
              </w:rPr>
              <w:t>ARfD</w:t>
            </w:r>
            <w:proofErr w:type="spellEnd"/>
            <w:r w:rsidRPr="00174414">
              <w:rPr>
                <w:rFonts w:cs="Calibri"/>
                <w:color w:val="auto"/>
                <w:sz w:val="20"/>
              </w:rPr>
              <w:t xml:space="preserve"> can be considered as a group </w:t>
            </w:r>
            <w:proofErr w:type="spellStart"/>
            <w:r w:rsidRPr="00174414">
              <w:rPr>
                <w:rFonts w:cs="Calibri"/>
                <w:color w:val="auto"/>
                <w:sz w:val="20"/>
              </w:rPr>
              <w:t>ARfD</w:t>
            </w:r>
            <w:proofErr w:type="spellEnd"/>
            <w:r w:rsidRPr="00174414">
              <w:rPr>
                <w:rFonts w:cs="Calibri"/>
                <w:color w:val="auto"/>
                <w:sz w:val="20"/>
              </w:rPr>
              <w:t xml:space="preserve"> for the sum of Δ</w:t>
            </w:r>
            <w:r w:rsidRPr="00174414">
              <w:rPr>
                <w:rFonts w:cs="Calibri"/>
                <w:color w:val="auto"/>
                <w:sz w:val="20"/>
                <w:vertAlign w:val="superscript"/>
              </w:rPr>
              <w:t>9</w:t>
            </w:r>
            <w:r w:rsidRPr="00174414">
              <w:rPr>
                <w:rFonts w:cs="Calibri"/>
                <w:color w:val="auto"/>
                <w:sz w:val="20"/>
              </w:rPr>
              <w:t xml:space="preserve"> -THC and Δ</w:t>
            </w:r>
            <w:r w:rsidRPr="00174414">
              <w:rPr>
                <w:rFonts w:cs="Calibri"/>
                <w:color w:val="auto"/>
                <w:sz w:val="20"/>
                <w:vertAlign w:val="superscript"/>
              </w:rPr>
              <w:t>8</w:t>
            </w:r>
            <w:r w:rsidRPr="00174414">
              <w:rPr>
                <w:rFonts w:cs="Calibri"/>
                <w:color w:val="auto"/>
                <w:sz w:val="20"/>
              </w:rPr>
              <w:t xml:space="preserve"> -THC”. The COT noted that this HBGV does not include any precursors or illicit cannabinoid compounds. Would including Δ</w:t>
            </w:r>
            <w:r w:rsidRPr="00174414">
              <w:rPr>
                <w:rFonts w:cs="Calibri"/>
                <w:color w:val="auto"/>
                <w:sz w:val="20"/>
                <w:vertAlign w:val="superscript"/>
              </w:rPr>
              <w:t>8</w:t>
            </w:r>
            <w:r w:rsidRPr="00174414">
              <w:rPr>
                <w:rFonts w:cs="Calibri"/>
                <w:color w:val="auto"/>
                <w:sz w:val="20"/>
              </w:rPr>
              <w:t xml:space="preserve"> -THC + Δ</w:t>
            </w:r>
            <w:r w:rsidRPr="00174414">
              <w:rPr>
                <w:rFonts w:cs="Calibri"/>
                <w:color w:val="auto"/>
                <w:sz w:val="20"/>
                <w:vertAlign w:val="superscript"/>
              </w:rPr>
              <w:t>9</w:t>
            </w:r>
            <w:r w:rsidRPr="00174414">
              <w:rPr>
                <w:rFonts w:cs="Calibri"/>
                <w:color w:val="auto"/>
                <w:sz w:val="20"/>
              </w:rPr>
              <w:t xml:space="preserve"> -THC in the HBGV effectively lower EFSA’s current </w:t>
            </w:r>
            <w:proofErr w:type="spellStart"/>
            <w:r w:rsidRPr="00174414">
              <w:rPr>
                <w:rFonts w:cs="Calibri"/>
                <w:color w:val="auto"/>
                <w:sz w:val="20"/>
              </w:rPr>
              <w:t>ARfD</w:t>
            </w:r>
            <w:proofErr w:type="spellEnd"/>
            <w:r w:rsidRPr="00174414">
              <w:rPr>
                <w:rFonts w:cs="Calibri"/>
                <w:color w:val="auto"/>
                <w:sz w:val="20"/>
              </w:rPr>
              <w:t xml:space="preserve"> for Δ</w:t>
            </w:r>
            <w:r w:rsidRPr="00174414">
              <w:rPr>
                <w:rFonts w:cs="Calibri"/>
                <w:color w:val="auto"/>
                <w:sz w:val="20"/>
                <w:vertAlign w:val="superscript"/>
              </w:rPr>
              <w:t>9</w:t>
            </w:r>
            <w:r w:rsidRPr="00174414">
              <w:rPr>
                <w:rFonts w:cs="Calibri"/>
                <w:color w:val="auto"/>
                <w:sz w:val="20"/>
              </w:rPr>
              <w:t xml:space="preserve"> -THC?</w:t>
            </w:r>
          </w:p>
        </w:tc>
        <w:tc>
          <w:tcPr>
            <w:tcW w:w="3586" w:type="dxa"/>
          </w:tcPr>
          <w:p w14:paraId="6AA52FCF" w14:textId="10FC8091" w:rsidR="00CE77CD" w:rsidRPr="00174414" w:rsidRDefault="00CE77CD" w:rsidP="00B766A3">
            <w:pPr>
              <w:pStyle w:val="EFSATabledata"/>
              <w:jc w:val="both"/>
              <w:cnfStyle w:val="000000100000" w:firstRow="0" w:lastRow="0" w:firstColumn="0" w:lastColumn="0" w:oddVBand="0" w:evenVBand="0" w:oddHBand="1" w:evenHBand="0" w:firstRowFirstColumn="0" w:firstRowLastColumn="0" w:lastRowFirstColumn="0" w:lastRowLastColumn="0"/>
              <w:rPr>
                <w:color w:val="auto"/>
                <w:sz w:val="20"/>
              </w:rPr>
            </w:pPr>
            <w:r w:rsidRPr="00174414">
              <w:rPr>
                <w:color w:val="auto"/>
                <w:sz w:val="20"/>
              </w:rPr>
              <w:t xml:space="preserve">This evaluation addresses </w:t>
            </w:r>
            <w:r w:rsidR="00764916" w:rsidRPr="00174414">
              <w:rPr>
                <w:color w:val="auto"/>
                <w:sz w:val="20"/>
              </w:rPr>
              <w:t xml:space="preserve">only </w:t>
            </w:r>
            <w:r w:rsidRPr="00174414">
              <w:rPr>
                <w:color w:val="auto"/>
                <w:sz w:val="20"/>
              </w:rPr>
              <w:t>Δ</w:t>
            </w:r>
            <w:r w:rsidRPr="00174414">
              <w:rPr>
                <w:color w:val="auto"/>
                <w:sz w:val="20"/>
                <w:vertAlign w:val="superscript"/>
              </w:rPr>
              <w:t>8</w:t>
            </w:r>
            <w:r w:rsidRPr="00174414">
              <w:rPr>
                <w:color w:val="auto"/>
                <w:sz w:val="20"/>
              </w:rPr>
              <w:t>-THC</w:t>
            </w:r>
            <w:r w:rsidR="005F3C98" w:rsidRPr="00174414">
              <w:rPr>
                <w:color w:val="auto"/>
                <w:sz w:val="20"/>
              </w:rPr>
              <w:t>. I</w:t>
            </w:r>
            <w:r w:rsidRPr="00174414">
              <w:rPr>
                <w:color w:val="auto"/>
                <w:sz w:val="20"/>
              </w:rPr>
              <w:t xml:space="preserve">llicit cannabinoid compounds are not </w:t>
            </w:r>
            <w:r w:rsidR="00D9059F" w:rsidRPr="00174414">
              <w:rPr>
                <w:color w:val="auto"/>
                <w:sz w:val="20"/>
              </w:rPr>
              <w:t>included in this mandate</w:t>
            </w:r>
            <w:r w:rsidRPr="00174414">
              <w:rPr>
                <w:color w:val="auto"/>
                <w:sz w:val="20"/>
              </w:rPr>
              <w:t>. The information on Δ</w:t>
            </w:r>
            <w:r w:rsidRPr="00174414">
              <w:rPr>
                <w:color w:val="auto"/>
                <w:sz w:val="20"/>
                <w:vertAlign w:val="superscript"/>
              </w:rPr>
              <w:t>8</w:t>
            </w:r>
            <w:r w:rsidRPr="00174414">
              <w:rPr>
                <w:color w:val="auto"/>
                <w:sz w:val="20"/>
              </w:rPr>
              <w:t xml:space="preserve">-THC precursors is not </w:t>
            </w:r>
            <w:r w:rsidR="00F04E89" w:rsidRPr="00174414">
              <w:rPr>
                <w:color w:val="auto"/>
                <w:sz w:val="20"/>
              </w:rPr>
              <w:t>suffic</w:t>
            </w:r>
            <w:r w:rsidR="00AB6C4F" w:rsidRPr="00174414">
              <w:rPr>
                <w:color w:val="auto"/>
                <w:sz w:val="20"/>
              </w:rPr>
              <w:t>i</w:t>
            </w:r>
            <w:r w:rsidR="00F04E89" w:rsidRPr="00174414">
              <w:rPr>
                <w:color w:val="auto"/>
                <w:sz w:val="20"/>
              </w:rPr>
              <w:t>ent</w:t>
            </w:r>
            <w:r w:rsidRPr="00174414">
              <w:rPr>
                <w:color w:val="auto"/>
                <w:sz w:val="20"/>
              </w:rPr>
              <w:t xml:space="preserve"> to draw further conclusions. </w:t>
            </w:r>
          </w:p>
          <w:p w14:paraId="01DBEC92" w14:textId="11776687" w:rsidR="00796F30" w:rsidRPr="00174414" w:rsidRDefault="00CE77CD" w:rsidP="00B766A3">
            <w:pPr>
              <w:pStyle w:val="EFSATabledata"/>
              <w:jc w:val="both"/>
              <w:cnfStyle w:val="000000100000" w:firstRow="0" w:lastRow="0" w:firstColumn="0" w:lastColumn="0" w:oddVBand="0" w:evenVBand="0" w:oddHBand="1" w:evenHBand="0" w:firstRowFirstColumn="0" w:firstRowLastColumn="0" w:lastRowFirstColumn="0" w:lastRowLastColumn="0"/>
              <w:rPr>
                <w:color w:val="auto"/>
                <w:sz w:val="20"/>
                <w:highlight w:val="yellow"/>
              </w:rPr>
            </w:pPr>
            <w:r w:rsidRPr="00174414">
              <w:rPr>
                <w:color w:val="auto"/>
                <w:sz w:val="20"/>
              </w:rPr>
              <w:t xml:space="preserve">There is no </w:t>
            </w:r>
            <w:r w:rsidR="0025301B" w:rsidRPr="00174414">
              <w:rPr>
                <w:color w:val="auto"/>
                <w:sz w:val="20"/>
              </w:rPr>
              <w:t>consideration of changing the</w:t>
            </w:r>
            <w:r w:rsidRPr="00174414">
              <w:rPr>
                <w:color w:val="auto"/>
                <w:sz w:val="20"/>
              </w:rPr>
              <w:t xml:space="preserve"> </w:t>
            </w:r>
            <w:proofErr w:type="spellStart"/>
            <w:r w:rsidRPr="00174414">
              <w:rPr>
                <w:color w:val="auto"/>
                <w:sz w:val="20"/>
              </w:rPr>
              <w:t>ARfD</w:t>
            </w:r>
            <w:proofErr w:type="spellEnd"/>
            <w:r w:rsidRPr="00174414">
              <w:rPr>
                <w:color w:val="auto"/>
                <w:sz w:val="20"/>
              </w:rPr>
              <w:t xml:space="preserve"> for Δ</w:t>
            </w:r>
            <w:r w:rsidRPr="00174414">
              <w:rPr>
                <w:color w:val="auto"/>
                <w:sz w:val="20"/>
                <w:vertAlign w:val="superscript"/>
              </w:rPr>
              <w:t>9</w:t>
            </w:r>
            <w:r w:rsidRPr="00174414">
              <w:rPr>
                <w:color w:val="auto"/>
                <w:sz w:val="20"/>
              </w:rPr>
              <w:t xml:space="preserve"> -THC </w:t>
            </w:r>
            <w:r w:rsidR="00435948" w:rsidRPr="00174414">
              <w:rPr>
                <w:color w:val="auto"/>
                <w:sz w:val="20"/>
              </w:rPr>
              <w:t>since Δ</w:t>
            </w:r>
            <w:r w:rsidR="00435948" w:rsidRPr="00174414">
              <w:rPr>
                <w:color w:val="auto"/>
                <w:sz w:val="20"/>
                <w:vertAlign w:val="superscript"/>
              </w:rPr>
              <w:t>9</w:t>
            </w:r>
            <w:r w:rsidR="00435948" w:rsidRPr="00174414">
              <w:rPr>
                <w:color w:val="auto"/>
                <w:sz w:val="20"/>
              </w:rPr>
              <w:t xml:space="preserve"> -THC is not assessed</w:t>
            </w:r>
            <w:r w:rsidR="00937346" w:rsidRPr="00174414">
              <w:rPr>
                <w:color w:val="auto"/>
                <w:sz w:val="20"/>
              </w:rPr>
              <w:t>.</w:t>
            </w:r>
            <w:r w:rsidRPr="00174414">
              <w:rPr>
                <w:color w:val="auto"/>
                <w:sz w:val="20"/>
              </w:rPr>
              <w:t xml:space="preserve"> Δ</w:t>
            </w:r>
            <w:r w:rsidRPr="00174414">
              <w:rPr>
                <w:color w:val="auto"/>
                <w:sz w:val="20"/>
                <w:vertAlign w:val="superscript"/>
              </w:rPr>
              <w:t>8</w:t>
            </w:r>
            <w:r w:rsidRPr="00174414">
              <w:rPr>
                <w:color w:val="auto"/>
                <w:sz w:val="20"/>
              </w:rPr>
              <w:t xml:space="preserve"> -THC is translated to Δ</w:t>
            </w:r>
            <w:r w:rsidRPr="00174414">
              <w:rPr>
                <w:color w:val="auto"/>
                <w:sz w:val="20"/>
                <w:vertAlign w:val="superscript"/>
              </w:rPr>
              <w:t>9</w:t>
            </w:r>
            <w:r w:rsidRPr="00174414">
              <w:rPr>
                <w:color w:val="auto"/>
                <w:sz w:val="20"/>
              </w:rPr>
              <w:t xml:space="preserve"> -THC equivalents.</w:t>
            </w:r>
          </w:p>
        </w:tc>
      </w:tr>
      <w:tr w:rsidR="00174414" w:rsidRPr="00174414" w14:paraId="20C27175" w14:textId="77777777" w:rsidTr="00ED449F">
        <w:trPr>
          <w:trHeight w:val="414"/>
        </w:trPr>
        <w:tc>
          <w:tcPr>
            <w:cnfStyle w:val="001000000000" w:firstRow="0" w:lastRow="0" w:firstColumn="1" w:lastColumn="0" w:oddVBand="0" w:evenVBand="0" w:oddHBand="0" w:evenHBand="0" w:firstRowFirstColumn="0" w:firstRowLastColumn="0" w:lastRowFirstColumn="0" w:lastRowLastColumn="0"/>
            <w:tcW w:w="1323" w:type="dxa"/>
          </w:tcPr>
          <w:p w14:paraId="401A3D1A" w14:textId="0BC0C189" w:rsidR="00796F30" w:rsidRPr="00174414" w:rsidRDefault="00796F30" w:rsidP="00B766A3">
            <w:pPr>
              <w:pStyle w:val="EFSATablefirstcolumn"/>
              <w:rPr>
                <w:color w:val="auto"/>
                <w:sz w:val="20"/>
              </w:rPr>
            </w:pPr>
            <w:r w:rsidRPr="00174414">
              <w:rPr>
                <w:color w:val="auto"/>
                <w:sz w:val="20"/>
              </w:rPr>
              <w:t>12</w:t>
            </w:r>
          </w:p>
        </w:tc>
        <w:tc>
          <w:tcPr>
            <w:tcW w:w="1969" w:type="dxa"/>
          </w:tcPr>
          <w:p w14:paraId="49A6E19E" w14:textId="6841D918" w:rsidR="00796F30" w:rsidRPr="00174414" w:rsidRDefault="00796F30" w:rsidP="00B766A3">
            <w:pPr>
              <w:pStyle w:val="EFSATabledata"/>
              <w:tabs>
                <w:tab w:val="clear" w:pos="454"/>
              </w:tabs>
              <w:cnfStyle w:val="000000000000" w:firstRow="0" w:lastRow="0" w:firstColumn="0" w:lastColumn="0" w:oddVBand="0" w:evenVBand="0" w:oddHBand="0" w:evenHBand="0" w:firstRowFirstColumn="0" w:firstRowLastColumn="0" w:lastRowFirstColumn="0" w:lastRowLastColumn="0"/>
              <w:rPr>
                <w:color w:val="auto"/>
                <w:sz w:val="20"/>
              </w:rPr>
            </w:pPr>
            <w:r w:rsidRPr="00174414">
              <w:rPr>
                <w:color w:val="auto"/>
                <w:sz w:val="20"/>
              </w:rPr>
              <w:t>UK Committee on Toxicity</w:t>
            </w:r>
          </w:p>
        </w:tc>
        <w:tc>
          <w:tcPr>
            <w:tcW w:w="2252" w:type="dxa"/>
          </w:tcPr>
          <w:p w14:paraId="222A35B4" w14:textId="6B6E9A74" w:rsidR="00796F30" w:rsidRPr="00174414" w:rsidRDefault="00796F30" w:rsidP="00B766A3">
            <w:pPr>
              <w:pStyle w:val="EFSATabledata"/>
              <w:tabs>
                <w:tab w:val="clear" w:pos="454"/>
              </w:tabs>
              <w:cnfStyle w:val="000000000000" w:firstRow="0" w:lastRow="0" w:firstColumn="0" w:lastColumn="0" w:oddVBand="0" w:evenVBand="0" w:oddHBand="0" w:evenHBand="0" w:firstRowFirstColumn="0" w:firstRowLastColumn="0" w:lastRowFirstColumn="0" w:lastRowLastColumn="0"/>
              <w:rPr>
                <w:rFonts w:cs="Calibri"/>
                <w:color w:val="auto"/>
                <w:sz w:val="20"/>
              </w:rPr>
            </w:pPr>
            <w:r w:rsidRPr="00174414">
              <w:rPr>
                <w:rFonts w:cs="Calibri"/>
                <w:color w:val="auto"/>
                <w:sz w:val="20"/>
              </w:rPr>
              <w:t>3.2 Occurrence data in food</w:t>
            </w:r>
          </w:p>
        </w:tc>
        <w:tc>
          <w:tcPr>
            <w:tcW w:w="4589" w:type="dxa"/>
          </w:tcPr>
          <w:p w14:paraId="485B02EC" w14:textId="746FFFBE" w:rsidR="00796F30" w:rsidRPr="00174414" w:rsidRDefault="00796F30" w:rsidP="00B766A3">
            <w:pPr>
              <w:pStyle w:val="EFSATabledata"/>
              <w:tabs>
                <w:tab w:val="clear" w:pos="454"/>
              </w:tabs>
              <w:jc w:val="both"/>
              <w:cnfStyle w:val="000000000000" w:firstRow="0" w:lastRow="0" w:firstColumn="0" w:lastColumn="0" w:oddVBand="0" w:evenVBand="0" w:oddHBand="0" w:evenHBand="0" w:firstRowFirstColumn="0" w:firstRowLastColumn="0" w:lastRowFirstColumn="0" w:lastRowLastColumn="0"/>
              <w:rPr>
                <w:rFonts w:cs="Calibri"/>
                <w:color w:val="auto"/>
                <w:sz w:val="20"/>
              </w:rPr>
            </w:pPr>
            <w:r w:rsidRPr="00174414">
              <w:rPr>
                <w:rFonts w:cs="Calibri"/>
                <w:color w:val="auto"/>
                <w:sz w:val="20"/>
              </w:rPr>
              <w:t>An absence of robust, accurate detection methods (with low limits of detection and quantification) for Δ</w:t>
            </w:r>
            <w:r w:rsidRPr="00174414">
              <w:rPr>
                <w:rFonts w:cs="Calibri"/>
                <w:color w:val="auto"/>
                <w:sz w:val="20"/>
                <w:vertAlign w:val="superscript"/>
              </w:rPr>
              <w:t>8</w:t>
            </w:r>
            <w:r w:rsidRPr="00174414">
              <w:rPr>
                <w:rFonts w:cs="Calibri"/>
                <w:color w:val="auto"/>
                <w:sz w:val="20"/>
              </w:rPr>
              <w:t xml:space="preserve"> -THC – particularly the inability to distinguish between Δ</w:t>
            </w:r>
            <w:r w:rsidRPr="00174414">
              <w:rPr>
                <w:rFonts w:cs="Calibri"/>
                <w:color w:val="auto"/>
                <w:sz w:val="20"/>
                <w:vertAlign w:val="superscript"/>
              </w:rPr>
              <w:t>8</w:t>
            </w:r>
            <w:r w:rsidRPr="00174414">
              <w:rPr>
                <w:rFonts w:cs="Calibri"/>
                <w:color w:val="auto"/>
                <w:sz w:val="20"/>
              </w:rPr>
              <w:t xml:space="preserve"> -THC and other cannabinoids including precursors to assess exposure to Δ</w:t>
            </w:r>
            <w:r w:rsidRPr="00174414">
              <w:rPr>
                <w:rFonts w:cs="Calibri"/>
                <w:color w:val="auto"/>
                <w:sz w:val="20"/>
                <w:vertAlign w:val="superscript"/>
              </w:rPr>
              <w:t>8</w:t>
            </w:r>
            <w:r w:rsidRPr="00174414">
              <w:rPr>
                <w:rFonts w:cs="Calibri"/>
                <w:color w:val="auto"/>
                <w:sz w:val="20"/>
              </w:rPr>
              <w:t xml:space="preserve"> -THC specifically – raises concerns that the exposure data and occurrence calculations are not representative of the true human exposure to Δ</w:t>
            </w:r>
            <w:r w:rsidRPr="00174414">
              <w:rPr>
                <w:rFonts w:cs="Calibri"/>
                <w:color w:val="auto"/>
                <w:sz w:val="20"/>
                <w:vertAlign w:val="superscript"/>
              </w:rPr>
              <w:t>8</w:t>
            </w:r>
            <w:r w:rsidRPr="00174414">
              <w:rPr>
                <w:rFonts w:cs="Calibri"/>
                <w:color w:val="auto"/>
                <w:sz w:val="20"/>
              </w:rPr>
              <w:t xml:space="preserve"> -THC.</w:t>
            </w:r>
          </w:p>
        </w:tc>
        <w:tc>
          <w:tcPr>
            <w:tcW w:w="3586" w:type="dxa"/>
          </w:tcPr>
          <w:p w14:paraId="668BEAFA" w14:textId="7D91C722" w:rsidR="00796F30" w:rsidRPr="00174414" w:rsidRDefault="12C44DC3" w:rsidP="00B766A3">
            <w:pPr>
              <w:pStyle w:val="EFSATabledata"/>
              <w:jc w:val="both"/>
              <w:cnfStyle w:val="000000000000" w:firstRow="0" w:lastRow="0" w:firstColumn="0" w:lastColumn="0" w:oddVBand="0" w:evenVBand="0" w:oddHBand="0" w:evenHBand="0" w:firstRowFirstColumn="0" w:firstRowLastColumn="0" w:lastRowFirstColumn="0" w:lastRowLastColumn="0"/>
              <w:rPr>
                <w:color w:val="auto"/>
                <w:sz w:val="20"/>
              </w:rPr>
            </w:pPr>
            <w:r w:rsidRPr="00174414">
              <w:rPr>
                <w:color w:val="auto"/>
                <w:sz w:val="20"/>
              </w:rPr>
              <w:t>In the opinion it is stated that fully validated analytical methods are available</w:t>
            </w:r>
            <w:r w:rsidR="005F0E54" w:rsidRPr="00174414">
              <w:rPr>
                <w:color w:val="auto"/>
                <w:sz w:val="20"/>
              </w:rPr>
              <w:t xml:space="preserve"> (with low limits of detection and quantification)</w:t>
            </w:r>
            <w:r w:rsidRPr="00174414">
              <w:rPr>
                <w:color w:val="auto"/>
                <w:sz w:val="20"/>
              </w:rPr>
              <w:t xml:space="preserve">. </w:t>
            </w:r>
            <w:r w:rsidR="0C509D0D" w:rsidRPr="00174414">
              <w:rPr>
                <w:color w:val="auto"/>
                <w:sz w:val="20"/>
              </w:rPr>
              <w:t xml:space="preserve">State-of-the-art methods are capable of separating </w:t>
            </w:r>
            <w:r w:rsidR="00BD6B28" w:rsidRPr="00174414">
              <w:rPr>
                <w:color w:val="auto"/>
                <w:sz w:val="20"/>
              </w:rPr>
              <w:t>Δ</w:t>
            </w:r>
            <w:r w:rsidR="00BD6B28" w:rsidRPr="00174414">
              <w:rPr>
                <w:color w:val="auto"/>
                <w:sz w:val="20"/>
                <w:vertAlign w:val="superscript"/>
              </w:rPr>
              <w:t>8</w:t>
            </w:r>
            <w:r w:rsidR="00BD6B28" w:rsidRPr="00174414">
              <w:rPr>
                <w:color w:val="auto"/>
                <w:sz w:val="20"/>
              </w:rPr>
              <w:t xml:space="preserve"> -THC </w:t>
            </w:r>
            <w:r w:rsidR="0C509D0D" w:rsidRPr="00174414">
              <w:rPr>
                <w:color w:val="auto"/>
                <w:sz w:val="20"/>
              </w:rPr>
              <w:t xml:space="preserve">from several other cannabinoids and </w:t>
            </w:r>
            <w:r w:rsidR="00A832E4" w:rsidRPr="00174414">
              <w:rPr>
                <w:color w:val="auto"/>
                <w:sz w:val="20"/>
              </w:rPr>
              <w:t xml:space="preserve">precursors and </w:t>
            </w:r>
            <w:r w:rsidR="0C509D0D" w:rsidRPr="00174414">
              <w:rPr>
                <w:color w:val="auto"/>
                <w:sz w:val="20"/>
              </w:rPr>
              <w:t>reliably</w:t>
            </w:r>
            <w:r w:rsidR="1BB6D002" w:rsidRPr="00174414">
              <w:rPr>
                <w:color w:val="auto"/>
                <w:sz w:val="20"/>
              </w:rPr>
              <w:t xml:space="preserve"> quantifying all target analytes, including </w:t>
            </w:r>
            <w:r w:rsidR="00BD6B28" w:rsidRPr="00174414">
              <w:rPr>
                <w:color w:val="auto"/>
                <w:sz w:val="20"/>
              </w:rPr>
              <w:t>Δ</w:t>
            </w:r>
            <w:r w:rsidR="00BD6B28" w:rsidRPr="00174414">
              <w:rPr>
                <w:color w:val="auto"/>
                <w:sz w:val="20"/>
                <w:vertAlign w:val="superscript"/>
              </w:rPr>
              <w:t>8</w:t>
            </w:r>
            <w:r w:rsidR="00BD6B28" w:rsidRPr="00174414">
              <w:rPr>
                <w:color w:val="auto"/>
                <w:sz w:val="20"/>
              </w:rPr>
              <w:t xml:space="preserve"> -THC</w:t>
            </w:r>
            <w:r w:rsidR="1BB6D002" w:rsidRPr="00174414">
              <w:rPr>
                <w:color w:val="auto"/>
                <w:sz w:val="20"/>
              </w:rPr>
              <w:t xml:space="preserve">. </w:t>
            </w:r>
            <w:r w:rsidR="44C57B9D" w:rsidRPr="00174414">
              <w:rPr>
                <w:color w:val="auto"/>
                <w:sz w:val="20"/>
              </w:rPr>
              <w:t xml:space="preserve">In addition, data providers were contacted in the process of data cleaning for </w:t>
            </w:r>
            <w:r w:rsidR="44C57B9D" w:rsidRPr="00174414">
              <w:rPr>
                <w:color w:val="auto"/>
                <w:sz w:val="20"/>
              </w:rPr>
              <w:lastRenderedPageBreak/>
              <w:t>this opinion to verify that their method</w:t>
            </w:r>
            <w:r w:rsidR="5DFE9D3D" w:rsidRPr="00174414">
              <w:rPr>
                <w:color w:val="auto"/>
                <w:sz w:val="20"/>
              </w:rPr>
              <w:t xml:space="preserve">s </w:t>
            </w:r>
            <w:r w:rsidR="7DF51CFB" w:rsidRPr="00174414">
              <w:rPr>
                <w:color w:val="auto"/>
                <w:sz w:val="20"/>
              </w:rPr>
              <w:t xml:space="preserve">were able to distinguish </w:t>
            </w:r>
            <w:r w:rsidR="00A12F37" w:rsidRPr="00174414">
              <w:rPr>
                <w:color w:val="auto"/>
                <w:sz w:val="20"/>
              </w:rPr>
              <w:t>Δ</w:t>
            </w:r>
            <w:r w:rsidR="00A12F37" w:rsidRPr="00174414">
              <w:rPr>
                <w:color w:val="auto"/>
                <w:sz w:val="20"/>
                <w:vertAlign w:val="superscript"/>
              </w:rPr>
              <w:t>8</w:t>
            </w:r>
            <w:r w:rsidR="00A12F37" w:rsidRPr="00174414">
              <w:rPr>
                <w:color w:val="auto"/>
                <w:sz w:val="20"/>
              </w:rPr>
              <w:t xml:space="preserve"> -THC </w:t>
            </w:r>
            <w:r w:rsidR="7DF51CFB" w:rsidRPr="00174414">
              <w:rPr>
                <w:color w:val="auto"/>
                <w:sz w:val="20"/>
              </w:rPr>
              <w:t xml:space="preserve">from other analytes. As a consequence, </w:t>
            </w:r>
            <w:r w:rsidR="009B1542" w:rsidRPr="00174414">
              <w:rPr>
                <w:color w:val="auto"/>
                <w:sz w:val="20"/>
              </w:rPr>
              <w:t>data sets for which the reliability could not be ascertained were disregarded</w:t>
            </w:r>
            <w:r w:rsidR="60E0C017" w:rsidRPr="00174414">
              <w:rPr>
                <w:color w:val="auto"/>
                <w:sz w:val="20"/>
              </w:rPr>
              <w:t xml:space="preserve">. </w:t>
            </w:r>
            <w:r w:rsidR="5C9919C7" w:rsidRPr="00174414">
              <w:rPr>
                <w:color w:val="auto"/>
                <w:sz w:val="20"/>
              </w:rPr>
              <w:t xml:space="preserve">Thus, it is </w:t>
            </w:r>
            <w:r w:rsidR="00B462C6" w:rsidRPr="00174414">
              <w:rPr>
                <w:color w:val="auto"/>
                <w:sz w:val="20"/>
              </w:rPr>
              <w:t>concluded</w:t>
            </w:r>
            <w:r w:rsidR="5C9919C7" w:rsidRPr="00174414">
              <w:rPr>
                <w:color w:val="auto"/>
                <w:sz w:val="20"/>
              </w:rPr>
              <w:t xml:space="preserve"> that t</w:t>
            </w:r>
            <w:r w:rsidR="167335F6" w:rsidRPr="00174414">
              <w:rPr>
                <w:color w:val="auto"/>
                <w:sz w:val="20"/>
              </w:rPr>
              <w:t>he</w:t>
            </w:r>
            <w:r w:rsidR="5C9919C7" w:rsidRPr="00174414">
              <w:rPr>
                <w:color w:val="auto"/>
                <w:sz w:val="20"/>
              </w:rPr>
              <w:t xml:space="preserve"> r</w:t>
            </w:r>
            <w:r w:rsidR="32546221" w:rsidRPr="00174414">
              <w:rPr>
                <w:color w:val="auto"/>
                <w:sz w:val="20"/>
              </w:rPr>
              <w:t>e</w:t>
            </w:r>
            <w:r w:rsidR="5C9919C7" w:rsidRPr="00174414">
              <w:rPr>
                <w:color w:val="auto"/>
                <w:sz w:val="20"/>
              </w:rPr>
              <w:t>maining data sets</w:t>
            </w:r>
            <w:r w:rsidR="713DFE42" w:rsidRPr="00174414">
              <w:rPr>
                <w:color w:val="auto"/>
                <w:sz w:val="20"/>
              </w:rPr>
              <w:t xml:space="preserve"> used in the opinion</w:t>
            </w:r>
            <w:r w:rsidR="5C9919C7" w:rsidRPr="00174414">
              <w:rPr>
                <w:color w:val="auto"/>
                <w:sz w:val="20"/>
              </w:rPr>
              <w:t xml:space="preserve"> are valid and can be used to estimate the </w:t>
            </w:r>
            <w:r w:rsidR="00DB4745" w:rsidRPr="00174414">
              <w:rPr>
                <w:color w:val="auto"/>
                <w:sz w:val="20"/>
              </w:rPr>
              <w:t>occurrence</w:t>
            </w:r>
            <w:r w:rsidR="1109F942" w:rsidRPr="00174414">
              <w:rPr>
                <w:color w:val="auto"/>
                <w:sz w:val="20"/>
              </w:rPr>
              <w:t xml:space="preserve">. </w:t>
            </w:r>
            <w:r w:rsidR="00EB3291" w:rsidRPr="00174414">
              <w:rPr>
                <w:color w:val="auto"/>
                <w:sz w:val="20"/>
              </w:rPr>
              <w:t>Please n</w:t>
            </w:r>
            <w:r w:rsidR="00A16218" w:rsidRPr="00174414">
              <w:rPr>
                <w:color w:val="auto"/>
                <w:sz w:val="20"/>
              </w:rPr>
              <w:t xml:space="preserve">ote that exposure </w:t>
            </w:r>
            <w:r w:rsidR="001F65A1" w:rsidRPr="00174414">
              <w:rPr>
                <w:color w:val="auto"/>
                <w:sz w:val="20"/>
              </w:rPr>
              <w:t xml:space="preserve">data </w:t>
            </w:r>
            <w:r w:rsidR="00A16218" w:rsidRPr="00174414">
              <w:rPr>
                <w:color w:val="auto"/>
                <w:sz w:val="20"/>
              </w:rPr>
              <w:t xml:space="preserve">is not </w:t>
            </w:r>
            <w:r w:rsidR="00B0113D" w:rsidRPr="00174414">
              <w:rPr>
                <w:color w:val="auto"/>
                <w:sz w:val="20"/>
              </w:rPr>
              <w:t>provided</w:t>
            </w:r>
            <w:r w:rsidR="00A16218" w:rsidRPr="00174414">
              <w:rPr>
                <w:color w:val="auto"/>
                <w:sz w:val="20"/>
              </w:rPr>
              <w:t xml:space="preserve"> in this opinion.</w:t>
            </w:r>
          </w:p>
        </w:tc>
      </w:tr>
    </w:tbl>
    <w:p w14:paraId="78C64751" w14:textId="46D0D1FE" w:rsidR="00802EA3" w:rsidRPr="00174414" w:rsidRDefault="00B766A3" w:rsidP="00E40161">
      <w:pPr>
        <w:pStyle w:val="BodyText"/>
        <w:rPr>
          <w:rFonts w:ascii="Verdana" w:hAnsi="Verdana"/>
          <w:lang w:eastAsia="en-GB"/>
        </w:rPr>
        <w:sectPr w:rsidR="00802EA3" w:rsidRPr="00174414" w:rsidSect="004D4CF7">
          <w:headerReference w:type="default" r:id="rId18"/>
          <w:footerReference w:type="default" r:id="rId19"/>
          <w:pgSz w:w="16838" w:h="11906" w:orient="landscape" w:code="9"/>
          <w:pgMar w:top="1418" w:right="1701" w:bottom="851" w:left="1418" w:header="907" w:footer="720" w:gutter="0"/>
          <w:cols w:space="720"/>
          <w:docGrid w:linePitch="360"/>
        </w:sectPr>
      </w:pPr>
      <w:r>
        <w:rPr>
          <w:rFonts w:ascii="Verdana" w:hAnsi="Verdana"/>
          <w:lang w:eastAsia="en-GB"/>
        </w:rPr>
        <w:lastRenderedPageBreak/>
        <w:br w:type="textWrapping" w:clear="all"/>
      </w:r>
    </w:p>
    <w:p w14:paraId="566CEE16" w14:textId="77777777" w:rsidR="005A0813" w:rsidRPr="00174414" w:rsidRDefault="005A0813" w:rsidP="00573ECF">
      <w:pPr>
        <w:pStyle w:val="Heading1"/>
        <w:rPr>
          <w:rFonts w:ascii="Verdana" w:hAnsi="Verdana"/>
          <w:color w:val="auto"/>
        </w:rPr>
      </w:pPr>
      <w:bookmarkStart w:id="6" w:name="_Toc190158795"/>
      <w:bookmarkStart w:id="7" w:name="_Toc2121859949"/>
      <w:bookmarkStart w:id="8" w:name="_Toc85141954"/>
      <w:r w:rsidRPr="00174414">
        <w:rPr>
          <w:rFonts w:ascii="Verdana" w:hAnsi="Verdana"/>
          <w:color w:val="auto"/>
        </w:rPr>
        <w:lastRenderedPageBreak/>
        <w:t>Abbreviations</w:t>
      </w:r>
      <w:bookmarkEnd w:id="6"/>
      <w:bookmarkEnd w:id="7"/>
      <w:bookmarkEnd w:id="8"/>
    </w:p>
    <w:tbl>
      <w:tblPr>
        <w:tblW w:w="5136" w:type="pct"/>
        <w:tblLook w:val="04A0" w:firstRow="1" w:lastRow="0" w:firstColumn="1" w:lastColumn="0" w:noHBand="0" w:noVBand="1"/>
      </w:tblPr>
      <w:tblGrid>
        <w:gridCol w:w="1638"/>
        <w:gridCol w:w="9487"/>
      </w:tblGrid>
      <w:tr w:rsidR="00174414" w:rsidRPr="00174414" w14:paraId="760B8B07" w14:textId="77777777">
        <w:trPr>
          <w:trHeight w:val="460"/>
        </w:trPr>
        <w:tc>
          <w:tcPr>
            <w:tcW w:w="736" w:type="pct"/>
            <w:vAlign w:val="center"/>
          </w:tcPr>
          <w:p w14:paraId="2BF69876" w14:textId="77777777" w:rsidR="005A0813" w:rsidRPr="00174414" w:rsidRDefault="005A0813" w:rsidP="007C7B2D">
            <w:pPr>
              <w:pStyle w:val="EFSABodytext"/>
              <w:rPr>
                <w:color w:val="auto"/>
                <w:lang w:val="it-IT"/>
              </w:rPr>
            </w:pPr>
            <w:r w:rsidRPr="00174414">
              <w:rPr>
                <w:color w:val="auto"/>
              </w:rPr>
              <w:t>BFR</w:t>
            </w:r>
          </w:p>
        </w:tc>
        <w:tc>
          <w:tcPr>
            <w:tcW w:w="4264" w:type="pct"/>
            <w:vAlign w:val="center"/>
          </w:tcPr>
          <w:p w14:paraId="2E43B1DF" w14:textId="77777777" w:rsidR="005A0813" w:rsidRPr="00174414" w:rsidRDefault="005A0813" w:rsidP="007C7B2D">
            <w:pPr>
              <w:pStyle w:val="EFSABodytext"/>
              <w:rPr>
                <w:color w:val="auto"/>
                <w:lang w:val="it-IT"/>
              </w:rPr>
            </w:pPr>
            <w:proofErr w:type="spellStart"/>
            <w:r w:rsidRPr="00174414">
              <w:rPr>
                <w:color w:val="auto"/>
              </w:rPr>
              <w:t>Bundesinstitut</w:t>
            </w:r>
            <w:proofErr w:type="spellEnd"/>
            <w:r w:rsidRPr="00174414">
              <w:rPr>
                <w:color w:val="auto"/>
              </w:rPr>
              <w:t xml:space="preserve"> für </w:t>
            </w:r>
            <w:proofErr w:type="spellStart"/>
            <w:r w:rsidRPr="00174414">
              <w:rPr>
                <w:color w:val="auto"/>
              </w:rPr>
              <w:t>Risikobewertung</w:t>
            </w:r>
            <w:proofErr w:type="spellEnd"/>
          </w:p>
        </w:tc>
      </w:tr>
      <w:tr w:rsidR="00174414" w:rsidRPr="00174414" w14:paraId="70E9C246" w14:textId="77777777">
        <w:trPr>
          <w:trHeight w:val="460"/>
        </w:trPr>
        <w:tc>
          <w:tcPr>
            <w:tcW w:w="736" w:type="pct"/>
            <w:vAlign w:val="center"/>
          </w:tcPr>
          <w:p w14:paraId="33E195A3" w14:textId="77777777" w:rsidR="005A0813" w:rsidRPr="00174414" w:rsidRDefault="005A0813" w:rsidP="007C7B2D">
            <w:pPr>
              <w:pStyle w:val="EFSABodytext"/>
              <w:rPr>
                <w:color w:val="auto"/>
              </w:rPr>
            </w:pPr>
            <w:r w:rsidRPr="00174414">
              <w:rPr>
                <w:color w:val="auto"/>
              </w:rPr>
              <w:t>EFSA</w:t>
            </w:r>
          </w:p>
        </w:tc>
        <w:tc>
          <w:tcPr>
            <w:tcW w:w="4264" w:type="pct"/>
            <w:vAlign w:val="center"/>
          </w:tcPr>
          <w:p w14:paraId="70365F0F" w14:textId="77777777" w:rsidR="005A0813" w:rsidRPr="00174414" w:rsidRDefault="005A0813" w:rsidP="007C7B2D">
            <w:pPr>
              <w:pStyle w:val="EFSABodytext"/>
              <w:rPr>
                <w:color w:val="auto"/>
              </w:rPr>
            </w:pPr>
            <w:r w:rsidRPr="00174414">
              <w:rPr>
                <w:color w:val="auto"/>
              </w:rPr>
              <w:t>European Food Safety Authority</w:t>
            </w:r>
          </w:p>
        </w:tc>
      </w:tr>
      <w:tr w:rsidR="00174414" w:rsidRPr="00174414" w14:paraId="3A87A380" w14:textId="77777777">
        <w:trPr>
          <w:trHeight w:val="460"/>
        </w:trPr>
        <w:tc>
          <w:tcPr>
            <w:tcW w:w="736" w:type="pct"/>
            <w:vAlign w:val="center"/>
          </w:tcPr>
          <w:p w14:paraId="52CEF323" w14:textId="77777777" w:rsidR="005A0813" w:rsidRPr="00174414" w:rsidRDefault="005A0813" w:rsidP="007C7B2D">
            <w:pPr>
              <w:pStyle w:val="EFSABodytext"/>
              <w:rPr>
                <w:color w:val="auto"/>
              </w:rPr>
            </w:pPr>
            <w:r w:rsidRPr="00174414">
              <w:rPr>
                <w:color w:val="auto"/>
              </w:rPr>
              <w:t>FEEDCO</w:t>
            </w:r>
          </w:p>
        </w:tc>
        <w:tc>
          <w:tcPr>
            <w:tcW w:w="4264" w:type="pct"/>
            <w:vAlign w:val="center"/>
          </w:tcPr>
          <w:p w14:paraId="68525B5B" w14:textId="77777777" w:rsidR="005A0813" w:rsidRPr="00174414" w:rsidRDefault="005A0813" w:rsidP="007C7B2D">
            <w:pPr>
              <w:pStyle w:val="EFSABodytext"/>
              <w:rPr>
                <w:color w:val="auto"/>
              </w:rPr>
            </w:pPr>
            <w:r w:rsidRPr="00174414">
              <w:rPr>
                <w:color w:val="auto"/>
              </w:rPr>
              <w:t>Feed and Contaminants Unit</w:t>
            </w:r>
          </w:p>
        </w:tc>
      </w:tr>
      <w:tr w:rsidR="00174414" w:rsidRPr="00174414" w14:paraId="059756F8" w14:textId="77777777">
        <w:trPr>
          <w:trHeight w:val="460"/>
        </w:trPr>
        <w:tc>
          <w:tcPr>
            <w:tcW w:w="736" w:type="pct"/>
            <w:vAlign w:val="center"/>
          </w:tcPr>
          <w:p w14:paraId="00983F7E" w14:textId="77777777" w:rsidR="005A0813" w:rsidRPr="00174414" w:rsidRDefault="005A0813" w:rsidP="007C7B2D">
            <w:pPr>
              <w:pStyle w:val="EFSABodytext"/>
              <w:rPr>
                <w:color w:val="auto"/>
              </w:rPr>
            </w:pPr>
            <w:r w:rsidRPr="00174414">
              <w:rPr>
                <w:color w:val="auto"/>
              </w:rPr>
              <w:t>UK</w:t>
            </w:r>
          </w:p>
        </w:tc>
        <w:tc>
          <w:tcPr>
            <w:tcW w:w="4264" w:type="pct"/>
            <w:vAlign w:val="center"/>
          </w:tcPr>
          <w:p w14:paraId="6BC87E04" w14:textId="77777777" w:rsidR="005A0813" w:rsidRPr="00174414" w:rsidRDefault="005A0813" w:rsidP="007C7B2D">
            <w:pPr>
              <w:pStyle w:val="EFSABodytext"/>
              <w:rPr>
                <w:color w:val="auto"/>
              </w:rPr>
            </w:pPr>
            <w:r w:rsidRPr="00174414">
              <w:rPr>
                <w:color w:val="auto"/>
              </w:rPr>
              <w:t>United Kingdom</w:t>
            </w:r>
          </w:p>
        </w:tc>
      </w:tr>
      <w:tr w:rsidR="005A0813" w:rsidRPr="00174414" w14:paraId="32631F6A" w14:textId="77777777">
        <w:trPr>
          <w:trHeight w:val="471"/>
        </w:trPr>
        <w:tc>
          <w:tcPr>
            <w:tcW w:w="736" w:type="pct"/>
            <w:vAlign w:val="center"/>
          </w:tcPr>
          <w:p w14:paraId="19F01C52" w14:textId="77777777" w:rsidR="005A0813" w:rsidRPr="00174414" w:rsidRDefault="005A0813" w:rsidP="007C7B2D">
            <w:pPr>
              <w:pStyle w:val="EFSABodytext"/>
              <w:rPr>
                <w:color w:val="auto"/>
              </w:rPr>
            </w:pPr>
            <w:r w:rsidRPr="00174414">
              <w:rPr>
                <w:color w:val="auto"/>
              </w:rPr>
              <w:t>WG</w:t>
            </w:r>
          </w:p>
        </w:tc>
        <w:tc>
          <w:tcPr>
            <w:tcW w:w="4264" w:type="pct"/>
            <w:vAlign w:val="center"/>
          </w:tcPr>
          <w:p w14:paraId="2B7B406B" w14:textId="77777777" w:rsidR="005A0813" w:rsidRPr="00174414" w:rsidRDefault="005A0813" w:rsidP="007C7B2D">
            <w:pPr>
              <w:pStyle w:val="EFSABodytext"/>
              <w:rPr>
                <w:color w:val="auto"/>
              </w:rPr>
            </w:pPr>
            <w:r w:rsidRPr="00174414">
              <w:rPr>
                <w:color w:val="auto"/>
              </w:rPr>
              <w:t>Working Group</w:t>
            </w:r>
          </w:p>
        </w:tc>
      </w:tr>
    </w:tbl>
    <w:p w14:paraId="6E09290B" w14:textId="72BC9264" w:rsidR="00CE77CD" w:rsidRPr="00174414" w:rsidRDefault="00697A8A" w:rsidP="00A81DE7">
      <w:pPr>
        <w:pStyle w:val="Heading1"/>
        <w:rPr>
          <w:rFonts w:ascii="Verdana" w:hAnsi="Verdana"/>
          <w:color w:val="auto"/>
        </w:rPr>
      </w:pPr>
      <w:bookmarkStart w:id="9" w:name="_Toc1497982452"/>
      <w:r w:rsidRPr="00174414">
        <w:rPr>
          <w:rFonts w:ascii="Verdana" w:hAnsi="Verdana"/>
          <w:color w:val="auto"/>
        </w:rPr>
        <w:t>R</w:t>
      </w:r>
      <w:r w:rsidR="00BF557A" w:rsidRPr="00174414">
        <w:rPr>
          <w:rFonts w:ascii="Verdana" w:hAnsi="Verdana"/>
          <w:color w:val="auto"/>
        </w:rPr>
        <w:t>eferences</w:t>
      </w:r>
      <w:bookmarkEnd w:id="9"/>
    </w:p>
    <w:p w14:paraId="4C08D9FA" w14:textId="77777777" w:rsidR="00ED449F" w:rsidRDefault="00ED449F" w:rsidP="00ED449F">
      <w:pPr>
        <w:spacing w:after="160"/>
      </w:pPr>
    </w:p>
    <w:p w14:paraId="0A9F333A" w14:textId="77777777" w:rsidR="00ED449F" w:rsidRPr="00174414" w:rsidRDefault="00ED449F" w:rsidP="007D68C9">
      <w:pPr>
        <w:spacing w:after="160"/>
        <w:ind w:left="567" w:hanging="567"/>
      </w:pPr>
      <w:r w:rsidRPr="00174414">
        <w:t>Advisory Committee on Novel Foods and Processes (ACNFP) and Committee on Toxicity (COT), 2025. Joint position paper from the (ACNFP) &amp; (COT) on establishing a Safe Upper Limit for delta-9-tetrahydrocannabinol (Δ9-THC) and its precursor as contaminants of hemp-derived products including CBD novel foods [Statement].</w:t>
      </w:r>
      <w:hyperlink r:id="rId20" w:history="1">
        <w:r w:rsidRPr="00174414">
          <w:rPr>
            <w:rStyle w:val="Hyperlink"/>
            <w:color w:val="auto"/>
          </w:rPr>
          <w:t>https://acnfp.food.gov.uk/print/pdf/node/14941</w:t>
        </w:r>
      </w:hyperlink>
      <w:r w:rsidRPr="00174414">
        <w:t xml:space="preserve"> </w:t>
      </w:r>
    </w:p>
    <w:p w14:paraId="187CDEA9" w14:textId="77777777" w:rsidR="00ED449F" w:rsidRPr="00174414" w:rsidRDefault="00ED449F" w:rsidP="007D68C9">
      <w:pPr>
        <w:spacing w:after="160"/>
        <w:ind w:left="567" w:hanging="567"/>
      </w:pPr>
      <w:r w:rsidRPr="00174414">
        <w:t xml:space="preserve">Antigen-Presenting Cells and the Cannabinoid Receptors 1 and 2. Toxicological Sciences, 131(2), 419–433. </w:t>
      </w:r>
      <w:proofErr w:type="spellStart"/>
      <w:r w:rsidRPr="00174414">
        <w:t>doi</w:t>
      </w:r>
      <w:proofErr w:type="spellEnd"/>
      <w:r w:rsidRPr="00174414">
        <w:t>: 10.1093/</w:t>
      </w:r>
      <w:proofErr w:type="spellStart"/>
      <w:r w:rsidRPr="00174414">
        <w:t>toxsci</w:t>
      </w:r>
      <w:proofErr w:type="spellEnd"/>
      <w:r w:rsidRPr="00174414">
        <w:t>/kfs315</w:t>
      </w:r>
    </w:p>
    <w:p w14:paraId="0976C1C7" w14:textId="77777777" w:rsidR="00ED449F" w:rsidRPr="00174414" w:rsidRDefault="00ED449F" w:rsidP="007D68C9">
      <w:pPr>
        <w:spacing w:after="160"/>
        <w:ind w:left="567" w:hanging="567"/>
      </w:pPr>
      <w:r w:rsidRPr="00174414">
        <w:t xml:space="preserve">EFSA CONTAM Panel (EFSA Panel on Contaminants in the Food Chain), 2015. Scientific Opinion on the risks for human health related to the presence of tetrahydrocannabinol (THC) in milk and other food of animal origin. EFSA Journal 2015;13(6):4141, 125 pp. </w:t>
      </w:r>
      <w:proofErr w:type="spellStart"/>
      <w:r w:rsidRPr="00174414">
        <w:t>doi</w:t>
      </w:r>
      <w:proofErr w:type="spellEnd"/>
      <w:r w:rsidRPr="00174414">
        <w:t>: 10.2903/j.efsa.2015.4141</w:t>
      </w:r>
    </w:p>
    <w:p w14:paraId="2BF4B49A" w14:textId="77777777" w:rsidR="00ED449F" w:rsidRPr="00174414" w:rsidRDefault="00ED449F" w:rsidP="007D68C9">
      <w:pPr>
        <w:spacing w:after="160"/>
        <w:ind w:left="567" w:hanging="567"/>
      </w:pPr>
      <w:r w:rsidRPr="00174414">
        <w:t xml:space="preserve">EFSA NDA Panel (EFSA Panel on Nutrition, Novel Foods and Food Allergens), 2022. Statement on safety of cannabidiol as a novel food: data gaps and uncertainties. EFSA Journal 2022; 20(6):7322, 25 pp. </w:t>
      </w:r>
      <w:proofErr w:type="spellStart"/>
      <w:r w:rsidRPr="00174414">
        <w:t>doi</w:t>
      </w:r>
      <w:proofErr w:type="spellEnd"/>
      <w:r w:rsidRPr="00174414">
        <w:t>: 10.2903/j.efsa.2022.7322</w:t>
      </w:r>
    </w:p>
    <w:p w14:paraId="65C15275" w14:textId="77777777" w:rsidR="00ED449F" w:rsidRPr="00174414" w:rsidRDefault="00ED449F" w:rsidP="007D68C9">
      <w:pPr>
        <w:spacing w:after="160"/>
        <w:ind w:left="567" w:hanging="567"/>
      </w:pPr>
      <w:r w:rsidRPr="00174414">
        <w:t xml:space="preserve">EFSA NDA Panel (EFSA Panel on Nutrition, Novel Foods and Food Allergens, 2025. Safety of synthetic cannabidiol as a novel food pursuant to Regulation (EU) 2015/2283. EFSA Journal, 23(7), e9527. </w:t>
      </w:r>
      <w:proofErr w:type="spellStart"/>
      <w:r w:rsidRPr="00174414">
        <w:t>doi</w:t>
      </w:r>
      <w:proofErr w:type="spellEnd"/>
      <w:r w:rsidRPr="00174414">
        <w:t>: 10.2903/j.efsa.2025.9527</w:t>
      </w:r>
    </w:p>
    <w:p w14:paraId="44853C87" w14:textId="77777777" w:rsidR="00ED449F" w:rsidRDefault="00ED449F" w:rsidP="007D68C9">
      <w:pPr>
        <w:spacing w:after="160"/>
        <w:ind w:left="567" w:hanging="567"/>
      </w:pPr>
      <w:proofErr w:type="spellStart"/>
      <w:r w:rsidRPr="00174414">
        <w:t>Karmaus</w:t>
      </w:r>
      <w:proofErr w:type="spellEnd"/>
      <w:r w:rsidRPr="00174414">
        <w:t xml:space="preserve"> PWF, Chen W, Crawford R, Kaplan BLF and Kaminski NE, 2013. Δ9-Tetrahydrocannabinol Impairs the Inflammatory Response to Influenza Infection: Role of </w:t>
      </w:r>
    </w:p>
    <w:p w14:paraId="466FE1B5" w14:textId="77777777" w:rsidR="00ED449F" w:rsidRPr="00174414" w:rsidRDefault="00ED449F" w:rsidP="007D68C9">
      <w:pPr>
        <w:spacing w:after="160"/>
        <w:ind w:left="567" w:hanging="567"/>
      </w:pPr>
      <w:r w:rsidRPr="00174414">
        <w:t xml:space="preserve">Regulation (EU) 2015/2283 of the European Parliament and of the Council of 25 November 2015 on novel foods, amending Regulation (EU) No 1169/2011 of the European Parliament and of </w:t>
      </w:r>
      <w:r w:rsidRPr="00174414">
        <w:lastRenderedPageBreak/>
        <w:t>the Council and repealing Regulation (EC) No 258/97 of the European Parliament and of the Council and Commission Regulation (EC) No 1852/2001. OJ L 327, 11.12.2015, pp. 1–22</w:t>
      </w:r>
    </w:p>
    <w:p w14:paraId="4D32AE5A" w14:textId="77777777" w:rsidR="00ED449F" w:rsidRPr="00174414" w:rsidRDefault="00ED449F" w:rsidP="007D68C9">
      <w:pPr>
        <w:spacing w:after="160"/>
        <w:ind w:left="567" w:hanging="567"/>
      </w:pPr>
      <w:r w:rsidRPr="00174414">
        <w:t xml:space="preserve">Rt Hon Chris Philp MP (Minister of State for Crime, Policing and Fire), 2023. The Government’s response to the ACMD’s advice on Consumer Cannabidiol (CBD) products. Government of the United Kingdom. Available online: </w:t>
      </w:r>
      <w:hyperlink r:id="rId21" w:history="1">
        <w:r w:rsidRPr="00174414">
          <w:rPr>
            <w:rStyle w:val="Hyperlink"/>
            <w:color w:val="auto"/>
          </w:rPr>
          <w:t>https://www.gov.uk/government/publications/acmd-advice-on-consumer-cannabidiol-cbd-products/government-response-to-the-acmds-advice-on-consumer-cbd-products-accessible-version</w:t>
        </w:r>
      </w:hyperlink>
      <w:r w:rsidRPr="00174414">
        <w:t xml:space="preserve"> </w:t>
      </w:r>
    </w:p>
    <w:p w14:paraId="2C57851E" w14:textId="77777777" w:rsidR="00ED449F" w:rsidRPr="00174414" w:rsidRDefault="00ED449F" w:rsidP="007D68C9">
      <w:pPr>
        <w:spacing w:after="160"/>
        <w:ind w:left="567" w:hanging="567"/>
      </w:pPr>
      <w:r w:rsidRPr="00174414">
        <w:t xml:space="preserve">Wagner B, </w:t>
      </w:r>
      <w:proofErr w:type="spellStart"/>
      <w:r w:rsidRPr="00174414">
        <w:t>Gerletti</w:t>
      </w:r>
      <w:proofErr w:type="spellEnd"/>
      <w:r w:rsidRPr="00174414">
        <w:t xml:space="preserve"> P, Fürst P, </w:t>
      </w:r>
      <w:proofErr w:type="spellStart"/>
      <w:r w:rsidRPr="00174414">
        <w:t>Keuth</w:t>
      </w:r>
      <w:proofErr w:type="spellEnd"/>
      <w:r w:rsidRPr="00174414">
        <w:t xml:space="preserve"> O, </w:t>
      </w:r>
      <w:proofErr w:type="spellStart"/>
      <w:r w:rsidRPr="00174414">
        <w:t>Bernsmann</w:t>
      </w:r>
      <w:proofErr w:type="spellEnd"/>
      <w:r w:rsidRPr="00174414">
        <w:t xml:space="preserve"> T, Martin A, Schäfer B, Numata J, Lorenzen MC and Pieper R, 2022. Transfer of cannabinoids into the milk of dairy cows fed with industrial hemp could lead to Δ9-THC exposure that exceeds acute reference dose. Nature Food, 3, 921–932. </w:t>
      </w:r>
      <w:proofErr w:type="spellStart"/>
      <w:r w:rsidRPr="00174414">
        <w:t>doi</w:t>
      </w:r>
      <w:proofErr w:type="spellEnd"/>
      <w:r w:rsidRPr="00174414">
        <w:t>: 10.1038/s43016-022-00623-7</w:t>
      </w:r>
    </w:p>
    <w:p w14:paraId="349AA23F" w14:textId="77777777" w:rsidR="00ED449F" w:rsidRPr="0066754B" w:rsidRDefault="00ED449F" w:rsidP="00244DE2">
      <w:pPr>
        <w:spacing w:after="160"/>
        <w:ind w:left="567" w:hanging="567"/>
        <w:jc w:val="both"/>
        <w:rPr>
          <w:rFonts w:asciiTheme="majorHAnsi" w:eastAsia="Times New Roman" w:hAnsiTheme="majorHAnsi" w:cs="Tahoma"/>
          <w:lang w:eastAsia="fr-FR"/>
        </w:rPr>
      </w:pPr>
      <w:r w:rsidRPr="0066754B">
        <w:rPr>
          <w:rFonts w:asciiTheme="majorHAnsi" w:eastAsia="Times New Roman" w:hAnsiTheme="majorHAnsi" w:cs="Tahoma"/>
          <w:lang w:eastAsia="fr-FR"/>
        </w:rPr>
        <w:t xml:space="preserve">Zamarripa CA, Spindle TR, Schriefer D, Cone EJ, </w:t>
      </w:r>
      <w:proofErr w:type="spellStart"/>
      <w:r w:rsidRPr="0066754B">
        <w:rPr>
          <w:rFonts w:asciiTheme="majorHAnsi" w:eastAsia="Times New Roman" w:hAnsiTheme="majorHAnsi" w:cs="Tahoma"/>
          <w:lang w:eastAsia="fr-FR"/>
        </w:rPr>
        <w:t>Winecker</w:t>
      </w:r>
      <w:proofErr w:type="spellEnd"/>
      <w:r w:rsidRPr="0066754B">
        <w:rPr>
          <w:rFonts w:asciiTheme="majorHAnsi" w:eastAsia="Times New Roman" w:hAnsiTheme="majorHAnsi" w:cs="Tahoma"/>
          <w:lang w:eastAsia="fr-FR"/>
        </w:rPr>
        <w:t xml:space="preserve"> RE, Flegel R, Hayes E, Davis LS, Kuntz D and Vandrey R, 2025. A within-subject cross-over trial comparing the acute effects of oral delta-8-tetrahydrocannabinol and delta-9-tetrahydrocannabinol in healthy adults. Drug and Alcohol Dependence, 272, 112676. </w:t>
      </w:r>
      <w:proofErr w:type="spellStart"/>
      <w:r w:rsidRPr="0066754B">
        <w:rPr>
          <w:rFonts w:asciiTheme="majorHAnsi" w:eastAsia="Times New Roman" w:hAnsiTheme="majorHAnsi" w:cs="Tahoma"/>
          <w:lang w:eastAsia="fr-FR"/>
        </w:rPr>
        <w:t>doi</w:t>
      </w:r>
      <w:proofErr w:type="spellEnd"/>
      <w:r w:rsidRPr="0066754B">
        <w:rPr>
          <w:rFonts w:asciiTheme="majorHAnsi" w:eastAsia="Times New Roman" w:hAnsiTheme="majorHAnsi" w:cs="Tahoma"/>
          <w:lang w:eastAsia="fr-FR"/>
        </w:rPr>
        <w:t>: 10.1016/j.drugalcdep.2025.112676</w:t>
      </w:r>
    </w:p>
    <w:p w14:paraId="76A5F5BF" w14:textId="77777777" w:rsidR="002D2D8D" w:rsidRPr="00174414" w:rsidRDefault="002D2D8D" w:rsidP="007D68C9">
      <w:pPr>
        <w:spacing w:after="160"/>
        <w:ind w:left="567" w:hanging="567"/>
      </w:pPr>
    </w:p>
    <w:p w14:paraId="4DC665A1" w14:textId="77777777" w:rsidR="002A413C" w:rsidRPr="002A413C" w:rsidRDefault="002A413C" w:rsidP="002A413C"/>
    <w:p w14:paraId="75AEFC54" w14:textId="77777777" w:rsidR="002A413C" w:rsidRPr="002A413C" w:rsidRDefault="002A413C" w:rsidP="002A413C">
      <w:pPr>
        <w:jc w:val="center"/>
      </w:pPr>
    </w:p>
    <w:sectPr w:rsidR="002A413C" w:rsidRPr="002A413C" w:rsidSect="00371788">
      <w:headerReference w:type="default" r:id="rId22"/>
      <w:footerReference w:type="default" r:id="rId23"/>
      <w:pgSz w:w="11910" w:h="15880"/>
      <w:pgMar w:top="1080" w:right="540" w:bottom="280" w:left="540" w:header="737"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ED5B11" w14:textId="77777777" w:rsidR="00280253" w:rsidRDefault="00280253" w:rsidP="00C32F08">
      <w:pPr>
        <w:spacing w:after="0" w:line="240" w:lineRule="auto"/>
      </w:pPr>
      <w:r>
        <w:separator/>
      </w:r>
    </w:p>
  </w:endnote>
  <w:endnote w:type="continuationSeparator" w:id="0">
    <w:p w14:paraId="535B02E3" w14:textId="77777777" w:rsidR="00280253" w:rsidRDefault="00280253" w:rsidP="00C32F08">
      <w:pPr>
        <w:spacing w:after="0" w:line="240" w:lineRule="auto"/>
      </w:pPr>
      <w:r>
        <w:continuationSeparator/>
      </w:r>
    </w:p>
  </w:endnote>
  <w:endnote w:type="continuationNotice" w:id="1">
    <w:p w14:paraId="106680FF" w14:textId="77777777" w:rsidR="00280253" w:rsidRDefault="0028025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Corps CS)">
    <w:altName w:val="Arial"/>
    <w:charset w:val="00"/>
    <w:family w:val="roman"/>
    <w:pitch w:val="default"/>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 w:name="Arial MT">
    <w:altName w:val="Aria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99251761"/>
      <w:docPartObj>
        <w:docPartGallery w:val="Page Numbers (Bottom of Page)"/>
        <w:docPartUnique/>
      </w:docPartObj>
    </w:sdtPr>
    <w:sdtEndPr>
      <w:rPr>
        <w:rStyle w:val="PageNumber"/>
      </w:rPr>
    </w:sdtEndPr>
    <w:sdtContent>
      <w:p w14:paraId="125AB445" w14:textId="77777777" w:rsidR="00BE3035" w:rsidRDefault="00BE303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668513382"/>
      <w:docPartObj>
        <w:docPartGallery w:val="Page Numbers (Bottom of Page)"/>
        <w:docPartUnique/>
      </w:docPartObj>
    </w:sdtPr>
    <w:sdtEndPr>
      <w:rPr>
        <w:rStyle w:val="PageNumber"/>
      </w:rPr>
    </w:sdtEndPr>
    <w:sdtContent>
      <w:p w14:paraId="3CC27044" w14:textId="77777777" w:rsidR="003D315E" w:rsidRDefault="003D315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59B932" w14:textId="77777777" w:rsidR="003D315E" w:rsidRDefault="003D315E" w:rsidP="003D315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E4310" w14:textId="2BFAB18C" w:rsidR="003D315E" w:rsidRPr="00602205" w:rsidRDefault="00BE3035" w:rsidP="3FD05D7C">
    <w:pPr>
      <w:pStyle w:val="EFSAFooter"/>
      <w:rPr>
        <w:rStyle w:val="PageNumber"/>
        <w:color w:val="455E6F" w:themeColor="text2"/>
      </w:rPr>
    </w:pPr>
    <w:r w:rsidRPr="00AF7901">
      <w:rPr>
        <w:noProof/>
      </w:rPr>
      <w:drawing>
        <wp:anchor distT="0" distB="0" distL="114300" distR="114300" simplePos="0" relativeHeight="251683840" behindDoc="1" locked="0" layoutInCell="1" allowOverlap="1" wp14:anchorId="54714CD3" wp14:editId="7F6B0A3C">
          <wp:simplePos x="0" y="0"/>
          <wp:positionH relativeFrom="margin">
            <wp:posOffset>2816694</wp:posOffset>
          </wp:positionH>
          <wp:positionV relativeFrom="paragraph">
            <wp:posOffset>-12645</wp:posOffset>
          </wp:positionV>
          <wp:extent cx="533400" cy="266700"/>
          <wp:effectExtent l="0" t="0" r="0" b="0"/>
          <wp:wrapNone/>
          <wp:docPr id="528003792"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screen">
                    <a:alphaModFix amt="70000"/>
                    <a:extLst>
                      <a:ext uri="{28A0092B-C50C-407E-A947-70E740481C1C}">
                        <a14:useLocalDpi xmlns:a14="http://schemas.microsoft.com/office/drawing/2010/main"/>
                      </a:ext>
                    </a:extLst>
                  </a:blip>
                  <a:stretch>
                    <a:fillRect/>
                  </a:stretch>
                </pic:blipFill>
                <pic:spPr>
                  <a:xfrm>
                    <a:off x="0" y="0"/>
                    <a:ext cx="533400" cy="266700"/>
                  </a:xfrm>
                  <a:prstGeom prst="rect">
                    <a:avLst/>
                  </a:prstGeom>
                </pic:spPr>
              </pic:pic>
            </a:graphicData>
          </a:graphic>
          <wp14:sizeRelH relativeFrom="page">
            <wp14:pctWidth>0</wp14:pctWidth>
          </wp14:sizeRelH>
          <wp14:sizeRelV relativeFrom="page">
            <wp14:pctHeight>0</wp14:pctHeight>
          </wp14:sizeRelV>
        </wp:anchor>
      </w:drawing>
    </w:r>
  </w:p>
  <w:p w14:paraId="2CDDD4AB" w14:textId="56523CFE" w:rsidR="003D315E" w:rsidRPr="00602205" w:rsidRDefault="00920C8D" w:rsidP="00735873">
    <w:pPr>
      <w:pStyle w:val="EFSAFooter"/>
      <w:rPr>
        <w:highlight w:val="yellow"/>
      </w:rPr>
    </w:pPr>
    <w:hyperlink r:id="rId2" w:history="1">
      <w:r w:rsidRPr="00FA0800">
        <w:rPr>
          <w:rStyle w:val="Hyperlink"/>
        </w:rPr>
        <w:t>www.efsa.europa.eu</w:t>
      </w:r>
    </w:hyperlink>
    <w:r w:rsidR="00735873">
      <w:t xml:space="preserve">                                                                  </w:t>
    </w:r>
    <w:r w:rsidR="00B10807">
      <w:t xml:space="preserve"> </w:t>
    </w:r>
    <w:r w:rsidR="008338CB">
      <w:t xml:space="preserve"> </w:t>
    </w:r>
    <w:r w:rsidR="006D7180">
      <w:fldChar w:fldCharType="begin"/>
    </w:r>
    <w:r w:rsidR="006D7180">
      <w:instrText xml:space="preserve"> PAGE   \* MERGEFORMAT </w:instrText>
    </w:r>
    <w:r w:rsidR="006D7180">
      <w:fldChar w:fldCharType="separate"/>
    </w:r>
    <w:r w:rsidR="006D7180">
      <w:rPr>
        <w:noProof/>
      </w:rPr>
      <w:t>1</w:t>
    </w:r>
    <w:r w:rsidR="006D7180">
      <w:rPr>
        <w:noProof/>
      </w:rPr>
      <w:fldChar w:fldCharType="end"/>
    </w:r>
    <w:r w:rsidR="00735873">
      <w:t xml:space="preserve">                                  </w:t>
    </w:r>
    <w:r w:rsidR="00B10807">
      <w:t xml:space="preserve"> </w:t>
    </w:r>
    <w:r w:rsidR="00602205" w:rsidRPr="00602205">
      <w:t>Outcome of Public Consultation</w:t>
    </w:r>
    <w:r>
      <w:t xml:space="preserve"> </w:t>
    </w:r>
    <w:r w:rsidRPr="00920C8D">
      <w:t>2025:9735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33732" w14:textId="708A1F48" w:rsidR="005A2143" w:rsidRDefault="00A27222" w:rsidP="00BB7DC6">
    <w:pPr>
      <w:pStyle w:val="EFSAFooter"/>
    </w:pPr>
    <w:r w:rsidRPr="00AF7901">
      <w:rPr>
        <w:noProof/>
      </w:rPr>
      <w:drawing>
        <wp:anchor distT="0" distB="0" distL="114300" distR="114300" simplePos="0" relativeHeight="251746304" behindDoc="1" locked="0" layoutInCell="1" allowOverlap="1" wp14:anchorId="39CD3689" wp14:editId="669201DF">
          <wp:simplePos x="0" y="0"/>
          <wp:positionH relativeFrom="margin">
            <wp:posOffset>2478129</wp:posOffset>
          </wp:positionH>
          <wp:positionV relativeFrom="paragraph">
            <wp:posOffset>-92075</wp:posOffset>
          </wp:positionV>
          <wp:extent cx="565204" cy="282602"/>
          <wp:effectExtent l="0" t="0" r="6350" b="3175"/>
          <wp:wrapNone/>
          <wp:docPr id="82982393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screen">
                    <a:alphaModFix amt="70000"/>
                    <a:extLst>
                      <a:ext uri="{28A0092B-C50C-407E-A947-70E740481C1C}">
                        <a14:useLocalDpi xmlns:a14="http://schemas.microsoft.com/office/drawing/2010/main"/>
                      </a:ext>
                    </a:extLst>
                  </a:blip>
                  <a:stretch>
                    <a:fillRect/>
                  </a:stretch>
                </pic:blipFill>
                <pic:spPr>
                  <a:xfrm>
                    <a:off x="0" y="0"/>
                    <a:ext cx="565204" cy="282602"/>
                  </a:xfrm>
                  <a:prstGeom prst="rect">
                    <a:avLst/>
                  </a:prstGeom>
                </pic:spPr>
              </pic:pic>
            </a:graphicData>
          </a:graphic>
          <wp14:sizeRelH relativeFrom="page">
            <wp14:pctWidth>0</wp14:pctWidth>
          </wp14:sizeRelH>
          <wp14:sizeRelV relativeFrom="page">
            <wp14:pctHeight>0</wp14:pctHeight>
          </wp14:sizeRelV>
        </wp:anchor>
      </w:drawing>
    </w:r>
    <w:r w:rsidR="0000143D">
      <w:t xml:space="preserve">  </w:t>
    </w:r>
    <w:r w:rsidR="00AF7901" w:rsidRPr="00AF7901">
      <w:t>www.efsa.europa.eu</w:t>
    </w:r>
    <w:r w:rsidR="00AF7901">
      <w:rPr>
        <w:sz w:val="16"/>
      </w:rPr>
      <w:tab/>
    </w:r>
    <w:r w:rsidR="00B7726E">
      <w:rPr>
        <w:sz w:val="16"/>
      </w:rPr>
      <w:t xml:space="preserve"> </w:t>
    </w:r>
    <w:r w:rsidR="00000C16">
      <w:rPr>
        <w:sz w:val="16"/>
      </w:rPr>
      <w:t xml:space="preserve">1                                  </w:t>
    </w:r>
    <w:r w:rsidR="006023F4">
      <w:t>Outcome of Public Consultation</w:t>
    </w:r>
    <w:r w:rsidR="00AF7901" w:rsidRPr="00AF7901">
      <w:t xml:space="preserve"> </w:t>
    </w:r>
    <w:bookmarkStart w:id="0" w:name="_Hlk213138133"/>
    <w:r w:rsidR="00AF7901" w:rsidRPr="004B2066">
      <w:t>20</w:t>
    </w:r>
    <w:r w:rsidR="004B2066" w:rsidRPr="004B2066">
      <w:t>25</w:t>
    </w:r>
    <w:r w:rsidR="005551BE" w:rsidRPr="004B2066">
      <w:t>:</w:t>
    </w:r>
    <w:r w:rsidR="004B2066" w:rsidRPr="004B2066">
      <w:t>9735</w:t>
    </w:r>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E5D1C" w14:textId="77777777" w:rsidR="00510C4B" w:rsidRPr="00602205" w:rsidRDefault="00510C4B" w:rsidP="3FD05D7C">
    <w:pPr>
      <w:pStyle w:val="EFSAFooter"/>
      <w:rPr>
        <w:rStyle w:val="PageNumber"/>
        <w:color w:val="455E6F" w:themeColor="text2"/>
      </w:rPr>
    </w:pPr>
    <w:r w:rsidRPr="00AF7901">
      <w:rPr>
        <w:noProof/>
      </w:rPr>
      <w:drawing>
        <wp:anchor distT="0" distB="0" distL="114300" distR="114300" simplePos="0" relativeHeight="251748352" behindDoc="1" locked="0" layoutInCell="1" allowOverlap="1" wp14:anchorId="5DDC6BA7" wp14:editId="6C1AD143">
          <wp:simplePos x="0" y="0"/>
          <wp:positionH relativeFrom="margin">
            <wp:posOffset>2816694</wp:posOffset>
          </wp:positionH>
          <wp:positionV relativeFrom="paragraph">
            <wp:posOffset>-12645</wp:posOffset>
          </wp:positionV>
          <wp:extent cx="533400" cy="266700"/>
          <wp:effectExtent l="0" t="0" r="0" b="0"/>
          <wp:wrapNone/>
          <wp:docPr id="1868262663"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screen">
                    <a:alphaModFix amt="70000"/>
                    <a:extLst>
                      <a:ext uri="{28A0092B-C50C-407E-A947-70E740481C1C}">
                        <a14:useLocalDpi xmlns:a14="http://schemas.microsoft.com/office/drawing/2010/main"/>
                      </a:ext>
                    </a:extLst>
                  </a:blip>
                  <a:stretch>
                    <a:fillRect/>
                  </a:stretch>
                </pic:blipFill>
                <pic:spPr>
                  <a:xfrm>
                    <a:off x="0" y="0"/>
                    <a:ext cx="533400" cy="266700"/>
                  </a:xfrm>
                  <a:prstGeom prst="rect">
                    <a:avLst/>
                  </a:prstGeom>
                </pic:spPr>
              </pic:pic>
            </a:graphicData>
          </a:graphic>
          <wp14:sizeRelH relativeFrom="page">
            <wp14:pctWidth>0</wp14:pctWidth>
          </wp14:sizeRelH>
          <wp14:sizeRelV relativeFrom="page">
            <wp14:pctHeight>0</wp14:pctHeight>
          </wp14:sizeRelV>
        </wp:anchor>
      </w:drawing>
    </w:r>
  </w:p>
  <w:p w14:paraId="4006BF0F" w14:textId="5182A01E" w:rsidR="00510C4B" w:rsidRPr="00602205" w:rsidRDefault="00510C4B" w:rsidP="00735873">
    <w:pPr>
      <w:pStyle w:val="EFSAFooter"/>
      <w:rPr>
        <w:highlight w:val="yellow"/>
      </w:rPr>
    </w:pPr>
    <w:hyperlink r:id="rId2" w:history="1">
      <w:r w:rsidRPr="00FA0800">
        <w:rPr>
          <w:rStyle w:val="Hyperlink"/>
        </w:rPr>
        <w:t>www.efsa.europa.eu</w:t>
      </w:r>
    </w:hyperlink>
    <w:r>
      <w:t xml:space="preserve">                                                                    </w:t>
    </w:r>
    <w:r>
      <w:fldChar w:fldCharType="begin"/>
    </w:r>
    <w:r>
      <w:instrText xml:space="preserve"> PAGE   \* MERGEFORMAT </w:instrText>
    </w:r>
    <w:r>
      <w:fldChar w:fldCharType="separate"/>
    </w:r>
    <w:r>
      <w:rPr>
        <w:noProof/>
      </w:rPr>
      <w:t>1</w:t>
    </w:r>
    <w:r>
      <w:rPr>
        <w:noProof/>
      </w:rPr>
      <w:fldChar w:fldCharType="end"/>
    </w:r>
    <w:r>
      <w:t xml:space="preserve"> </w:t>
    </w:r>
    <w:r>
      <w:tab/>
    </w:r>
    <w:r w:rsidR="002D3196">
      <w:t xml:space="preserve">                                                                                                                   </w:t>
    </w:r>
    <w:r w:rsidRPr="00602205">
      <w:t>Outcome of Public Consultation</w:t>
    </w:r>
    <w:r>
      <w:t xml:space="preserve"> </w:t>
    </w:r>
    <w:r w:rsidRPr="00920C8D">
      <w:t>2025:9735</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2D4B7" w14:textId="34E90274" w:rsidR="00565B9A" w:rsidRPr="002A413C" w:rsidRDefault="00565B9A" w:rsidP="00565B9A">
    <w:pPr>
      <w:pStyle w:val="BodyText"/>
      <w:spacing w:line="240" w:lineRule="atLeast"/>
      <w:rPr>
        <w:sz w:val="14"/>
        <w:szCs w:val="14"/>
      </w:rPr>
    </w:pPr>
    <w:r w:rsidRPr="002A413C">
      <w:rPr>
        <w:noProof/>
        <w:sz w:val="14"/>
        <w:szCs w:val="14"/>
      </w:rPr>
      <w:drawing>
        <wp:anchor distT="0" distB="0" distL="114300" distR="114300" simplePos="0" relativeHeight="251741184" behindDoc="1" locked="0" layoutInCell="1" allowOverlap="1" wp14:anchorId="01D74AA0" wp14:editId="3B567CF2">
          <wp:simplePos x="0" y="0"/>
          <wp:positionH relativeFrom="margin">
            <wp:align>center</wp:align>
          </wp:positionH>
          <wp:positionV relativeFrom="paragraph">
            <wp:posOffset>-53340</wp:posOffset>
          </wp:positionV>
          <wp:extent cx="533400" cy="266700"/>
          <wp:effectExtent l="0" t="0" r="0" b="0"/>
          <wp:wrapNone/>
          <wp:docPr id="2105137748"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screen">
                    <a:alphaModFix amt="70000"/>
                    <a:extLst>
                      <a:ext uri="{28A0092B-C50C-407E-A947-70E740481C1C}">
                        <a14:useLocalDpi xmlns:a14="http://schemas.microsoft.com/office/drawing/2010/main"/>
                      </a:ext>
                    </a:extLst>
                  </a:blip>
                  <a:stretch>
                    <a:fillRect/>
                  </a:stretch>
                </pic:blipFill>
                <pic:spPr>
                  <a:xfrm>
                    <a:off x="0" y="0"/>
                    <a:ext cx="533400" cy="266700"/>
                  </a:xfrm>
                  <a:prstGeom prst="rect">
                    <a:avLst/>
                  </a:prstGeom>
                </pic:spPr>
              </pic:pic>
            </a:graphicData>
          </a:graphic>
          <wp14:sizeRelH relativeFrom="page">
            <wp14:pctWidth>0</wp14:pctWidth>
          </wp14:sizeRelH>
          <wp14:sizeRelV relativeFrom="page">
            <wp14:pctHeight>0</wp14:pctHeight>
          </wp14:sizeRelV>
        </wp:anchor>
      </w:drawing>
    </w:r>
    <w:hyperlink r:id="rId2" w:history="1">
      <w:r w:rsidR="00382FA5" w:rsidRPr="002A413C">
        <w:rPr>
          <w:rStyle w:val="Hyperlink"/>
          <w:sz w:val="14"/>
          <w:szCs w:val="14"/>
        </w:rPr>
        <w:t>www.efsa.europa.eu</w:t>
      </w:r>
    </w:hyperlink>
    <w:r w:rsidRPr="002A413C">
      <w:rPr>
        <w:sz w:val="14"/>
        <w:szCs w:val="14"/>
      </w:rPr>
      <w:t xml:space="preserve">                                           </w:t>
    </w:r>
    <w:r w:rsidR="00B74844" w:rsidRPr="002A413C">
      <w:rPr>
        <w:sz w:val="14"/>
        <w:szCs w:val="14"/>
      </w:rPr>
      <w:t xml:space="preserve">          </w:t>
    </w:r>
    <w:r w:rsidR="00AA1ECA" w:rsidRPr="002A413C">
      <w:rPr>
        <w:sz w:val="14"/>
        <w:szCs w:val="14"/>
      </w:rPr>
      <w:t xml:space="preserve"> </w:t>
    </w:r>
    <w:r w:rsidR="004911BD">
      <w:rPr>
        <w:sz w:val="14"/>
        <w:szCs w:val="14"/>
      </w:rPr>
      <w:t xml:space="preserve">                         </w:t>
    </w:r>
    <w:r w:rsidR="00AA1ECA" w:rsidRPr="002A413C">
      <w:rPr>
        <w:sz w:val="14"/>
        <w:szCs w:val="14"/>
      </w:rPr>
      <w:fldChar w:fldCharType="begin"/>
    </w:r>
    <w:r w:rsidR="00AA1ECA" w:rsidRPr="002A413C">
      <w:rPr>
        <w:sz w:val="14"/>
        <w:szCs w:val="14"/>
      </w:rPr>
      <w:instrText xml:space="preserve"> PAGE   \* MERGEFORMAT </w:instrText>
    </w:r>
    <w:r w:rsidR="00AA1ECA" w:rsidRPr="002A413C">
      <w:rPr>
        <w:sz w:val="14"/>
        <w:szCs w:val="14"/>
      </w:rPr>
      <w:fldChar w:fldCharType="separate"/>
    </w:r>
    <w:r w:rsidR="00AA1ECA" w:rsidRPr="002A413C">
      <w:rPr>
        <w:noProof/>
        <w:sz w:val="14"/>
        <w:szCs w:val="14"/>
      </w:rPr>
      <w:t>1</w:t>
    </w:r>
    <w:r w:rsidR="00AA1ECA" w:rsidRPr="002A413C">
      <w:rPr>
        <w:noProof/>
        <w:sz w:val="14"/>
        <w:szCs w:val="14"/>
      </w:rPr>
      <w:fldChar w:fldCharType="end"/>
    </w:r>
    <w:r w:rsidRPr="002A413C">
      <w:rPr>
        <w:sz w:val="14"/>
        <w:szCs w:val="14"/>
      </w:rPr>
      <w:t xml:space="preserve">                       </w:t>
    </w:r>
    <w:r w:rsidR="00B74844" w:rsidRPr="002A413C">
      <w:rPr>
        <w:sz w:val="14"/>
        <w:szCs w:val="14"/>
      </w:rPr>
      <w:t xml:space="preserve">        </w:t>
    </w:r>
    <w:r w:rsidR="00ED09EB" w:rsidRPr="002A413C">
      <w:rPr>
        <w:sz w:val="14"/>
        <w:szCs w:val="14"/>
      </w:rPr>
      <w:t xml:space="preserve"> </w:t>
    </w:r>
    <w:r w:rsidR="004911BD">
      <w:rPr>
        <w:sz w:val="14"/>
        <w:szCs w:val="14"/>
      </w:rPr>
      <w:t xml:space="preserve">             </w:t>
    </w:r>
    <w:r w:rsidR="00B74844" w:rsidRPr="002A413C">
      <w:rPr>
        <w:sz w:val="14"/>
        <w:szCs w:val="14"/>
      </w:rPr>
      <w:t>Outcome of Public Consultation 2025:973</w:t>
    </w:r>
    <w:r w:rsidR="004911BD">
      <w:rPr>
        <w:sz w:val="14"/>
        <w:szCs w:val="14"/>
      </w:rPr>
      <w:t>5</w:t>
    </w:r>
  </w:p>
  <w:p w14:paraId="34D0D7FC" w14:textId="2BFE1B99" w:rsidR="008C28E8" w:rsidRDefault="008C28E8" w:rsidP="00565B9A">
    <w:pPr>
      <w:pStyle w:val="BodyText"/>
      <w:spacing w:line="240" w:lineRule="atLeast"/>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8A80D7" w14:textId="77777777" w:rsidR="00280253" w:rsidRDefault="00280253" w:rsidP="00C32F08">
      <w:pPr>
        <w:spacing w:after="0" w:line="240" w:lineRule="auto"/>
      </w:pPr>
      <w:r>
        <w:separator/>
      </w:r>
    </w:p>
  </w:footnote>
  <w:footnote w:type="continuationSeparator" w:id="0">
    <w:p w14:paraId="26D3AAEC" w14:textId="77777777" w:rsidR="00280253" w:rsidRDefault="00280253" w:rsidP="00C32F08">
      <w:pPr>
        <w:spacing w:after="0" w:line="240" w:lineRule="auto"/>
      </w:pPr>
      <w:r>
        <w:continuationSeparator/>
      </w:r>
    </w:p>
  </w:footnote>
  <w:footnote w:type="continuationNotice" w:id="1">
    <w:p w14:paraId="359E0676" w14:textId="77777777" w:rsidR="00280253" w:rsidRDefault="0028025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8B569" w14:textId="77777777" w:rsidR="004468BB" w:rsidRDefault="004468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AE2BD" w14:textId="2031B478" w:rsidR="003D315E" w:rsidRPr="00BE3035" w:rsidRDefault="00614E4F" w:rsidP="00C32F08">
    <w:pPr>
      <w:pStyle w:val="Header"/>
      <w:tabs>
        <w:tab w:val="clear" w:pos="4513"/>
        <w:tab w:val="center" w:pos="4807"/>
      </w:tabs>
      <w:rPr>
        <w:color w:val="455E6F" w:themeColor="text2"/>
      </w:rPr>
    </w:pPr>
    <w:sdt>
      <w:sdtPr>
        <w:rPr>
          <w:color w:val="455E6F" w:themeColor="text2"/>
        </w:rPr>
        <w:alias w:val="Title"/>
        <w:tag w:val=""/>
        <w:id w:val="-1236166809"/>
        <w:showingPlcHdr/>
        <w:dataBinding w:prefixMappings="xmlns:ns0='http://purl.org/dc/elements/1.1/' xmlns:ns1='http://schemas.openxmlformats.org/package/2006/metadata/core-properties' " w:xpath="/ns1:coreProperties[1]/ns0:title[1]" w:storeItemID="{6C3C8BC8-F283-45AE-878A-BAB7291924A1}"/>
        <w:text/>
      </w:sdtPr>
      <w:sdtEndPr/>
      <w:sdtContent>
        <w:r w:rsidR="005C22F8">
          <w:rPr>
            <w:color w:val="455E6F" w:themeColor="text2"/>
          </w:rPr>
          <w:t xml:space="preserve">     </w:t>
        </w:r>
      </w:sdtContent>
    </w:sdt>
  </w:p>
  <w:p w14:paraId="79192A79" w14:textId="783D8E5B" w:rsidR="00C32F08" w:rsidRPr="00BE3035" w:rsidRDefault="00614E4F" w:rsidP="00BE3035">
    <w:pPr>
      <w:pStyle w:val="Header"/>
      <w:tabs>
        <w:tab w:val="clear" w:pos="4513"/>
        <w:tab w:val="left" w:pos="3784"/>
        <w:tab w:val="center" w:pos="4807"/>
      </w:tabs>
      <w:rPr>
        <w:color w:val="84A0B3" w:themeColor="text2" w:themeTint="99"/>
      </w:rPr>
    </w:pPr>
    <w:sdt>
      <w:sdtPr>
        <w:rPr>
          <w:color w:val="84A0B3" w:themeColor="text2" w:themeTint="99"/>
        </w:rPr>
        <w:alias w:val="Author"/>
        <w:tag w:val=""/>
        <w:id w:val="138775173"/>
        <w:dataBinding w:prefixMappings="xmlns:ns0='http://purl.org/dc/elements/1.1/' xmlns:ns1='http://schemas.openxmlformats.org/package/2006/metadata/core-properties' " w:xpath="/ns1:coreProperties[1]/ns0:creator[1]" w:storeItemID="{6C3C8BC8-F283-45AE-878A-BAB7291924A1}"/>
        <w:text/>
      </w:sdtPr>
      <w:sdtEndPr/>
      <w:sdtContent>
        <w:r w:rsidR="00EF3B57">
          <w:rPr>
            <w:color w:val="84A0B3" w:themeColor="text2" w:themeTint="99"/>
          </w:rPr>
          <w:t>CHRISTODOULIDOU Anna</w:t>
        </w:r>
      </w:sdtContent>
    </w:sdt>
    <w:r w:rsidR="00C32F08" w:rsidRPr="00BE3035">
      <w:rPr>
        <w:color w:val="84A0B3" w:themeColor="text2" w:themeTint="99"/>
      </w:rPr>
      <w:tab/>
    </w:r>
    <w:r w:rsidR="00BE3035" w:rsidRPr="00BE3035">
      <w:rPr>
        <w:color w:val="84A0B3" w:themeColor="text2" w:themeTint="99"/>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6D1DF" w14:textId="3C1DC039" w:rsidR="00B169CE" w:rsidRPr="00B169CE" w:rsidRDefault="00B169CE">
    <w:pPr>
      <w:pStyle w:val="Header"/>
      <w:rPr>
        <w:iCs/>
      </w:rPr>
    </w:pPr>
    <w:r w:rsidRPr="00185722">
      <w:rPr>
        <w:b/>
        <w:bCs/>
        <w:iCs/>
        <w:noProof/>
        <w:color w:val="1D3786" w:themeColor="accent2"/>
      </w:rPr>
      <w:drawing>
        <wp:anchor distT="0" distB="0" distL="114300" distR="114300" simplePos="0" relativeHeight="251743232" behindDoc="0" locked="0" layoutInCell="1" allowOverlap="1" wp14:anchorId="1C1CB473" wp14:editId="06E15511">
          <wp:simplePos x="0" y="0"/>
          <wp:positionH relativeFrom="margin">
            <wp:posOffset>8703190</wp:posOffset>
          </wp:positionH>
          <wp:positionV relativeFrom="paragraph">
            <wp:posOffset>-409563</wp:posOffset>
          </wp:positionV>
          <wp:extent cx="561378" cy="590550"/>
          <wp:effectExtent l="0" t="0" r="0" b="0"/>
          <wp:wrapNone/>
          <wp:docPr id="1329610807" name="Immagine 61"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61378" cy="590550"/>
                  </a:xfrm>
                  <a:prstGeom prst="rect">
                    <a:avLst/>
                  </a:prstGeom>
                </pic:spPr>
              </pic:pic>
            </a:graphicData>
          </a:graphic>
          <wp14:sizeRelH relativeFrom="page">
            <wp14:pctWidth>0</wp14:pctWidth>
          </wp14:sizeRelH>
          <wp14:sizeRelV relativeFrom="page">
            <wp14:pctHeight>0</wp14:pctHeight>
          </wp14:sizeRelV>
        </wp:anchor>
      </w:drawing>
    </w:r>
    <w:r w:rsidR="00185722" w:rsidRPr="00185722">
      <w:rPr>
        <w:b/>
        <w:bCs/>
        <w:iCs/>
        <w:color w:val="1D3786" w:themeColor="accent2"/>
      </w:rPr>
      <w:t>OUTCOME OF PUBLIC CONSULTATION</w:t>
    </w:r>
    <w:r w:rsidR="00185722" w:rsidRPr="00185722">
      <w:rPr>
        <w:iCs/>
        <w:color w:val="1D3786" w:themeColor="accent2"/>
      </w:rPr>
      <w:t xml:space="preserve"> </w:t>
    </w:r>
    <w:r w:rsidR="00185722">
      <w:rPr>
        <w:iCs/>
      </w:rPr>
      <w:tab/>
    </w:r>
    <w:r w:rsidR="00185722">
      <w:rPr>
        <w:iCs/>
      </w:rPr>
      <w:tab/>
    </w:r>
    <w:r w:rsidR="00B65002">
      <w:rPr>
        <w:iCs/>
        <w:noProof/>
      </w:rPr>
      <w:drawing>
        <wp:inline distT="0" distB="0" distL="0" distR="0" wp14:anchorId="3D662A41" wp14:editId="741F009E">
          <wp:extent cx="1657985" cy="554990"/>
          <wp:effectExtent l="0" t="0" r="0" b="0"/>
          <wp:docPr id="7991959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7985" cy="554990"/>
                  </a:xfrm>
                  <a:prstGeom prst="rect">
                    <a:avLst/>
                  </a:prstGeom>
                  <a:noFill/>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591FD" w14:textId="52E91802" w:rsidR="004E17A3" w:rsidRPr="00BE3035" w:rsidRDefault="001D33E3" w:rsidP="00BB7DC6">
    <w:pPr>
      <w:pStyle w:val="EFSAShorttitle"/>
    </w:pPr>
    <w:r>
      <w:rPr>
        <w:noProof/>
      </w:rPr>
      <w:drawing>
        <wp:anchor distT="0" distB="0" distL="114300" distR="114300" simplePos="0" relativeHeight="251658243" behindDoc="0" locked="0" layoutInCell="1" allowOverlap="1" wp14:anchorId="7D15262F" wp14:editId="2F66DE26">
          <wp:simplePos x="0" y="0"/>
          <wp:positionH relativeFrom="margin">
            <wp:posOffset>5769622</wp:posOffset>
          </wp:positionH>
          <wp:positionV relativeFrom="paragraph">
            <wp:posOffset>-362309</wp:posOffset>
          </wp:positionV>
          <wp:extent cx="561378" cy="590550"/>
          <wp:effectExtent l="0" t="0" r="0" b="0"/>
          <wp:wrapNone/>
          <wp:docPr id="1076796557" name="Immagine 60"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61378" cy="590550"/>
                  </a:xfrm>
                  <a:prstGeom prst="rect">
                    <a:avLst/>
                  </a:prstGeom>
                </pic:spPr>
              </pic:pic>
            </a:graphicData>
          </a:graphic>
          <wp14:sizeRelH relativeFrom="page">
            <wp14:pctWidth>0</wp14:pctWidth>
          </wp14:sizeRelH>
          <wp14:sizeRelV relativeFrom="page">
            <wp14:pctHeight>0</wp14:pctHeight>
          </wp14:sizeRelV>
        </wp:anchor>
      </w:drawing>
    </w:r>
    <w:r w:rsidR="00947123">
      <w:rPr>
        <w:noProof/>
      </w:rPr>
      <w:drawing>
        <wp:anchor distT="0" distB="0" distL="114300" distR="114300" simplePos="0" relativeHeight="251658242" behindDoc="0" locked="0" layoutInCell="1" allowOverlap="1" wp14:anchorId="18652210" wp14:editId="7AD87382">
          <wp:simplePos x="0" y="0"/>
          <wp:positionH relativeFrom="margin">
            <wp:posOffset>8703190</wp:posOffset>
          </wp:positionH>
          <wp:positionV relativeFrom="paragraph">
            <wp:posOffset>-409563</wp:posOffset>
          </wp:positionV>
          <wp:extent cx="561378" cy="590550"/>
          <wp:effectExtent l="0" t="0" r="0" b="0"/>
          <wp:wrapNone/>
          <wp:docPr id="1476063409" name="Immagine 61"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61378" cy="590550"/>
                  </a:xfrm>
                  <a:prstGeom prst="rect">
                    <a:avLst/>
                  </a:prstGeom>
                </pic:spPr>
              </pic:pic>
            </a:graphicData>
          </a:graphic>
          <wp14:sizeRelH relativeFrom="page">
            <wp14:pctWidth>0</wp14:pctWidth>
          </wp14:sizeRelH>
          <wp14:sizeRelV relativeFrom="page">
            <wp14:pctHeight>0</wp14:pctHeight>
          </wp14:sizeRelV>
        </wp:anchor>
      </w:drawing>
    </w:r>
    <w:r w:rsidR="00AB2936" w:rsidRPr="00AB2936">
      <w:t xml:space="preserve">Outcome of Public Consultation on </w:t>
    </w:r>
    <w:r w:rsidR="00AB2936" w:rsidRPr="00AB2936">
      <w:rPr>
        <w:lang w:val="el-GR"/>
      </w:rPr>
      <w:t>Δ</w:t>
    </w:r>
    <w:r w:rsidR="00AB2936" w:rsidRPr="00AB2936">
      <w:rPr>
        <w:vertAlign w:val="superscript"/>
      </w:rPr>
      <w:t>8</w:t>
    </w:r>
    <w:r w:rsidR="00AB2936" w:rsidRPr="00AB2936">
      <w:t>-THC HBGV and its occurrence in food</w:t>
    </w:r>
  </w:p>
  <w:p w14:paraId="256E7CBD" w14:textId="77777777" w:rsidR="004E17A3" w:rsidRPr="00BE3035" w:rsidRDefault="004E17A3" w:rsidP="00BE3035">
    <w:pPr>
      <w:pStyle w:val="Header"/>
      <w:tabs>
        <w:tab w:val="clear" w:pos="4513"/>
        <w:tab w:val="left" w:pos="3784"/>
        <w:tab w:val="center" w:pos="4807"/>
      </w:tabs>
      <w:rPr>
        <w:color w:val="84A0B3" w:themeColor="text2" w:themeTint="99"/>
      </w:rPr>
    </w:pPr>
    <w:r>
      <w:rPr>
        <w:noProof/>
      </w:rPr>
      <w:drawing>
        <wp:anchor distT="0" distB="0" distL="114300" distR="114300" simplePos="0" relativeHeight="251658241" behindDoc="1" locked="0" layoutInCell="1" allowOverlap="1" wp14:anchorId="5CD44F2A" wp14:editId="57EDF1B9">
          <wp:simplePos x="0" y="0"/>
          <wp:positionH relativeFrom="column">
            <wp:posOffset>-937260</wp:posOffset>
          </wp:positionH>
          <wp:positionV relativeFrom="page">
            <wp:posOffset>1078865</wp:posOffset>
          </wp:positionV>
          <wp:extent cx="597535" cy="1195705"/>
          <wp:effectExtent l="0" t="0" r="0" b="0"/>
          <wp:wrapNone/>
          <wp:docPr id="1295591633" name="Im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
                    <a:extLst>
                      <a:ext uri="{28A0092B-C50C-407E-A947-70E740481C1C}">
                        <a14:useLocalDpi xmlns:a14="http://schemas.microsoft.com/office/drawing/2010/main" val="0"/>
                      </a:ext>
                    </a:extLst>
                  </a:blip>
                  <a:stretch>
                    <a:fillRect/>
                  </a:stretch>
                </pic:blipFill>
                <pic:spPr>
                  <a:xfrm>
                    <a:off x="0" y="0"/>
                    <a:ext cx="597535" cy="1195705"/>
                  </a:xfrm>
                  <a:prstGeom prst="rect">
                    <a:avLst/>
                  </a:prstGeom>
                </pic:spPr>
              </pic:pic>
            </a:graphicData>
          </a:graphic>
          <wp14:sizeRelH relativeFrom="page">
            <wp14:pctWidth>0</wp14:pctWidth>
          </wp14:sizeRelH>
          <wp14:sizeRelV relativeFrom="page">
            <wp14:pctHeight>0</wp14:pctHeight>
          </wp14:sizeRelV>
        </wp:anchor>
      </w:drawing>
    </w:r>
    <w:r w:rsidRPr="00BE3035">
      <w:rPr>
        <w:color w:val="84A0B3" w:themeColor="text2" w:themeTint="99"/>
      </w:rPr>
      <w:tab/>
    </w:r>
    <w:r w:rsidRPr="00BE3035">
      <w:rPr>
        <w:color w:val="84A0B3" w:themeColor="text2" w:themeTint="99"/>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D8FCB" w14:textId="1BD38012" w:rsidR="00283602" w:rsidRPr="00BE3035" w:rsidRDefault="00735B38" w:rsidP="00735B38">
    <w:pPr>
      <w:pStyle w:val="Header"/>
      <w:tabs>
        <w:tab w:val="clear" w:pos="4513"/>
        <w:tab w:val="left" w:pos="3784"/>
        <w:tab w:val="center" w:pos="4807"/>
      </w:tabs>
      <w:rPr>
        <w:color w:val="84A0B3" w:themeColor="text2" w:themeTint="99"/>
      </w:rPr>
    </w:pPr>
    <w:r w:rsidRPr="00820DAE">
      <w:t xml:space="preserve">Outcome of Public Consultation on </w:t>
    </w:r>
    <w:r w:rsidRPr="00820DAE">
      <w:rPr>
        <w:lang w:val="el-GR"/>
      </w:rPr>
      <w:t>Δ</w:t>
    </w:r>
    <w:r w:rsidRPr="00820DAE">
      <w:rPr>
        <w:vertAlign w:val="superscript"/>
      </w:rPr>
      <w:t>8</w:t>
    </w:r>
    <w:r w:rsidRPr="00820DAE">
      <w:t>-THC HBGV and its occurrence in food</w:t>
    </w:r>
    <w:r w:rsidRPr="00735B38">
      <w:t xml:space="preserve"> </w:t>
    </w:r>
    <w:r w:rsidR="006E5472">
      <w:rPr>
        <w:noProof/>
      </w:rPr>
      <w:drawing>
        <wp:anchor distT="0" distB="0" distL="114300" distR="114300" simplePos="0" relativeHeight="251658244" behindDoc="1" locked="0" layoutInCell="1" allowOverlap="1" wp14:anchorId="0F342170" wp14:editId="5DF3824E">
          <wp:simplePos x="0" y="0"/>
          <wp:positionH relativeFrom="column">
            <wp:posOffset>-914400</wp:posOffset>
          </wp:positionH>
          <wp:positionV relativeFrom="page">
            <wp:posOffset>1054100</wp:posOffset>
          </wp:positionV>
          <wp:extent cx="597535" cy="1195705"/>
          <wp:effectExtent l="0" t="0" r="0" b="0"/>
          <wp:wrapNone/>
          <wp:docPr id="1064774" name="Immagine 113403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
                    <a:extLst>
                      <a:ext uri="{28A0092B-C50C-407E-A947-70E740481C1C}">
                        <a14:useLocalDpi xmlns:a14="http://schemas.microsoft.com/office/drawing/2010/main" val="0"/>
                      </a:ext>
                    </a:extLst>
                  </a:blip>
                  <a:stretch>
                    <a:fillRect/>
                  </a:stretch>
                </pic:blipFill>
                <pic:spPr>
                  <a:xfrm>
                    <a:off x="0" y="0"/>
                    <a:ext cx="597535" cy="1195705"/>
                  </a:xfrm>
                  <a:prstGeom prst="rect">
                    <a:avLst/>
                  </a:prstGeom>
                </pic:spPr>
              </pic:pic>
            </a:graphicData>
          </a:graphic>
          <wp14:sizeRelH relativeFrom="page">
            <wp14:pctWidth>0</wp14:pctWidth>
          </wp14:sizeRelH>
          <wp14:sizeRelV relativeFrom="page">
            <wp14:pctHeight>0</wp14:pctHeight>
          </wp14:sizeRelV>
        </wp:anchor>
      </w:drawing>
    </w:r>
    <w:r w:rsidR="00283602" w:rsidRPr="00BE3035">
      <w:rPr>
        <w:color w:val="84A0B3" w:themeColor="text2" w:themeTint="99"/>
      </w:rPr>
      <w:tab/>
    </w:r>
    <w:r>
      <w:rPr>
        <w:color w:val="84A0B3" w:themeColor="text2" w:themeTint="99"/>
      </w:rPr>
      <w:tab/>
    </w:r>
    <w:r>
      <w:rPr>
        <w:color w:val="84A0B3" w:themeColor="text2" w:themeTint="99"/>
      </w:rPr>
      <w:tab/>
    </w:r>
    <w:r>
      <w:rPr>
        <w:color w:val="84A0B3" w:themeColor="text2" w:themeTint="99"/>
      </w:rPr>
      <w:tab/>
    </w:r>
    <w:r>
      <w:rPr>
        <w:color w:val="84A0B3" w:themeColor="text2" w:themeTint="99"/>
      </w:rPr>
      <w:tab/>
    </w:r>
    <w:r w:rsidR="00283602" w:rsidRPr="00BE3035">
      <w:rPr>
        <w:color w:val="84A0B3" w:themeColor="text2" w:themeTint="99"/>
      </w:rPr>
      <w:tab/>
    </w:r>
    <w:r w:rsidR="00BF1765">
      <w:rPr>
        <w:noProof/>
        <w:color w:val="84A0B3" w:themeColor="text2" w:themeTint="99"/>
      </w:rPr>
      <w:drawing>
        <wp:inline distT="0" distB="0" distL="0" distR="0" wp14:anchorId="38761799" wp14:editId="49E97252">
          <wp:extent cx="560705" cy="591185"/>
          <wp:effectExtent l="0" t="0" r="0" b="0"/>
          <wp:docPr id="383750099" name="Picture 2" descr="A blue logo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220960" name="Picture 2" descr="A blue logo with a black background&#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0705" cy="591185"/>
                  </a:xfrm>
                  <a:prstGeom prst="rect">
                    <a:avLst/>
                  </a:prstGeom>
                  <a:noFill/>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3C932" w14:textId="2A91E1C3" w:rsidR="008C28E8" w:rsidRDefault="00735B38" w:rsidP="00DB0014">
    <w:pPr>
      <w:pStyle w:val="BodyText"/>
      <w:spacing w:before="240" w:line="14" w:lineRule="auto"/>
      <w:rPr>
        <w:sz w:val="20"/>
      </w:rPr>
    </w:pPr>
    <w:r w:rsidRPr="00735B38">
      <w:rPr>
        <w:sz w:val="20"/>
      </w:rPr>
      <w:t xml:space="preserve">Outcome of Public Consultation on </w:t>
    </w:r>
    <w:r w:rsidRPr="00735B38">
      <w:rPr>
        <w:sz w:val="20"/>
        <w:lang w:val="el-GR"/>
      </w:rPr>
      <w:t>Δ</w:t>
    </w:r>
    <w:r w:rsidRPr="00735B38">
      <w:rPr>
        <w:sz w:val="20"/>
        <w:vertAlign w:val="superscript"/>
      </w:rPr>
      <w:t>8</w:t>
    </w:r>
    <w:r w:rsidRPr="00735B38">
      <w:rPr>
        <w:sz w:val="20"/>
      </w:rPr>
      <w:t>-THC HBGV and its occurrence in food</w:t>
    </w:r>
    <w:r w:rsidR="005E4B16">
      <w:rPr>
        <w:sz w:val="20"/>
      </w:rPr>
      <w:tab/>
    </w:r>
    <w:r w:rsidR="005E4B16">
      <w:rPr>
        <w:sz w:val="20"/>
      </w:rPr>
      <w:tab/>
    </w:r>
    <w:r w:rsidR="005E4B16">
      <w:rPr>
        <w:sz w:val="20"/>
      </w:rPr>
      <w:tab/>
    </w:r>
    <w:r w:rsidR="005E4B16">
      <w:rPr>
        <w:noProof/>
        <w:sz w:val="20"/>
      </w:rPr>
      <w:drawing>
        <wp:inline distT="0" distB="0" distL="0" distR="0" wp14:anchorId="24461525" wp14:editId="1755FDDF">
          <wp:extent cx="560705" cy="591185"/>
          <wp:effectExtent l="0" t="0" r="0" b="0"/>
          <wp:docPr id="13884694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705" cy="59118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8357F"/>
    <w:multiLevelType w:val="hybridMultilevel"/>
    <w:tmpl w:val="2E5019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3C7734"/>
    <w:multiLevelType w:val="multilevel"/>
    <w:tmpl w:val="F626D82A"/>
    <w:styleLink w:val="EFSAheadinglist"/>
    <w:lvl w:ilvl="0">
      <w:start w:val="1"/>
      <w:numFmt w:val="decimal"/>
      <w:lvlText w:val="%1"/>
      <w:lvlJc w:val="left"/>
      <w:pPr>
        <w:ind w:left="360" w:hanging="360"/>
      </w:pPr>
      <w:rPr>
        <w:rFonts w:hint="default"/>
        <w:color w:val="22294D"/>
      </w:rPr>
    </w:lvl>
    <w:lvl w:ilvl="1">
      <w:start w:val="1"/>
      <w:numFmt w:val="decimal"/>
      <w:lvlText w:val="%1.%2"/>
      <w:lvlJc w:val="left"/>
      <w:pPr>
        <w:ind w:left="1021" w:hanging="1021"/>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021" w:hanging="1021"/>
      </w:pPr>
      <w:rPr>
        <w:rFonts w:hint="default"/>
      </w:rPr>
    </w:lvl>
    <w:lvl w:ilvl="4">
      <w:start w:val="1"/>
      <w:numFmt w:val="none"/>
      <w:suff w:val="nothing"/>
      <w:lvlText w:val=""/>
      <w:lvlJc w:val="left"/>
      <w:pPr>
        <w:ind w:left="0" w:firstLine="0"/>
      </w:pPr>
      <w:rPr>
        <w:rFonts w:hint="default"/>
      </w:rPr>
    </w:lvl>
    <w:lvl w:ilvl="5">
      <w:start w:val="1"/>
      <w:numFmt w:val="lowerRoman"/>
      <w:lvlText w:val="(%6)"/>
      <w:lvlJc w:val="lef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left"/>
      <w:pPr>
        <w:ind w:left="851" w:hanging="851"/>
      </w:pPr>
      <w:rPr>
        <w:rFonts w:hint="default"/>
      </w:rPr>
    </w:lvl>
  </w:abstractNum>
  <w:abstractNum w:abstractNumId="2" w15:restartNumberingAfterBreak="0">
    <w:nsid w:val="145D69DB"/>
    <w:multiLevelType w:val="hybridMultilevel"/>
    <w:tmpl w:val="8CAC148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6A4629"/>
    <w:multiLevelType w:val="hybridMultilevel"/>
    <w:tmpl w:val="B1F2168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2D6BF9"/>
    <w:multiLevelType w:val="hybridMultilevel"/>
    <w:tmpl w:val="10F83A5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6A9993"/>
    <w:multiLevelType w:val="hybridMultilevel"/>
    <w:tmpl w:val="3328FBC8"/>
    <w:lvl w:ilvl="0" w:tplc="C4F2F298">
      <w:start w:val="1"/>
      <w:numFmt w:val="decimal"/>
      <w:lvlText w:val="%1)"/>
      <w:lvlJc w:val="left"/>
      <w:pPr>
        <w:ind w:left="720" w:hanging="360"/>
      </w:pPr>
    </w:lvl>
    <w:lvl w:ilvl="1" w:tplc="5A501DDE">
      <w:start w:val="1"/>
      <w:numFmt w:val="lowerLetter"/>
      <w:lvlText w:val="%2."/>
      <w:lvlJc w:val="left"/>
      <w:pPr>
        <w:ind w:left="1440" w:hanging="360"/>
      </w:pPr>
    </w:lvl>
    <w:lvl w:ilvl="2" w:tplc="2D02FB54">
      <w:start w:val="1"/>
      <w:numFmt w:val="lowerRoman"/>
      <w:lvlText w:val="%3."/>
      <w:lvlJc w:val="right"/>
      <w:pPr>
        <w:ind w:left="2160" w:hanging="180"/>
      </w:pPr>
    </w:lvl>
    <w:lvl w:ilvl="3" w:tplc="725EDAF2">
      <w:start w:val="1"/>
      <w:numFmt w:val="decimal"/>
      <w:lvlText w:val="%4."/>
      <w:lvlJc w:val="left"/>
      <w:pPr>
        <w:ind w:left="2880" w:hanging="360"/>
      </w:pPr>
    </w:lvl>
    <w:lvl w:ilvl="4" w:tplc="FB4C2EB0">
      <w:start w:val="1"/>
      <w:numFmt w:val="lowerLetter"/>
      <w:lvlText w:val="%5."/>
      <w:lvlJc w:val="left"/>
      <w:pPr>
        <w:ind w:left="3600" w:hanging="360"/>
      </w:pPr>
    </w:lvl>
    <w:lvl w:ilvl="5" w:tplc="9C1ECC00">
      <w:start w:val="1"/>
      <w:numFmt w:val="lowerRoman"/>
      <w:lvlText w:val="%6."/>
      <w:lvlJc w:val="right"/>
      <w:pPr>
        <w:ind w:left="4320" w:hanging="180"/>
      </w:pPr>
    </w:lvl>
    <w:lvl w:ilvl="6" w:tplc="B248113C">
      <w:start w:val="1"/>
      <w:numFmt w:val="decimal"/>
      <w:lvlText w:val="%7."/>
      <w:lvlJc w:val="left"/>
      <w:pPr>
        <w:ind w:left="5040" w:hanging="360"/>
      </w:pPr>
    </w:lvl>
    <w:lvl w:ilvl="7" w:tplc="9FA61190">
      <w:start w:val="1"/>
      <w:numFmt w:val="lowerLetter"/>
      <w:lvlText w:val="%8."/>
      <w:lvlJc w:val="left"/>
      <w:pPr>
        <w:ind w:left="5760" w:hanging="360"/>
      </w:pPr>
    </w:lvl>
    <w:lvl w:ilvl="8" w:tplc="0352BE72">
      <w:start w:val="1"/>
      <w:numFmt w:val="lowerRoman"/>
      <w:lvlText w:val="%9."/>
      <w:lvlJc w:val="right"/>
      <w:pPr>
        <w:ind w:left="6480" w:hanging="180"/>
      </w:pPr>
    </w:lvl>
  </w:abstractNum>
  <w:abstractNum w:abstractNumId="6" w15:restartNumberingAfterBreak="0">
    <w:nsid w:val="1CF35AD2"/>
    <w:multiLevelType w:val="hybridMultilevel"/>
    <w:tmpl w:val="E6A0296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D34FA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22EC7FD6"/>
    <w:multiLevelType w:val="hybridMultilevel"/>
    <w:tmpl w:val="F78EC6F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86F748D"/>
    <w:multiLevelType w:val="hybridMultilevel"/>
    <w:tmpl w:val="4922F59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92351C4"/>
    <w:multiLevelType w:val="hybridMultilevel"/>
    <w:tmpl w:val="490E189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8181F46"/>
    <w:multiLevelType w:val="hybridMultilevel"/>
    <w:tmpl w:val="F0F0C02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CDE628E"/>
    <w:multiLevelType w:val="multilevel"/>
    <w:tmpl w:val="8EEEE2FE"/>
    <w:styleLink w:val="EFSAListbullets"/>
    <w:lvl w:ilvl="0">
      <w:start w:val="1"/>
      <w:numFmt w:val="bullet"/>
      <w:lvlText w:val=""/>
      <w:lvlJc w:val="left"/>
      <w:pPr>
        <w:tabs>
          <w:tab w:val="num" w:pos="0"/>
        </w:tabs>
        <w:ind w:left="720" w:hanging="363"/>
      </w:pPr>
      <w:rPr>
        <w:rFonts w:ascii="Symbol" w:hAnsi="Symbol" w:hint="default"/>
      </w:rPr>
    </w:lvl>
    <w:lvl w:ilvl="1">
      <w:start w:val="1"/>
      <w:numFmt w:val="bullet"/>
      <w:lvlText w:val="–"/>
      <w:lvlJc w:val="left"/>
      <w:pPr>
        <w:tabs>
          <w:tab w:val="num" w:pos="357"/>
        </w:tabs>
        <w:ind w:left="1077" w:hanging="363"/>
      </w:pPr>
      <w:rPr>
        <w:rFonts w:ascii="Tahoma" w:hAnsi="Tahoma" w:hint="default"/>
        <w:caps w:val="0"/>
        <w:strike w:val="0"/>
        <w:dstrike w:val="0"/>
        <w:vanish w:val="0"/>
        <w:color w:val="auto"/>
        <w:sz w:val="20"/>
        <w:vertAlign w:val="baseline"/>
      </w:rPr>
    </w:lvl>
    <w:lvl w:ilvl="2">
      <w:start w:val="1"/>
      <w:numFmt w:val="bullet"/>
      <w:lvlText w:val="–"/>
      <w:lvlJc w:val="left"/>
      <w:pPr>
        <w:tabs>
          <w:tab w:val="num" w:pos="714"/>
        </w:tabs>
        <w:ind w:left="1434" w:hanging="363"/>
      </w:pPr>
      <w:rPr>
        <w:rFonts w:ascii="Tahoma" w:hAnsi="Tahoma" w:hint="default"/>
        <w:color w:val="auto"/>
        <w:sz w:val="20"/>
      </w:rPr>
    </w:lvl>
    <w:lvl w:ilvl="3">
      <w:start w:val="1"/>
      <w:numFmt w:val="bullet"/>
      <w:lvlText w:val="–"/>
      <w:lvlJc w:val="left"/>
      <w:pPr>
        <w:tabs>
          <w:tab w:val="num" w:pos="1071"/>
        </w:tabs>
        <w:ind w:left="1791" w:hanging="363"/>
      </w:pPr>
      <w:rPr>
        <w:rFonts w:ascii="Tahoma" w:hAnsi="Tahoma" w:hint="default"/>
        <w:color w:val="auto"/>
        <w:sz w:val="20"/>
      </w:rPr>
    </w:lvl>
    <w:lvl w:ilvl="4">
      <w:start w:val="1"/>
      <w:numFmt w:val="bullet"/>
      <w:lvlText w:val="–"/>
      <w:lvlJc w:val="left"/>
      <w:pPr>
        <w:tabs>
          <w:tab w:val="num" w:pos="1428"/>
        </w:tabs>
        <w:ind w:left="2148" w:hanging="363"/>
      </w:pPr>
      <w:rPr>
        <w:rFonts w:ascii="Tahoma" w:hAnsi="Tahoma" w:hint="default"/>
        <w:color w:val="auto"/>
        <w:sz w:val="20"/>
      </w:rPr>
    </w:lvl>
    <w:lvl w:ilvl="5">
      <w:start w:val="1"/>
      <w:numFmt w:val="bullet"/>
      <w:lvlText w:val="–"/>
      <w:lvlJc w:val="left"/>
      <w:pPr>
        <w:tabs>
          <w:tab w:val="num" w:pos="1785"/>
        </w:tabs>
        <w:ind w:left="2505" w:hanging="363"/>
      </w:pPr>
      <w:rPr>
        <w:rFonts w:ascii="Tahoma" w:hAnsi="Tahoma" w:hint="default"/>
        <w:color w:val="auto"/>
        <w:sz w:val="20"/>
      </w:rPr>
    </w:lvl>
    <w:lvl w:ilvl="6">
      <w:start w:val="1"/>
      <w:numFmt w:val="bullet"/>
      <w:lvlText w:val="–"/>
      <w:lvlJc w:val="left"/>
      <w:pPr>
        <w:tabs>
          <w:tab w:val="num" w:pos="2142"/>
        </w:tabs>
        <w:ind w:left="2862" w:hanging="363"/>
      </w:pPr>
      <w:rPr>
        <w:rFonts w:ascii="Tahoma" w:hAnsi="Tahoma" w:hint="default"/>
        <w:color w:val="auto"/>
        <w:sz w:val="20"/>
      </w:rPr>
    </w:lvl>
    <w:lvl w:ilvl="7">
      <w:start w:val="1"/>
      <w:numFmt w:val="bullet"/>
      <w:lvlText w:val="–"/>
      <w:lvlJc w:val="left"/>
      <w:pPr>
        <w:tabs>
          <w:tab w:val="num" w:pos="2499"/>
        </w:tabs>
        <w:ind w:left="3219" w:hanging="363"/>
      </w:pPr>
      <w:rPr>
        <w:rFonts w:ascii="Tahoma" w:hAnsi="Tahoma" w:hint="default"/>
        <w:color w:val="auto"/>
        <w:sz w:val="20"/>
      </w:rPr>
    </w:lvl>
    <w:lvl w:ilvl="8">
      <w:start w:val="1"/>
      <w:numFmt w:val="bullet"/>
      <w:lvlText w:val="–"/>
      <w:lvlJc w:val="left"/>
      <w:pPr>
        <w:tabs>
          <w:tab w:val="num" w:pos="2856"/>
        </w:tabs>
        <w:ind w:left="3576" w:hanging="363"/>
      </w:pPr>
      <w:rPr>
        <w:rFonts w:ascii="Tahoma" w:hAnsi="Tahoma" w:hint="default"/>
        <w:color w:val="auto"/>
        <w:sz w:val="20"/>
      </w:rPr>
    </w:lvl>
  </w:abstractNum>
  <w:abstractNum w:abstractNumId="13" w15:restartNumberingAfterBreak="0">
    <w:nsid w:val="3DC44AD9"/>
    <w:multiLevelType w:val="hybridMultilevel"/>
    <w:tmpl w:val="3CFCEDA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F0B400A"/>
    <w:multiLevelType w:val="hybridMultilevel"/>
    <w:tmpl w:val="718470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0106A77"/>
    <w:multiLevelType w:val="hybridMultilevel"/>
    <w:tmpl w:val="2480C5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26904F2"/>
    <w:multiLevelType w:val="hybridMultilevel"/>
    <w:tmpl w:val="D4E85A1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58C4CAD"/>
    <w:multiLevelType w:val="hybridMultilevel"/>
    <w:tmpl w:val="B372D450"/>
    <w:lvl w:ilvl="0" w:tplc="85F80020">
      <w:start w:val="1"/>
      <w:numFmt w:val="bullet"/>
      <w:pStyle w:val="List1"/>
      <w:lvlText w:val=""/>
      <w:lvlJc w:val="left"/>
      <w:pPr>
        <w:ind w:left="720" w:hanging="360"/>
      </w:pPr>
      <w:rPr>
        <w:rFonts w:ascii="Symbol" w:hAnsi="Symbol" w:hint="default"/>
        <w:color w:val="22294D"/>
      </w:rPr>
    </w:lvl>
    <w:lvl w:ilvl="1" w:tplc="0E6CACFC">
      <w:start w:val="1"/>
      <w:numFmt w:val="bullet"/>
      <w:pStyle w:val="Liste21"/>
      <w:lvlText w:val="o"/>
      <w:lvlJc w:val="left"/>
      <w:pPr>
        <w:ind w:left="1440" w:hanging="360"/>
      </w:pPr>
      <w:rPr>
        <w:rFonts w:ascii="Courier New" w:hAnsi="Courier New" w:hint="default"/>
        <w:color w:val="22294D"/>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6D21CDC"/>
    <w:multiLevelType w:val="hybridMultilevel"/>
    <w:tmpl w:val="FA10ED66"/>
    <w:lvl w:ilvl="0" w:tplc="EA8C86D6">
      <w:start w:val="1"/>
      <w:numFmt w:val="decimal"/>
      <w:pStyle w:val="EFSADocsprovided"/>
      <w:lvlText w:val="%1."/>
      <w:lvlJc w:val="left"/>
      <w:pPr>
        <w:tabs>
          <w:tab w:val="num" w:pos="567"/>
        </w:tabs>
        <w:ind w:left="567"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494926EC"/>
    <w:multiLevelType w:val="hybridMultilevel"/>
    <w:tmpl w:val="B860C7A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D307082"/>
    <w:multiLevelType w:val="multilevel"/>
    <w:tmpl w:val="F262585A"/>
    <w:lvl w:ilvl="0">
      <w:start w:val="1"/>
      <w:numFmt w:val="upperLetter"/>
      <w:pStyle w:val="EFSAAppendixtitle"/>
      <w:lvlText w:val="Appendix %1 "/>
      <w:lvlJc w:val="left"/>
      <w:pPr>
        <w:ind w:left="0" w:firstLine="0"/>
      </w:pPr>
      <w:rPr>
        <w:rFonts w:asciiTheme="majorHAnsi" w:hAnsiTheme="majorHAnsi" w:hint="default"/>
        <w:b/>
        <w:caps w:val="0"/>
      </w:rPr>
    </w:lvl>
    <w:lvl w:ilvl="1">
      <w:start w:val="1"/>
      <w:numFmt w:val="decimal"/>
      <w:pStyle w:val="EFSAAppendixlevel1"/>
      <w:lvlText w:val="%1.%2."/>
      <w:lvlJc w:val="left"/>
      <w:pPr>
        <w:ind w:left="0" w:firstLine="0"/>
      </w:pPr>
      <w:rPr>
        <w:rFonts w:hint="default"/>
      </w:rPr>
    </w:lvl>
    <w:lvl w:ilvl="2">
      <w:start w:val="1"/>
      <w:numFmt w:val="decimal"/>
      <w:pStyle w:val="EFSAAppendixlevel2"/>
      <w:lvlText w:val="%1.%2.%3."/>
      <w:lvlJc w:val="left"/>
      <w:pPr>
        <w:ind w:left="0" w:firstLine="0"/>
      </w:pPr>
      <w:rPr>
        <w:rFonts w:hint="default"/>
      </w:rPr>
    </w:lvl>
    <w:lvl w:ilvl="3">
      <w:start w:val="1"/>
      <w:numFmt w:val="decimal"/>
      <w:pStyle w:val="EFSAAppendixlevel3"/>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1" w15:restartNumberingAfterBreak="0">
    <w:nsid w:val="4EBF328E"/>
    <w:multiLevelType w:val="hybridMultilevel"/>
    <w:tmpl w:val="680857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14047BF"/>
    <w:multiLevelType w:val="hybridMultilevel"/>
    <w:tmpl w:val="7F0EA57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1696619"/>
    <w:multiLevelType w:val="hybridMultilevel"/>
    <w:tmpl w:val="0A34D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50312FB"/>
    <w:multiLevelType w:val="hybridMultilevel"/>
    <w:tmpl w:val="D1ECF3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657164E"/>
    <w:multiLevelType w:val="hybridMultilevel"/>
    <w:tmpl w:val="E9EA6270"/>
    <w:lvl w:ilvl="0" w:tplc="08BA18B6">
      <w:start w:val="1"/>
      <w:numFmt w:val="bullet"/>
      <w:pStyle w:val="EFSABullet2"/>
      <w:lvlText w:val="o"/>
      <w:lvlJc w:val="left"/>
      <w:pPr>
        <w:ind w:left="1287" w:hanging="360"/>
      </w:pPr>
      <w:rPr>
        <w:rFonts w:ascii="Courier New" w:hAnsi="Courier New" w:hint="default"/>
        <w:color w:val="22294D"/>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6" w15:restartNumberingAfterBreak="0">
    <w:nsid w:val="5741341D"/>
    <w:multiLevelType w:val="hybridMultilevel"/>
    <w:tmpl w:val="6E82E2F2"/>
    <w:lvl w:ilvl="0" w:tplc="33C20258">
      <w:start w:val="1"/>
      <w:numFmt w:val="decimal"/>
      <w:pStyle w:val="EFSAFiguretitle"/>
      <w:lvlText w:val="Figure %1: "/>
      <w:lvlJc w:val="left"/>
      <w:pPr>
        <w:ind w:left="360" w:hanging="360"/>
      </w:pPr>
      <w:rPr>
        <w:rFonts w:ascii="Verdana" w:hAnsi="Verdana" w:cs="Tahoma" w:hint="default"/>
        <w:b w:val="0"/>
        <w:i w:val="0"/>
        <w:caps w:val="0"/>
        <w:strike w:val="0"/>
        <w:dstrike w:val="0"/>
        <w:vanish w:val="0"/>
        <w:color w:val="22294D"/>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9113C91"/>
    <w:multiLevelType w:val="multilevel"/>
    <w:tmpl w:val="4E28DBE6"/>
    <w:styleLink w:val="Annexheadings"/>
    <w:lvl w:ilvl="0">
      <w:start w:val="1"/>
      <w:numFmt w:val="upperLetter"/>
      <w:lvlText w:val="Annex %1 "/>
      <w:lvlJc w:val="left"/>
      <w:pPr>
        <w:ind w:left="0" w:firstLine="0"/>
      </w:pPr>
      <w:rPr>
        <w:rFonts w:ascii="Tahoma" w:hAnsi="Tahoma" w:hint="default"/>
        <w: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8" w15:restartNumberingAfterBreak="0">
    <w:nsid w:val="5F0F0D72"/>
    <w:multiLevelType w:val="hybridMultilevel"/>
    <w:tmpl w:val="BACCDDE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6157E15"/>
    <w:multiLevelType w:val="hybridMultilevel"/>
    <w:tmpl w:val="9208DE98"/>
    <w:lvl w:ilvl="0" w:tplc="8B1294B6">
      <w:start w:val="1"/>
      <w:numFmt w:val="decimal"/>
      <w:pStyle w:val="EFSA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829379E"/>
    <w:multiLevelType w:val="multilevel"/>
    <w:tmpl w:val="8514F1C6"/>
    <w:lvl w:ilvl="0">
      <w:start w:val="1"/>
      <w:numFmt w:val="upperLetter"/>
      <w:pStyle w:val="EFSAAnnextitle"/>
      <w:lvlText w:val="Annex %1 "/>
      <w:lvlJc w:val="left"/>
      <w:pPr>
        <w:ind w:left="360" w:hanging="360"/>
      </w:pPr>
      <w:rPr>
        <w:rFonts w:ascii="Verdana" w:hAnsi="Verdana" w:hint="default"/>
        <w:b/>
        <w:i w:val="0"/>
        <w:sz w:val="28"/>
      </w:rPr>
    </w:lvl>
    <w:lvl w:ilvl="1">
      <w:start w:val="1"/>
      <w:numFmt w:val="decimal"/>
      <w:pStyle w:val="EFSAAnnexlevel1"/>
      <w:lvlText w:val="%1.%2."/>
      <w:lvlJc w:val="left"/>
      <w:pPr>
        <w:ind w:left="1440" w:hanging="1440"/>
      </w:pPr>
      <w:rPr>
        <w:rFonts w:hint="default"/>
      </w:rPr>
    </w:lvl>
    <w:lvl w:ilvl="2">
      <w:start w:val="1"/>
      <w:numFmt w:val="decimal"/>
      <w:pStyle w:val="EFSAAnnexlevel2"/>
      <w:lvlText w:val="%1.%2.%3."/>
      <w:lvlJc w:val="left"/>
      <w:pPr>
        <w:ind w:left="0" w:firstLine="0"/>
      </w:pPr>
      <w:rPr>
        <w:rFonts w:hint="default"/>
      </w:rPr>
    </w:lvl>
    <w:lvl w:ilvl="3">
      <w:start w:val="1"/>
      <w:numFmt w:val="decimal"/>
      <w:pStyle w:val="EFSAAnnexlevel3"/>
      <w:lvlText w:val="%1.%2.%3.%4"/>
      <w:lvlJc w:val="left"/>
      <w:pPr>
        <w:ind w:left="0" w:firstLine="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69E664FA"/>
    <w:multiLevelType w:val="hybridMultilevel"/>
    <w:tmpl w:val="3552FE6C"/>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32" w15:restartNumberingAfterBreak="0">
    <w:nsid w:val="6B9510F1"/>
    <w:multiLevelType w:val="multilevel"/>
    <w:tmpl w:val="10307744"/>
    <w:styleLink w:val="Liste1"/>
    <w:lvl w:ilvl="0">
      <w:start w:val="1"/>
      <w:numFmt w:val="bullet"/>
      <w:lvlText w:val=""/>
      <w:lvlJc w:val="left"/>
      <w:pPr>
        <w:ind w:left="720" w:hanging="360"/>
      </w:pPr>
      <w:rPr>
        <w:rFonts w:ascii="Symbol" w:hAnsi="Symbol" w:hint="default"/>
        <w:color w:val="38B292" w:themeColor="accent3"/>
      </w:rPr>
    </w:lvl>
    <w:lvl w:ilvl="1">
      <w:start w:val="1"/>
      <w:numFmt w:val="bullet"/>
      <w:lvlText w:val="o"/>
      <w:lvlJc w:val="left"/>
      <w:pPr>
        <w:ind w:left="1440" w:hanging="360"/>
      </w:pPr>
      <w:rPr>
        <w:rFonts w:ascii="Courier New" w:hAnsi="Courier New" w:hint="default"/>
        <w:color w:val="F9B112" w:themeColor="accent4"/>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1906E31"/>
    <w:multiLevelType w:val="hybridMultilevel"/>
    <w:tmpl w:val="4D62115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23F29CB"/>
    <w:multiLevelType w:val="multilevel"/>
    <w:tmpl w:val="2C5E6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28653B9"/>
    <w:multiLevelType w:val="hybridMultilevel"/>
    <w:tmpl w:val="5232E1E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5504D23"/>
    <w:multiLevelType w:val="multilevel"/>
    <w:tmpl w:val="1182F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97A1D3C"/>
    <w:multiLevelType w:val="multilevel"/>
    <w:tmpl w:val="4BC06B12"/>
    <w:lvl w:ilvl="0">
      <w:start w:val="1"/>
      <w:numFmt w:val="upperLetter"/>
      <w:lvlText w:val="Appendix %1 –"/>
      <w:lvlJc w:val="left"/>
      <w:pPr>
        <w:ind w:left="0" w:firstLine="0"/>
      </w:pPr>
      <w:rPr>
        <w:rFonts w:ascii="Tahoma" w:hAnsi="Tahoma" w:hint="default"/>
        <w: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pStyle w:val="EFSAAppendixlevel4"/>
      <w:lvlText w:val="%1.%2.%3.%4.%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8" w15:restartNumberingAfterBreak="0">
    <w:nsid w:val="79C24798"/>
    <w:multiLevelType w:val="hybridMultilevel"/>
    <w:tmpl w:val="4EEAFED6"/>
    <w:lvl w:ilvl="0" w:tplc="352C277E">
      <w:start w:val="1"/>
      <w:numFmt w:val="decimal"/>
      <w:pStyle w:val="EFSATabletitle"/>
      <w:lvlText w:val="Table %1: "/>
      <w:lvlJc w:val="left"/>
      <w:pPr>
        <w:ind w:left="360" w:hanging="360"/>
      </w:pPr>
      <w:rPr>
        <w:rFonts w:ascii="Verdana" w:hAnsi="Verdana" w:cs="Tahoma" w:hint="default"/>
        <w:b w:val="0"/>
        <w:i w:val="0"/>
        <w:caps w:val="0"/>
        <w:strike w:val="0"/>
        <w:dstrike w:val="0"/>
        <w:vanish w:val="0"/>
        <w:color w:val="22294D"/>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9" w15:restartNumberingAfterBreak="0">
    <w:nsid w:val="7D34036A"/>
    <w:multiLevelType w:val="multilevel"/>
    <w:tmpl w:val="CFBCFAF0"/>
    <w:lvl w:ilvl="0">
      <w:start w:val="1"/>
      <w:numFmt w:val="bullet"/>
      <w:pStyle w:val="EFSABullet1"/>
      <w:lvlText w:val=""/>
      <w:lvlJc w:val="left"/>
      <w:pPr>
        <w:tabs>
          <w:tab w:val="num" w:pos="0"/>
        </w:tabs>
        <w:ind w:left="720" w:hanging="360"/>
      </w:pPr>
      <w:rPr>
        <w:rFonts w:ascii="Symbol" w:hAnsi="Symbol" w:hint="default"/>
      </w:rPr>
    </w:lvl>
    <w:lvl w:ilvl="1">
      <w:start w:val="1"/>
      <w:numFmt w:val="bullet"/>
      <w:lvlText w:val="–"/>
      <w:lvlJc w:val="left"/>
      <w:pPr>
        <w:tabs>
          <w:tab w:val="num" w:pos="0"/>
        </w:tabs>
        <w:ind w:left="1440" w:hanging="360"/>
      </w:pPr>
      <w:rPr>
        <w:rFonts w:ascii="Tahoma" w:hAnsi="Tahoma" w:hint="default"/>
        <w:color w:val="auto"/>
        <w:sz w:val="20"/>
      </w:rPr>
    </w:lvl>
    <w:lvl w:ilvl="2">
      <w:start w:val="1"/>
      <w:numFmt w:val="bullet"/>
      <w:lvlText w:val="–"/>
      <w:lvlJc w:val="left"/>
      <w:pPr>
        <w:tabs>
          <w:tab w:val="num" w:pos="0"/>
        </w:tabs>
        <w:ind w:left="2160" w:hanging="360"/>
      </w:pPr>
      <w:rPr>
        <w:rFonts w:ascii="Tahoma" w:hAnsi="Tahoma" w:hint="default"/>
        <w:color w:val="auto"/>
        <w:sz w:val="20"/>
      </w:rPr>
    </w:lvl>
    <w:lvl w:ilvl="3">
      <w:start w:val="1"/>
      <w:numFmt w:val="bullet"/>
      <w:lvlText w:val="–"/>
      <w:lvlJc w:val="left"/>
      <w:pPr>
        <w:tabs>
          <w:tab w:val="num" w:pos="0"/>
        </w:tabs>
        <w:ind w:left="2880" w:hanging="360"/>
      </w:pPr>
      <w:rPr>
        <w:rFonts w:ascii="Tahoma" w:hAnsi="Tahoma" w:hint="default"/>
        <w:color w:val="auto"/>
        <w:sz w:val="20"/>
      </w:rPr>
    </w:lvl>
    <w:lvl w:ilvl="4">
      <w:start w:val="1"/>
      <w:numFmt w:val="bullet"/>
      <w:lvlText w:val="–"/>
      <w:lvlJc w:val="left"/>
      <w:pPr>
        <w:tabs>
          <w:tab w:val="num" w:pos="0"/>
        </w:tabs>
        <w:ind w:left="3600" w:hanging="360"/>
      </w:pPr>
      <w:rPr>
        <w:rFonts w:ascii="Tahoma" w:hAnsi="Tahoma" w:hint="default"/>
        <w:color w:val="auto"/>
        <w:sz w:val="20"/>
      </w:rPr>
    </w:lvl>
    <w:lvl w:ilvl="5">
      <w:start w:val="1"/>
      <w:numFmt w:val="bullet"/>
      <w:lvlText w:val="–"/>
      <w:lvlJc w:val="left"/>
      <w:pPr>
        <w:tabs>
          <w:tab w:val="num" w:pos="0"/>
        </w:tabs>
        <w:ind w:left="4320" w:hanging="360"/>
      </w:pPr>
      <w:rPr>
        <w:rFonts w:ascii="Tahoma" w:hAnsi="Tahoma" w:hint="default"/>
        <w:color w:val="auto"/>
        <w:sz w:val="20"/>
      </w:rPr>
    </w:lvl>
    <w:lvl w:ilvl="6">
      <w:start w:val="1"/>
      <w:numFmt w:val="bullet"/>
      <w:lvlText w:val="–"/>
      <w:lvlJc w:val="left"/>
      <w:pPr>
        <w:tabs>
          <w:tab w:val="num" w:pos="0"/>
        </w:tabs>
        <w:ind w:left="5040" w:hanging="360"/>
      </w:pPr>
      <w:rPr>
        <w:rFonts w:ascii="Tahoma" w:hAnsi="Tahoma" w:hint="default"/>
        <w:color w:val="auto"/>
        <w:sz w:val="20"/>
      </w:rPr>
    </w:lvl>
    <w:lvl w:ilvl="7">
      <w:start w:val="1"/>
      <w:numFmt w:val="bullet"/>
      <w:lvlText w:val="–"/>
      <w:lvlJc w:val="left"/>
      <w:pPr>
        <w:tabs>
          <w:tab w:val="num" w:pos="0"/>
        </w:tabs>
        <w:ind w:left="5760" w:hanging="360"/>
      </w:pPr>
      <w:rPr>
        <w:rFonts w:ascii="Tahoma" w:hAnsi="Tahoma" w:cs="Courier New" w:hint="default"/>
        <w:color w:val="auto"/>
        <w:sz w:val="20"/>
      </w:rPr>
    </w:lvl>
    <w:lvl w:ilvl="8">
      <w:start w:val="1"/>
      <w:numFmt w:val="bullet"/>
      <w:lvlText w:val="–"/>
      <w:lvlJc w:val="left"/>
      <w:pPr>
        <w:tabs>
          <w:tab w:val="num" w:pos="0"/>
        </w:tabs>
        <w:ind w:left="6480" w:hanging="360"/>
      </w:pPr>
      <w:rPr>
        <w:rFonts w:ascii="Tahoma" w:hAnsi="Tahoma" w:hint="default"/>
        <w:color w:val="auto"/>
        <w:sz w:val="20"/>
      </w:rPr>
    </w:lvl>
  </w:abstractNum>
  <w:abstractNum w:abstractNumId="40" w15:restartNumberingAfterBreak="0">
    <w:nsid w:val="7E7F2A45"/>
    <w:multiLevelType w:val="hybridMultilevel"/>
    <w:tmpl w:val="812CE8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1267056">
    <w:abstractNumId w:val="5"/>
  </w:num>
  <w:num w:numId="2" w16cid:durableId="1616130433">
    <w:abstractNumId w:val="17"/>
  </w:num>
  <w:num w:numId="3" w16cid:durableId="16279398">
    <w:abstractNumId w:val="32"/>
  </w:num>
  <w:num w:numId="4" w16cid:durableId="1150051999">
    <w:abstractNumId w:val="7"/>
  </w:num>
  <w:num w:numId="5" w16cid:durableId="1819757828">
    <w:abstractNumId w:val="39"/>
  </w:num>
  <w:num w:numId="6" w16cid:durableId="1364985734">
    <w:abstractNumId w:val="18"/>
  </w:num>
  <w:num w:numId="7" w16cid:durableId="250286162">
    <w:abstractNumId w:val="26"/>
  </w:num>
  <w:num w:numId="8" w16cid:durableId="1608929774">
    <w:abstractNumId w:val="12"/>
  </w:num>
  <w:num w:numId="9" w16cid:durableId="1845128867">
    <w:abstractNumId w:val="29"/>
  </w:num>
  <w:num w:numId="10" w16cid:durableId="767120644">
    <w:abstractNumId w:val="38"/>
  </w:num>
  <w:num w:numId="11" w16cid:durableId="1160191126">
    <w:abstractNumId w:val="30"/>
  </w:num>
  <w:num w:numId="12" w16cid:durableId="1535774516">
    <w:abstractNumId w:val="20"/>
  </w:num>
  <w:num w:numId="13" w16cid:durableId="2144424433">
    <w:abstractNumId w:val="37"/>
  </w:num>
  <w:num w:numId="14" w16cid:durableId="1751343251">
    <w:abstractNumId w:val="1"/>
  </w:num>
  <w:num w:numId="15" w16cid:durableId="1670254280">
    <w:abstractNumId w:val="25"/>
  </w:num>
  <w:num w:numId="16" w16cid:durableId="741026537">
    <w:abstractNumId w:val="27"/>
  </w:num>
  <w:num w:numId="17" w16cid:durableId="869801139">
    <w:abstractNumId w:val="40"/>
  </w:num>
  <w:num w:numId="18" w16cid:durableId="716928218">
    <w:abstractNumId w:val="16"/>
  </w:num>
  <w:num w:numId="19" w16cid:durableId="819272753">
    <w:abstractNumId w:val="23"/>
  </w:num>
  <w:num w:numId="20" w16cid:durableId="1195575124">
    <w:abstractNumId w:val="6"/>
  </w:num>
  <w:num w:numId="21" w16cid:durableId="1520849501">
    <w:abstractNumId w:val="19"/>
  </w:num>
  <w:num w:numId="22" w16cid:durableId="197935528">
    <w:abstractNumId w:val="35"/>
  </w:num>
  <w:num w:numId="23" w16cid:durableId="202601634">
    <w:abstractNumId w:val="8"/>
  </w:num>
  <w:num w:numId="24" w16cid:durableId="711883394">
    <w:abstractNumId w:val="14"/>
  </w:num>
  <w:num w:numId="25" w16cid:durableId="856315150">
    <w:abstractNumId w:val="24"/>
  </w:num>
  <w:num w:numId="26" w16cid:durableId="1386028360">
    <w:abstractNumId w:val="2"/>
  </w:num>
  <w:num w:numId="27" w16cid:durableId="2048528769">
    <w:abstractNumId w:val="21"/>
  </w:num>
  <w:num w:numId="28" w16cid:durableId="805125227">
    <w:abstractNumId w:val="31"/>
  </w:num>
  <w:num w:numId="29" w16cid:durableId="333536392">
    <w:abstractNumId w:val="28"/>
  </w:num>
  <w:num w:numId="30" w16cid:durableId="256863708">
    <w:abstractNumId w:val="33"/>
  </w:num>
  <w:num w:numId="31" w16cid:durableId="1351372543">
    <w:abstractNumId w:val="9"/>
  </w:num>
  <w:num w:numId="32" w16cid:durableId="1644240231">
    <w:abstractNumId w:val="15"/>
  </w:num>
  <w:num w:numId="33" w16cid:durableId="735203377">
    <w:abstractNumId w:val="10"/>
  </w:num>
  <w:num w:numId="34" w16cid:durableId="1038821248">
    <w:abstractNumId w:val="13"/>
  </w:num>
  <w:num w:numId="35" w16cid:durableId="277445467">
    <w:abstractNumId w:val="36"/>
  </w:num>
  <w:num w:numId="36" w16cid:durableId="856428945">
    <w:abstractNumId w:val="34"/>
  </w:num>
  <w:num w:numId="37" w16cid:durableId="165443574">
    <w:abstractNumId w:val="0"/>
  </w:num>
  <w:num w:numId="38" w16cid:durableId="1912278286">
    <w:abstractNumId w:val="11"/>
  </w:num>
  <w:num w:numId="39" w16cid:durableId="144049741">
    <w:abstractNumId w:val="22"/>
  </w:num>
  <w:num w:numId="40" w16cid:durableId="1489244381">
    <w:abstractNumId w:val="4"/>
  </w:num>
  <w:num w:numId="41" w16cid:durableId="332034643">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linkStyle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0DA7"/>
    <w:rsid w:val="000009B3"/>
    <w:rsid w:val="00000C16"/>
    <w:rsid w:val="0000143D"/>
    <w:rsid w:val="000032E0"/>
    <w:rsid w:val="00004E62"/>
    <w:rsid w:val="00006CE0"/>
    <w:rsid w:val="00006F24"/>
    <w:rsid w:val="0000707B"/>
    <w:rsid w:val="00007913"/>
    <w:rsid w:val="00010158"/>
    <w:rsid w:val="00013510"/>
    <w:rsid w:val="00013876"/>
    <w:rsid w:val="000141C8"/>
    <w:rsid w:val="00015F16"/>
    <w:rsid w:val="00016D78"/>
    <w:rsid w:val="00017FD8"/>
    <w:rsid w:val="000203D5"/>
    <w:rsid w:val="000214F3"/>
    <w:rsid w:val="0002188D"/>
    <w:rsid w:val="00022D16"/>
    <w:rsid w:val="000231AF"/>
    <w:rsid w:val="00026B61"/>
    <w:rsid w:val="00026FAF"/>
    <w:rsid w:val="000274C6"/>
    <w:rsid w:val="0003081C"/>
    <w:rsid w:val="0003350E"/>
    <w:rsid w:val="00033CF4"/>
    <w:rsid w:val="000352C5"/>
    <w:rsid w:val="00036605"/>
    <w:rsid w:val="000369AF"/>
    <w:rsid w:val="00037443"/>
    <w:rsid w:val="00037974"/>
    <w:rsid w:val="00037A4E"/>
    <w:rsid w:val="00037AA3"/>
    <w:rsid w:val="00037BF0"/>
    <w:rsid w:val="00040BB8"/>
    <w:rsid w:val="00042177"/>
    <w:rsid w:val="000426DF"/>
    <w:rsid w:val="000427D1"/>
    <w:rsid w:val="000430DC"/>
    <w:rsid w:val="000442AA"/>
    <w:rsid w:val="0004433F"/>
    <w:rsid w:val="0004523D"/>
    <w:rsid w:val="00047569"/>
    <w:rsid w:val="00047FF7"/>
    <w:rsid w:val="00050722"/>
    <w:rsid w:val="00051183"/>
    <w:rsid w:val="000525FF"/>
    <w:rsid w:val="00052C97"/>
    <w:rsid w:val="0005309F"/>
    <w:rsid w:val="0005375A"/>
    <w:rsid w:val="000545AF"/>
    <w:rsid w:val="00054644"/>
    <w:rsid w:val="00055059"/>
    <w:rsid w:val="00055283"/>
    <w:rsid w:val="000555C6"/>
    <w:rsid w:val="00055A63"/>
    <w:rsid w:val="000569A3"/>
    <w:rsid w:val="0005776B"/>
    <w:rsid w:val="0006041E"/>
    <w:rsid w:val="00060534"/>
    <w:rsid w:val="0006108F"/>
    <w:rsid w:val="00061205"/>
    <w:rsid w:val="00061913"/>
    <w:rsid w:val="000629BE"/>
    <w:rsid w:val="00062AD4"/>
    <w:rsid w:val="00062F3C"/>
    <w:rsid w:val="00063032"/>
    <w:rsid w:val="000631C5"/>
    <w:rsid w:val="000643DB"/>
    <w:rsid w:val="000658B7"/>
    <w:rsid w:val="00067CFD"/>
    <w:rsid w:val="0007063C"/>
    <w:rsid w:val="00070DEF"/>
    <w:rsid w:val="000719C0"/>
    <w:rsid w:val="000747FA"/>
    <w:rsid w:val="0007501C"/>
    <w:rsid w:val="00075D66"/>
    <w:rsid w:val="00075FD8"/>
    <w:rsid w:val="0007639B"/>
    <w:rsid w:val="00077390"/>
    <w:rsid w:val="000778D8"/>
    <w:rsid w:val="00077D16"/>
    <w:rsid w:val="00080527"/>
    <w:rsid w:val="00080EF1"/>
    <w:rsid w:val="00082B02"/>
    <w:rsid w:val="00084436"/>
    <w:rsid w:val="00084D91"/>
    <w:rsid w:val="000850F8"/>
    <w:rsid w:val="00085E1E"/>
    <w:rsid w:val="00087B64"/>
    <w:rsid w:val="00092878"/>
    <w:rsid w:val="00093E87"/>
    <w:rsid w:val="00094CDB"/>
    <w:rsid w:val="00096ED3"/>
    <w:rsid w:val="000978FB"/>
    <w:rsid w:val="000A01F3"/>
    <w:rsid w:val="000A183D"/>
    <w:rsid w:val="000A1A08"/>
    <w:rsid w:val="000A1FD4"/>
    <w:rsid w:val="000A394E"/>
    <w:rsid w:val="000A4F77"/>
    <w:rsid w:val="000A75FF"/>
    <w:rsid w:val="000A78F0"/>
    <w:rsid w:val="000A7AA5"/>
    <w:rsid w:val="000B023C"/>
    <w:rsid w:val="000B08A0"/>
    <w:rsid w:val="000B168A"/>
    <w:rsid w:val="000B301A"/>
    <w:rsid w:val="000B37C1"/>
    <w:rsid w:val="000B4966"/>
    <w:rsid w:val="000B5BB1"/>
    <w:rsid w:val="000B5F20"/>
    <w:rsid w:val="000C0997"/>
    <w:rsid w:val="000C1588"/>
    <w:rsid w:val="000C3D69"/>
    <w:rsid w:val="000C3FBE"/>
    <w:rsid w:val="000C5FCE"/>
    <w:rsid w:val="000C7F20"/>
    <w:rsid w:val="000C7FB9"/>
    <w:rsid w:val="000D2097"/>
    <w:rsid w:val="000D2199"/>
    <w:rsid w:val="000D23E8"/>
    <w:rsid w:val="000D405B"/>
    <w:rsid w:val="000D4ADC"/>
    <w:rsid w:val="000D4D97"/>
    <w:rsid w:val="000D51E3"/>
    <w:rsid w:val="000D6C5E"/>
    <w:rsid w:val="000E1A4E"/>
    <w:rsid w:val="000E1CFF"/>
    <w:rsid w:val="000E2BA7"/>
    <w:rsid w:val="000E3739"/>
    <w:rsid w:val="000E50F1"/>
    <w:rsid w:val="000E547E"/>
    <w:rsid w:val="000E6AC6"/>
    <w:rsid w:val="000F2789"/>
    <w:rsid w:val="000F382B"/>
    <w:rsid w:val="000F3C6F"/>
    <w:rsid w:val="000F66E5"/>
    <w:rsid w:val="000F6C43"/>
    <w:rsid w:val="000F6DB5"/>
    <w:rsid w:val="000F7633"/>
    <w:rsid w:val="000F7E3F"/>
    <w:rsid w:val="00100AF0"/>
    <w:rsid w:val="00101F1C"/>
    <w:rsid w:val="00102BF2"/>
    <w:rsid w:val="00104C6B"/>
    <w:rsid w:val="00105336"/>
    <w:rsid w:val="00106FDE"/>
    <w:rsid w:val="00110F14"/>
    <w:rsid w:val="001120A9"/>
    <w:rsid w:val="0011270D"/>
    <w:rsid w:val="00112A77"/>
    <w:rsid w:val="00113652"/>
    <w:rsid w:val="001166C8"/>
    <w:rsid w:val="00117353"/>
    <w:rsid w:val="0011746C"/>
    <w:rsid w:val="001272E1"/>
    <w:rsid w:val="00127514"/>
    <w:rsid w:val="00127F2F"/>
    <w:rsid w:val="00132264"/>
    <w:rsid w:val="00132F37"/>
    <w:rsid w:val="00133568"/>
    <w:rsid w:val="00133CEF"/>
    <w:rsid w:val="00134204"/>
    <w:rsid w:val="0013551B"/>
    <w:rsid w:val="001369B0"/>
    <w:rsid w:val="00140042"/>
    <w:rsid w:val="00140053"/>
    <w:rsid w:val="001404CB"/>
    <w:rsid w:val="00142D01"/>
    <w:rsid w:val="00142DA2"/>
    <w:rsid w:val="0014399A"/>
    <w:rsid w:val="00143D08"/>
    <w:rsid w:val="001448A9"/>
    <w:rsid w:val="00145AB9"/>
    <w:rsid w:val="0014647F"/>
    <w:rsid w:val="00147A8B"/>
    <w:rsid w:val="00150C32"/>
    <w:rsid w:val="00155796"/>
    <w:rsid w:val="00156475"/>
    <w:rsid w:val="00156696"/>
    <w:rsid w:val="00156AEB"/>
    <w:rsid w:val="00156C12"/>
    <w:rsid w:val="00160C22"/>
    <w:rsid w:val="0016155C"/>
    <w:rsid w:val="001638AF"/>
    <w:rsid w:val="0016586D"/>
    <w:rsid w:val="00165E6C"/>
    <w:rsid w:val="00167CDD"/>
    <w:rsid w:val="00167CEF"/>
    <w:rsid w:val="00170F23"/>
    <w:rsid w:val="0017179D"/>
    <w:rsid w:val="001717D4"/>
    <w:rsid w:val="00171AC4"/>
    <w:rsid w:val="00171DE2"/>
    <w:rsid w:val="00171F15"/>
    <w:rsid w:val="00172501"/>
    <w:rsid w:val="001743E6"/>
    <w:rsid w:val="00174414"/>
    <w:rsid w:val="00176486"/>
    <w:rsid w:val="0017778C"/>
    <w:rsid w:val="00180871"/>
    <w:rsid w:val="001813A4"/>
    <w:rsid w:val="0018153F"/>
    <w:rsid w:val="001818D2"/>
    <w:rsid w:val="00182556"/>
    <w:rsid w:val="00183CAB"/>
    <w:rsid w:val="00185722"/>
    <w:rsid w:val="0018725E"/>
    <w:rsid w:val="00187264"/>
    <w:rsid w:val="00190109"/>
    <w:rsid w:val="00192CED"/>
    <w:rsid w:val="00193060"/>
    <w:rsid w:val="001938FD"/>
    <w:rsid w:val="001942E8"/>
    <w:rsid w:val="0019456B"/>
    <w:rsid w:val="001952CF"/>
    <w:rsid w:val="00195365"/>
    <w:rsid w:val="00197C15"/>
    <w:rsid w:val="001A18EF"/>
    <w:rsid w:val="001A315C"/>
    <w:rsid w:val="001A436D"/>
    <w:rsid w:val="001A51C1"/>
    <w:rsid w:val="001A523A"/>
    <w:rsid w:val="001A57B2"/>
    <w:rsid w:val="001A6314"/>
    <w:rsid w:val="001A7350"/>
    <w:rsid w:val="001A739A"/>
    <w:rsid w:val="001B35C7"/>
    <w:rsid w:val="001B3CE8"/>
    <w:rsid w:val="001B423C"/>
    <w:rsid w:val="001B44BB"/>
    <w:rsid w:val="001B5955"/>
    <w:rsid w:val="001C56CB"/>
    <w:rsid w:val="001C64D4"/>
    <w:rsid w:val="001C6834"/>
    <w:rsid w:val="001C6889"/>
    <w:rsid w:val="001D03BF"/>
    <w:rsid w:val="001D1B42"/>
    <w:rsid w:val="001D33E3"/>
    <w:rsid w:val="001D5120"/>
    <w:rsid w:val="001D599A"/>
    <w:rsid w:val="001E0F94"/>
    <w:rsid w:val="001E1BE2"/>
    <w:rsid w:val="001E1EEC"/>
    <w:rsid w:val="001E2630"/>
    <w:rsid w:val="001E27DC"/>
    <w:rsid w:val="001E649A"/>
    <w:rsid w:val="001E658D"/>
    <w:rsid w:val="001E6A7F"/>
    <w:rsid w:val="001E78B8"/>
    <w:rsid w:val="001E7BA8"/>
    <w:rsid w:val="001F0581"/>
    <w:rsid w:val="001F1C92"/>
    <w:rsid w:val="001F2335"/>
    <w:rsid w:val="001F2575"/>
    <w:rsid w:val="001F4387"/>
    <w:rsid w:val="001F4527"/>
    <w:rsid w:val="001F4ACB"/>
    <w:rsid w:val="001F4F15"/>
    <w:rsid w:val="001F505E"/>
    <w:rsid w:val="001F5D05"/>
    <w:rsid w:val="001F65A1"/>
    <w:rsid w:val="001F7C90"/>
    <w:rsid w:val="00205FFC"/>
    <w:rsid w:val="00206F97"/>
    <w:rsid w:val="00207292"/>
    <w:rsid w:val="0020741A"/>
    <w:rsid w:val="00210D27"/>
    <w:rsid w:val="002123DC"/>
    <w:rsid w:val="00212E8F"/>
    <w:rsid w:val="002150FF"/>
    <w:rsid w:val="00215A91"/>
    <w:rsid w:val="00215C0E"/>
    <w:rsid w:val="00216E0D"/>
    <w:rsid w:val="002216A4"/>
    <w:rsid w:val="00224824"/>
    <w:rsid w:val="00224CE2"/>
    <w:rsid w:val="00224FE0"/>
    <w:rsid w:val="002252DB"/>
    <w:rsid w:val="00225336"/>
    <w:rsid w:val="00227B4D"/>
    <w:rsid w:val="002303C9"/>
    <w:rsid w:val="00230CA5"/>
    <w:rsid w:val="00231A09"/>
    <w:rsid w:val="00231EFF"/>
    <w:rsid w:val="00232E9C"/>
    <w:rsid w:val="00232F17"/>
    <w:rsid w:val="00232F91"/>
    <w:rsid w:val="0023592D"/>
    <w:rsid w:val="0023679F"/>
    <w:rsid w:val="0023699E"/>
    <w:rsid w:val="00242634"/>
    <w:rsid w:val="00242C34"/>
    <w:rsid w:val="00242DE7"/>
    <w:rsid w:val="00244DE2"/>
    <w:rsid w:val="00246E75"/>
    <w:rsid w:val="00247849"/>
    <w:rsid w:val="00247AFB"/>
    <w:rsid w:val="002510F2"/>
    <w:rsid w:val="00252589"/>
    <w:rsid w:val="0025301B"/>
    <w:rsid w:val="002538E6"/>
    <w:rsid w:val="00253A2C"/>
    <w:rsid w:val="00253DD2"/>
    <w:rsid w:val="002542F7"/>
    <w:rsid w:val="002548DE"/>
    <w:rsid w:val="00254B1C"/>
    <w:rsid w:val="00255BD7"/>
    <w:rsid w:val="00256696"/>
    <w:rsid w:val="00260714"/>
    <w:rsid w:val="00263A95"/>
    <w:rsid w:val="00265BC9"/>
    <w:rsid w:val="00270527"/>
    <w:rsid w:val="00270D9A"/>
    <w:rsid w:val="00271B9B"/>
    <w:rsid w:val="00272271"/>
    <w:rsid w:val="00272583"/>
    <w:rsid w:val="00272610"/>
    <w:rsid w:val="0027469C"/>
    <w:rsid w:val="00274885"/>
    <w:rsid w:val="00275150"/>
    <w:rsid w:val="00275A60"/>
    <w:rsid w:val="0027682F"/>
    <w:rsid w:val="00277BD9"/>
    <w:rsid w:val="00280253"/>
    <w:rsid w:val="0028089F"/>
    <w:rsid w:val="002810AE"/>
    <w:rsid w:val="002813C5"/>
    <w:rsid w:val="00282CE6"/>
    <w:rsid w:val="00282FD8"/>
    <w:rsid w:val="00283602"/>
    <w:rsid w:val="002848EB"/>
    <w:rsid w:val="0028614F"/>
    <w:rsid w:val="00286ACB"/>
    <w:rsid w:val="002874A4"/>
    <w:rsid w:val="002877AC"/>
    <w:rsid w:val="00291449"/>
    <w:rsid w:val="002937FC"/>
    <w:rsid w:val="00295D86"/>
    <w:rsid w:val="00296381"/>
    <w:rsid w:val="00296ABB"/>
    <w:rsid w:val="0029764E"/>
    <w:rsid w:val="002A137F"/>
    <w:rsid w:val="002A1E12"/>
    <w:rsid w:val="002A2047"/>
    <w:rsid w:val="002A413C"/>
    <w:rsid w:val="002A489E"/>
    <w:rsid w:val="002A6AAA"/>
    <w:rsid w:val="002B03C6"/>
    <w:rsid w:val="002B072F"/>
    <w:rsid w:val="002B0ABD"/>
    <w:rsid w:val="002B1F23"/>
    <w:rsid w:val="002B207E"/>
    <w:rsid w:val="002B4BC0"/>
    <w:rsid w:val="002B71AA"/>
    <w:rsid w:val="002C13B0"/>
    <w:rsid w:val="002C2260"/>
    <w:rsid w:val="002C2866"/>
    <w:rsid w:val="002C4313"/>
    <w:rsid w:val="002C481F"/>
    <w:rsid w:val="002C5245"/>
    <w:rsid w:val="002C574F"/>
    <w:rsid w:val="002D0195"/>
    <w:rsid w:val="002D2D8D"/>
    <w:rsid w:val="002D3196"/>
    <w:rsid w:val="002D325D"/>
    <w:rsid w:val="002D356D"/>
    <w:rsid w:val="002D55D4"/>
    <w:rsid w:val="002D5916"/>
    <w:rsid w:val="002D6AAC"/>
    <w:rsid w:val="002E004F"/>
    <w:rsid w:val="002E0F8B"/>
    <w:rsid w:val="002E2B39"/>
    <w:rsid w:val="002E7BB2"/>
    <w:rsid w:val="002F0B97"/>
    <w:rsid w:val="002F1106"/>
    <w:rsid w:val="002F12AD"/>
    <w:rsid w:val="002F1659"/>
    <w:rsid w:val="002F327E"/>
    <w:rsid w:val="002F4207"/>
    <w:rsid w:val="002F4F74"/>
    <w:rsid w:val="002F6965"/>
    <w:rsid w:val="002F6AC8"/>
    <w:rsid w:val="00300517"/>
    <w:rsid w:val="00300A83"/>
    <w:rsid w:val="0030243A"/>
    <w:rsid w:val="003043C9"/>
    <w:rsid w:val="003049D6"/>
    <w:rsid w:val="00307CA8"/>
    <w:rsid w:val="00307EA7"/>
    <w:rsid w:val="003107C4"/>
    <w:rsid w:val="00311AAE"/>
    <w:rsid w:val="00312BEF"/>
    <w:rsid w:val="0031344C"/>
    <w:rsid w:val="003139BA"/>
    <w:rsid w:val="00314301"/>
    <w:rsid w:val="0031475B"/>
    <w:rsid w:val="003148BE"/>
    <w:rsid w:val="0031682C"/>
    <w:rsid w:val="00321A0D"/>
    <w:rsid w:val="0032734F"/>
    <w:rsid w:val="00331355"/>
    <w:rsid w:val="00332562"/>
    <w:rsid w:val="00333113"/>
    <w:rsid w:val="00333E13"/>
    <w:rsid w:val="0033468D"/>
    <w:rsid w:val="0033666A"/>
    <w:rsid w:val="00337613"/>
    <w:rsid w:val="00337A19"/>
    <w:rsid w:val="00340552"/>
    <w:rsid w:val="0034069A"/>
    <w:rsid w:val="0034088A"/>
    <w:rsid w:val="003411F2"/>
    <w:rsid w:val="0034153B"/>
    <w:rsid w:val="0034496A"/>
    <w:rsid w:val="00344BA0"/>
    <w:rsid w:val="00344D17"/>
    <w:rsid w:val="00344EEE"/>
    <w:rsid w:val="00345E5A"/>
    <w:rsid w:val="00346A4D"/>
    <w:rsid w:val="00346C04"/>
    <w:rsid w:val="00351176"/>
    <w:rsid w:val="00351EE7"/>
    <w:rsid w:val="00352854"/>
    <w:rsid w:val="00352E00"/>
    <w:rsid w:val="00353E89"/>
    <w:rsid w:val="00353FAD"/>
    <w:rsid w:val="0035487D"/>
    <w:rsid w:val="003574F7"/>
    <w:rsid w:val="00357EFD"/>
    <w:rsid w:val="0036002C"/>
    <w:rsid w:val="003608AE"/>
    <w:rsid w:val="003610E2"/>
    <w:rsid w:val="00361F09"/>
    <w:rsid w:val="00362070"/>
    <w:rsid w:val="003624A4"/>
    <w:rsid w:val="00363FA0"/>
    <w:rsid w:val="003644D1"/>
    <w:rsid w:val="0036454B"/>
    <w:rsid w:val="00365393"/>
    <w:rsid w:val="0036574E"/>
    <w:rsid w:val="003657EC"/>
    <w:rsid w:val="0036628C"/>
    <w:rsid w:val="003679EE"/>
    <w:rsid w:val="00370EF9"/>
    <w:rsid w:val="00371788"/>
    <w:rsid w:val="003722E5"/>
    <w:rsid w:val="003736A6"/>
    <w:rsid w:val="00377656"/>
    <w:rsid w:val="003805CC"/>
    <w:rsid w:val="00382FA5"/>
    <w:rsid w:val="003847BE"/>
    <w:rsid w:val="003857D4"/>
    <w:rsid w:val="003877B8"/>
    <w:rsid w:val="00387D09"/>
    <w:rsid w:val="0039017F"/>
    <w:rsid w:val="00391D96"/>
    <w:rsid w:val="003938D7"/>
    <w:rsid w:val="003943F0"/>
    <w:rsid w:val="003945AF"/>
    <w:rsid w:val="00395602"/>
    <w:rsid w:val="003979FE"/>
    <w:rsid w:val="003A0A27"/>
    <w:rsid w:val="003A2B46"/>
    <w:rsid w:val="003A4250"/>
    <w:rsid w:val="003A6B76"/>
    <w:rsid w:val="003A6DFE"/>
    <w:rsid w:val="003B0C2A"/>
    <w:rsid w:val="003B1D69"/>
    <w:rsid w:val="003B25AF"/>
    <w:rsid w:val="003B2AF4"/>
    <w:rsid w:val="003B3C77"/>
    <w:rsid w:val="003B40F9"/>
    <w:rsid w:val="003B4761"/>
    <w:rsid w:val="003B6168"/>
    <w:rsid w:val="003B6536"/>
    <w:rsid w:val="003B6E0A"/>
    <w:rsid w:val="003C06F0"/>
    <w:rsid w:val="003C0E84"/>
    <w:rsid w:val="003C1909"/>
    <w:rsid w:val="003C2814"/>
    <w:rsid w:val="003C2937"/>
    <w:rsid w:val="003C2B93"/>
    <w:rsid w:val="003C360E"/>
    <w:rsid w:val="003C4C4C"/>
    <w:rsid w:val="003C52EC"/>
    <w:rsid w:val="003C5925"/>
    <w:rsid w:val="003C68EF"/>
    <w:rsid w:val="003C7849"/>
    <w:rsid w:val="003D21AC"/>
    <w:rsid w:val="003D255B"/>
    <w:rsid w:val="003D2729"/>
    <w:rsid w:val="003D315E"/>
    <w:rsid w:val="003D3639"/>
    <w:rsid w:val="003D483A"/>
    <w:rsid w:val="003D4A14"/>
    <w:rsid w:val="003D6005"/>
    <w:rsid w:val="003E210F"/>
    <w:rsid w:val="003E2E63"/>
    <w:rsid w:val="003E37B0"/>
    <w:rsid w:val="003E47E3"/>
    <w:rsid w:val="003E514A"/>
    <w:rsid w:val="003F121F"/>
    <w:rsid w:val="003F1503"/>
    <w:rsid w:val="003F4C29"/>
    <w:rsid w:val="003F560F"/>
    <w:rsid w:val="003F73EF"/>
    <w:rsid w:val="0040084A"/>
    <w:rsid w:val="00401B94"/>
    <w:rsid w:val="00403D2A"/>
    <w:rsid w:val="00404A2E"/>
    <w:rsid w:val="004063E7"/>
    <w:rsid w:val="00406671"/>
    <w:rsid w:val="00406A66"/>
    <w:rsid w:val="00410195"/>
    <w:rsid w:val="00411771"/>
    <w:rsid w:val="00411859"/>
    <w:rsid w:val="00411ADD"/>
    <w:rsid w:val="00413FED"/>
    <w:rsid w:val="00415B1F"/>
    <w:rsid w:val="00416F96"/>
    <w:rsid w:val="0041754B"/>
    <w:rsid w:val="0041762A"/>
    <w:rsid w:val="00420E43"/>
    <w:rsid w:val="00421158"/>
    <w:rsid w:val="00421545"/>
    <w:rsid w:val="00422107"/>
    <w:rsid w:val="004222E0"/>
    <w:rsid w:val="00422FCB"/>
    <w:rsid w:val="00423862"/>
    <w:rsid w:val="0042413A"/>
    <w:rsid w:val="00424288"/>
    <w:rsid w:val="00424A0D"/>
    <w:rsid w:val="00424AC2"/>
    <w:rsid w:val="0042594E"/>
    <w:rsid w:val="00425BAF"/>
    <w:rsid w:val="00426E71"/>
    <w:rsid w:val="00427AA6"/>
    <w:rsid w:val="00430335"/>
    <w:rsid w:val="004316AA"/>
    <w:rsid w:val="0043434D"/>
    <w:rsid w:val="004348F9"/>
    <w:rsid w:val="00435948"/>
    <w:rsid w:val="004365FD"/>
    <w:rsid w:val="00436BB3"/>
    <w:rsid w:val="0043799C"/>
    <w:rsid w:val="00441058"/>
    <w:rsid w:val="004430CA"/>
    <w:rsid w:val="004443B2"/>
    <w:rsid w:val="0044670C"/>
    <w:rsid w:val="004468BB"/>
    <w:rsid w:val="00447FCD"/>
    <w:rsid w:val="00450159"/>
    <w:rsid w:val="0045170F"/>
    <w:rsid w:val="004522A5"/>
    <w:rsid w:val="00453478"/>
    <w:rsid w:val="004563A9"/>
    <w:rsid w:val="00456EEC"/>
    <w:rsid w:val="00457726"/>
    <w:rsid w:val="00460C59"/>
    <w:rsid w:val="004615F4"/>
    <w:rsid w:val="00461CFB"/>
    <w:rsid w:val="00462159"/>
    <w:rsid w:val="00462165"/>
    <w:rsid w:val="0046290E"/>
    <w:rsid w:val="00462947"/>
    <w:rsid w:val="00462D79"/>
    <w:rsid w:val="00463018"/>
    <w:rsid w:val="00463ECC"/>
    <w:rsid w:val="00463F77"/>
    <w:rsid w:val="00465D1E"/>
    <w:rsid w:val="0047363F"/>
    <w:rsid w:val="00475BA1"/>
    <w:rsid w:val="00476EAC"/>
    <w:rsid w:val="00481595"/>
    <w:rsid w:val="004815CB"/>
    <w:rsid w:val="00482677"/>
    <w:rsid w:val="004848DA"/>
    <w:rsid w:val="0048560E"/>
    <w:rsid w:val="00485AFF"/>
    <w:rsid w:val="00486271"/>
    <w:rsid w:val="0048746C"/>
    <w:rsid w:val="004911BD"/>
    <w:rsid w:val="00493535"/>
    <w:rsid w:val="0049363C"/>
    <w:rsid w:val="00494E10"/>
    <w:rsid w:val="004953B4"/>
    <w:rsid w:val="00495FFD"/>
    <w:rsid w:val="00496A3F"/>
    <w:rsid w:val="004A0AB1"/>
    <w:rsid w:val="004A11DE"/>
    <w:rsid w:val="004A1DE7"/>
    <w:rsid w:val="004A2A13"/>
    <w:rsid w:val="004A3A74"/>
    <w:rsid w:val="004A5307"/>
    <w:rsid w:val="004A6541"/>
    <w:rsid w:val="004A66B3"/>
    <w:rsid w:val="004A6B4E"/>
    <w:rsid w:val="004A6F12"/>
    <w:rsid w:val="004A7D3D"/>
    <w:rsid w:val="004B0148"/>
    <w:rsid w:val="004B075A"/>
    <w:rsid w:val="004B1A53"/>
    <w:rsid w:val="004B2066"/>
    <w:rsid w:val="004B5926"/>
    <w:rsid w:val="004B7611"/>
    <w:rsid w:val="004C3D08"/>
    <w:rsid w:val="004C4968"/>
    <w:rsid w:val="004C7366"/>
    <w:rsid w:val="004D1913"/>
    <w:rsid w:val="004D24E2"/>
    <w:rsid w:val="004D34A0"/>
    <w:rsid w:val="004D3BDB"/>
    <w:rsid w:val="004D4CF7"/>
    <w:rsid w:val="004D57E1"/>
    <w:rsid w:val="004D5864"/>
    <w:rsid w:val="004D6533"/>
    <w:rsid w:val="004D73B1"/>
    <w:rsid w:val="004D73C0"/>
    <w:rsid w:val="004D7456"/>
    <w:rsid w:val="004D7C2A"/>
    <w:rsid w:val="004D7CBD"/>
    <w:rsid w:val="004E0513"/>
    <w:rsid w:val="004E17A3"/>
    <w:rsid w:val="004E2085"/>
    <w:rsid w:val="004E4F4A"/>
    <w:rsid w:val="004E54BD"/>
    <w:rsid w:val="004E57BE"/>
    <w:rsid w:val="004E59A1"/>
    <w:rsid w:val="004E67C6"/>
    <w:rsid w:val="004E6B69"/>
    <w:rsid w:val="004E6C1B"/>
    <w:rsid w:val="004E7075"/>
    <w:rsid w:val="004E714E"/>
    <w:rsid w:val="004F03C9"/>
    <w:rsid w:val="004F0E90"/>
    <w:rsid w:val="004F2033"/>
    <w:rsid w:val="004F290A"/>
    <w:rsid w:val="004F2B74"/>
    <w:rsid w:val="004F2D23"/>
    <w:rsid w:val="004F35B6"/>
    <w:rsid w:val="004F7769"/>
    <w:rsid w:val="00500AAE"/>
    <w:rsid w:val="0050182B"/>
    <w:rsid w:val="005019B3"/>
    <w:rsid w:val="00501B91"/>
    <w:rsid w:val="00502AD2"/>
    <w:rsid w:val="00505533"/>
    <w:rsid w:val="00505C86"/>
    <w:rsid w:val="00505D71"/>
    <w:rsid w:val="005067E1"/>
    <w:rsid w:val="00506BC0"/>
    <w:rsid w:val="0050705F"/>
    <w:rsid w:val="00507B82"/>
    <w:rsid w:val="00510C02"/>
    <w:rsid w:val="00510C4B"/>
    <w:rsid w:val="00510D04"/>
    <w:rsid w:val="00510E71"/>
    <w:rsid w:val="00514739"/>
    <w:rsid w:val="00516E38"/>
    <w:rsid w:val="00520524"/>
    <w:rsid w:val="005208E5"/>
    <w:rsid w:val="00521880"/>
    <w:rsid w:val="00521AEB"/>
    <w:rsid w:val="00523702"/>
    <w:rsid w:val="00525A6E"/>
    <w:rsid w:val="00526FE6"/>
    <w:rsid w:val="00530102"/>
    <w:rsid w:val="005301F5"/>
    <w:rsid w:val="00532586"/>
    <w:rsid w:val="00532C44"/>
    <w:rsid w:val="00533A54"/>
    <w:rsid w:val="00533A99"/>
    <w:rsid w:val="00534F48"/>
    <w:rsid w:val="0053553E"/>
    <w:rsid w:val="005355DA"/>
    <w:rsid w:val="005365C9"/>
    <w:rsid w:val="0053729C"/>
    <w:rsid w:val="00537D9A"/>
    <w:rsid w:val="00537E7C"/>
    <w:rsid w:val="00540C3E"/>
    <w:rsid w:val="00540C58"/>
    <w:rsid w:val="00541631"/>
    <w:rsid w:val="00541DCD"/>
    <w:rsid w:val="005431D6"/>
    <w:rsid w:val="0054322D"/>
    <w:rsid w:val="005434E0"/>
    <w:rsid w:val="005444D3"/>
    <w:rsid w:val="00545513"/>
    <w:rsid w:val="00545A95"/>
    <w:rsid w:val="00546C2B"/>
    <w:rsid w:val="005546B1"/>
    <w:rsid w:val="00554FF2"/>
    <w:rsid w:val="005551BE"/>
    <w:rsid w:val="0055739F"/>
    <w:rsid w:val="0055768D"/>
    <w:rsid w:val="00563330"/>
    <w:rsid w:val="005638CF"/>
    <w:rsid w:val="00563D93"/>
    <w:rsid w:val="00564412"/>
    <w:rsid w:val="00564B3A"/>
    <w:rsid w:val="00565B9A"/>
    <w:rsid w:val="0056659F"/>
    <w:rsid w:val="00566B20"/>
    <w:rsid w:val="00567F7D"/>
    <w:rsid w:val="00571996"/>
    <w:rsid w:val="00571FBF"/>
    <w:rsid w:val="00573173"/>
    <w:rsid w:val="005735DC"/>
    <w:rsid w:val="005735E4"/>
    <w:rsid w:val="00573ECF"/>
    <w:rsid w:val="00581A4A"/>
    <w:rsid w:val="00584B36"/>
    <w:rsid w:val="005850E8"/>
    <w:rsid w:val="0058669C"/>
    <w:rsid w:val="0058682F"/>
    <w:rsid w:val="00587316"/>
    <w:rsid w:val="00587371"/>
    <w:rsid w:val="00587506"/>
    <w:rsid w:val="00591078"/>
    <w:rsid w:val="00592684"/>
    <w:rsid w:val="00592ECA"/>
    <w:rsid w:val="005940AE"/>
    <w:rsid w:val="00595288"/>
    <w:rsid w:val="005953C5"/>
    <w:rsid w:val="00596B9E"/>
    <w:rsid w:val="00596F41"/>
    <w:rsid w:val="00597035"/>
    <w:rsid w:val="005A02F1"/>
    <w:rsid w:val="005A0813"/>
    <w:rsid w:val="005A179B"/>
    <w:rsid w:val="005A2143"/>
    <w:rsid w:val="005A26B0"/>
    <w:rsid w:val="005A43F8"/>
    <w:rsid w:val="005A4F5C"/>
    <w:rsid w:val="005A73EC"/>
    <w:rsid w:val="005B164B"/>
    <w:rsid w:val="005B1E33"/>
    <w:rsid w:val="005B24A7"/>
    <w:rsid w:val="005B4A73"/>
    <w:rsid w:val="005B4C98"/>
    <w:rsid w:val="005B5B05"/>
    <w:rsid w:val="005B665E"/>
    <w:rsid w:val="005B721A"/>
    <w:rsid w:val="005C02E3"/>
    <w:rsid w:val="005C1402"/>
    <w:rsid w:val="005C22F8"/>
    <w:rsid w:val="005C34FB"/>
    <w:rsid w:val="005C39F9"/>
    <w:rsid w:val="005C3C48"/>
    <w:rsid w:val="005C5161"/>
    <w:rsid w:val="005C518F"/>
    <w:rsid w:val="005C7193"/>
    <w:rsid w:val="005D00DC"/>
    <w:rsid w:val="005D04FF"/>
    <w:rsid w:val="005D0FE6"/>
    <w:rsid w:val="005D2420"/>
    <w:rsid w:val="005D4343"/>
    <w:rsid w:val="005D4F60"/>
    <w:rsid w:val="005D5310"/>
    <w:rsid w:val="005D586E"/>
    <w:rsid w:val="005D7558"/>
    <w:rsid w:val="005D7581"/>
    <w:rsid w:val="005D79E8"/>
    <w:rsid w:val="005E098D"/>
    <w:rsid w:val="005E0A4A"/>
    <w:rsid w:val="005E171D"/>
    <w:rsid w:val="005E3FDD"/>
    <w:rsid w:val="005E4B16"/>
    <w:rsid w:val="005E59EB"/>
    <w:rsid w:val="005E5D38"/>
    <w:rsid w:val="005E6B2F"/>
    <w:rsid w:val="005E7C46"/>
    <w:rsid w:val="005F0D96"/>
    <w:rsid w:val="005F0E54"/>
    <w:rsid w:val="005F0E5B"/>
    <w:rsid w:val="005F2084"/>
    <w:rsid w:val="005F24A7"/>
    <w:rsid w:val="005F3C98"/>
    <w:rsid w:val="005F4137"/>
    <w:rsid w:val="005F4E20"/>
    <w:rsid w:val="005F5C6F"/>
    <w:rsid w:val="005F66A0"/>
    <w:rsid w:val="005F7363"/>
    <w:rsid w:val="005F7916"/>
    <w:rsid w:val="0060121F"/>
    <w:rsid w:val="00602205"/>
    <w:rsid w:val="006023F4"/>
    <w:rsid w:val="00604054"/>
    <w:rsid w:val="00604F49"/>
    <w:rsid w:val="006054CC"/>
    <w:rsid w:val="00605A22"/>
    <w:rsid w:val="006068CD"/>
    <w:rsid w:val="00606D4E"/>
    <w:rsid w:val="00607632"/>
    <w:rsid w:val="00610FA3"/>
    <w:rsid w:val="0061209F"/>
    <w:rsid w:val="00612259"/>
    <w:rsid w:val="00614471"/>
    <w:rsid w:val="00614E4F"/>
    <w:rsid w:val="0061509E"/>
    <w:rsid w:val="00615BED"/>
    <w:rsid w:val="00615FB9"/>
    <w:rsid w:val="00617619"/>
    <w:rsid w:val="006214F4"/>
    <w:rsid w:val="006215B0"/>
    <w:rsid w:val="00621F4A"/>
    <w:rsid w:val="00622CBC"/>
    <w:rsid w:val="00624002"/>
    <w:rsid w:val="0062404D"/>
    <w:rsid w:val="00624686"/>
    <w:rsid w:val="00625875"/>
    <w:rsid w:val="006277FA"/>
    <w:rsid w:val="006278B9"/>
    <w:rsid w:val="00627C44"/>
    <w:rsid w:val="0063152C"/>
    <w:rsid w:val="00633893"/>
    <w:rsid w:val="00633A35"/>
    <w:rsid w:val="00633ADE"/>
    <w:rsid w:val="00635D0F"/>
    <w:rsid w:val="006361CB"/>
    <w:rsid w:val="00637941"/>
    <w:rsid w:val="00640C2C"/>
    <w:rsid w:val="00641489"/>
    <w:rsid w:val="0064313A"/>
    <w:rsid w:val="00643305"/>
    <w:rsid w:val="006439D2"/>
    <w:rsid w:val="0064581D"/>
    <w:rsid w:val="00645CDA"/>
    <w:rsid w:val="00646FD5"/>
    <w:rsid w:val="00646FE0"/>
    <w:rsid w:val="00647DAE"/>
    <w:rsid w:val="00650B79"/>
    <w:rsid w:val="00650FDF"/>
    <w:rsid w:val="0065148C"/>
    <w:rsid w:val="0065316C"/>
    <w:rsid w:val="006554D4"/>
    <w:rsid w:val="00655882"/>
    <w:rsid w:val="006561EC"/>
    <w:rsid w:val="006568CE"/>
    <w:rsid w:val="0065702E"/>
    <w:rsid w:val="00657B19"/>
    <w:rsid w:val="006602CB"/>
    <w:rsid w:val="0066108C"/>
    <w:rsid w:val="00661339"/>
    <w:rsid w:val="00661CEC"/>
    <w:rsid w:val="00662040"/>
    <w:rsid w:val="0066239A"/>
    <w:rsid w:val="00662756"/>
    <w:rsid w:val="006635BA"/>
    <w:rsid w:val="0066453F"/>
    <w:rsid w:val="006646FB"/>
    <w:rsid w:val="006649F7"/>
    <w:rsid w:val="0066754B"/>
    <w:rsid w:val="006703A5"/>
    <w:rsid w:val="00671D31"/>
    <w:rsid w:val="00675FE1"/>
    <w:rsid w:val="00676EFD"/>
    <w:rsid w:val="006801F8"/>
    <w:rsid w:val="00680DBE"/>
    <w:rsid w:val="006819A5"/>
    <w:rsid w:val="006832E1"/>
    <w:rsid w:val="0068399A"/>
    <w:rsid w:val="00684F75"/>
    <w:rsid w:val="00685CFD"/>
    <w:rsid w:val="00686FB0"/>
    <w:rsid w:val="006904B4"/>
    <w:rsid w:val="006904F0"/>
    <w:rsid w:val="006912D4"/>
    <w:rsid w:val="0069152F"/>
    <w:rsid w:val="006923AD"/>
    <w:rsid w:val="006924EF"/>
    <w:rsid w:val="00692A1A"/>
    <w:rsid w:val="0069303F"/>
    <w:rsid w:val="00693441"/>
    <w:rsid w:val="006939F6"/>
    <w:rsid w:val="00693D1F"/>
    <w:rsid w:val="00695052"/>
    <w:rsid w:val="00696458"/>
    <w:rsid w:val="00696472"/>
    <w:rsid w:val="00696FA8"/>
    <w:rsid w:val="00697261"/>
    <w:rsid w:val="00697A8A"/>
    <w:rsid w:val="006A05D9"/>
    <w:rsid w:val="006A17C6"/>
    <w:rsid w:val="006A244E"/>
    <w:rsid w:val="006A2D3E"/>
    <w:rsid w:val="006A2FE7"/>
    <w:rsid w:val="006A4653"/>
    <w:rsid w:val="006A52C8"/>
    <w:rsid w:val="006A7784"/>
    <w:rsid w:val="006B044C"/>
    <w:rsid w:val="006B1701"/>
    <w:rsid w:val="006B21AA"/>
    <w:rsid w:val="006B3A5B"/>
    <w:rsid w:val="006B4635"/>
    <w:rsid w:val="006B551A"/>
    <w:rsid w:val="006B5877"/>
    <w:rsid w:val="006C0411"/>
    <w:rsid w:val="006C19CB"/>
    <w:rsid w:val="006D060F"/>
    <w:rsid w:val="006D09A6"/>
    <w:rsid w:val="006D0D34"/>
    <w:rsid w:val="006D3F5F"/>
    <w:rsid w:val="006D5F02"/>
    <w:rsid w:val="006D6457"/>
    <w:rsid w:val="006D6871"/>
    <w:rsid w:val="006D6BC1"/>
    <w:rsid w:val="006D7180"/>
    <w:rsid w:val="006D736C"/>
    <w:rsid w:val="006E179F"/>
    <w:rsid w:val="006E1C70"/>
    <w:rsid w:val="006E2E3B"/>
    <w:rsid w:val="006E48D6"/>
    <w:rsid w:val="006E5472"/>
    <w:rsid w:val="006E5C88"/>
    <w:rsid w:val="006E7D98"/>
    <w:rsid w:val="006F0EA6"/>
    <w:rsid w:val="006F2509"/>
    <w:rsid w:val="006F3C02"/>
    <w:rsid w:val="006F7B99"/>
    <w:rsid w:val="0070287B"/>
    <w:rsid w:val="0070292E"/>
    <w:rsid w:val="00704BE0"/>
    <w:rsid w:val="00704EB0"/>
    <w:rsid w:val="0070524A"/>
    <w:rsid w:val="00705DE7"/>
    <w:rsid w:val="00706C3F"/>
    <w:rsid w:val="00707FE9"/>
    <w:rsid w:val="00711F9B"/>
    <w:rsid w:val="007135E4"/>
    <w:rsid w:val="0071414E"/>
    <w:rsid w:val="00715168"/>
    <w:rsid w:val="0071579E"/>
    <w:rsid w:val="0071606B"/>
    <w:rsid w:val="00720807"/>
    <w:rsid w:val="00722E51"/>
    <w:rsid w:val="0072489B"/>
    <w:rsid w:val="007267F3"/>
    <w:rsid w:val="00726CAB"/>
    <w:rsid w:val="0072743B"/>
    <w:rsid w:val="00731257"/>
    <w:rsid w:val="0073219F"/>
    <w:rsid w:val="00732D13"/>
    <w:rsid w:val="00733B7E"/>
    <w:rsid w:val="00734D11"/>
    <w:rsid w:val="00734F17"/>
    <w:rsid w:val="00735873"/>
    <w:rsid w:val="00735B38"/>
    <w:rsid w:val="007363DA"/>
    <w:rsid w:val="0073675B"/>
    <w:rsid w:val="0073758A"/>
    <w:rsid w:val="0073774B"/>
    <w:rsid w:val="007378EF"/>
    <w:rsid w:val="00740F1B"/>
    <w:rsid w:val="007413C8"/>
    <w:rsid w:val="00743656"/>
    <w:rsid w:val="00743790"/>
    <w:rsid w:val="0074391D"/>
    <w:rsid w:val="00744C38"/>
    <w:rsid w:val="00745260"/>
    <w:rsid w:val="00746CB6"/>
    <w:rsid w:val="00747E4A"/>
    <w:rsid w:val="007521C0"/>
    <w:rsid w:val="00753665"/>
    <w:rsid w:val="0075508C"/>
    <w:rsid w:val="00755FF2"/>
    <w:rsid w:val="007609C4"/>
    <w:rsid w:val="00760B19"/>
    <w:rsid w:val="00762CB3"/>
    <w:rsid w:val="00764916"/>
    <w:rsid w:val="00765EB9"/>
    <w:rsid w:val="00767944"/>
    <w:rsid w:val="007715DB"/>
    <w:rsid w:val="007730CF"/>
    <w:rsid w:val="00773EF3"/>
    <w:rsid w:val="0077490A"/>
    <w:rsid w:val="007751D5"/>
    <w:rsid w:val="00776091"/>
    <w:rsid w:val="00776CC0"/>
    <w:rsid w:val="00777A74"/>
    <w:rsid w:val="00780527"/>
    <w:rsid w:val="00780BED"/>
    <w:rsid w:val="0078138D"/>
    <w:rsid w:val="00781DCA"/>
    <w:rsid w:val="00783F03"/>
    <w:rsid w:val="007858F4"/>
    <w:rsid w:val="00785BFC"/>
    <w:rsid w:val="00790A63"/>
    <w:rsid w:val="007917BC"/>
    <w:rsid w:val="007921A8"/>
    <w:rsid w:val="00792250"/>
    <w:rsid w:val="007925D4"/>
    <w:rsid w:val="0079301B"/>
    <w:rsid w:val="007939CF"/>
    <w:rsid w:val="00794AF4"/>
    <w:rsid w:val="00796F30"/>
    <w:rsid w:val="00797A0C"/>
    <w:rsid w:val="007A041F"/>
    <w:rsid w:val="007A0CAB"/>
    <w:rsid w:val="007A0CC0"/>
    <w:rsid w:val="007A0DE0"/>
    <w:rsid w:val="007A23DA"/>
    <w:rsid w:val="007A4E2C"/>
    <w:rsid w:val="007A5AB6"/>
    <w:rsid w:val="007A5B74"/>
    <w:rsid w:val="007A66AF"/>
    <w:rsid w:val="007B05BF"/>
    <w:rsid w:val="007B106B"/>
    <w:rsid w:val="007B1ED3"/>
    <w:rsid w:val="007B2F55"/>
    <w:rsid w:val="007B3418"/>
    <w:rsid w:val="007B3C28"/>
    <w:rsid w:val="007B6C5E"/>
    <w:rsid w:val="007C1F12"/>
    <w:rsid w:val="007C4A2A"/>
    <w:rsid w:val="007C4EF5"/>
    <w:rsid w:val="007C53AE"/>
    <w:rsid w:val="007C584D"/>
    <w:rsid w:val="007C5AC0"/>
    <w:rsid w:val="007C6ACA"/>
    <w:rsid w:val="007C6D63"/>
    <w:rsid w:val="007C7B2D"/>
    <w:rsid w:val="007D01E1"/>
    <w:rsid w:val="007D048B"/>
    <w:rsid w:val="007D421D"/>
    <w:rsid w:val="007D549A"/>
    <w:rsid w:val="007D68C9"/>
    <w:rsid w:val="007D7E8D"/>
    <w:rsid w:val="007E0AD2"/>
    <w:rsid w:val="007E0F61"/>
    <w:rsid w:val="007E1D43"/>
    <w:rsid w:val="007E1E8E"/>
    <w:rsid w:val="007E22CE"/>
    <w:rsid w:val="007E2C79"/>
    <w:rsid w:val="007E58FB"/>
    <w:rsid w:val="007E6F2B"/>
    <w:rsid w:val="007E7019"/>
    <w:rsid w:val="007E78E9"/>
    <w:rsid w:val="007F07B3"/>
    <w:rsid w:val="007F3677"/>
    <w:rsid w:val="007F3E1E"/>
    <w:rsid w:val="007F4216"/>
    <w:rsid w:val="007F4ABE"/>
    <w:rsid w:val="007F4D65"/>
    <w:rsid w:val="007F4E85"/>
    <w:rsid w:val="007F5031"/>
    <w:rsid w:val="007F5309"/>
    <w:rsid w:val="007F6884"/>
    <w:rsid w:val="007F68A1"/>
    <w:rsid w:val="007F7E03"/>
    <w:rsid w:val="008018B7"/>
    <w:rsid w:val="00801C15"/>
    <w:rsid w:val="00802DB8"/>
    <w:rsid w:val="00802EA3"/>
    <w:rsid w:val="008034C7"/>
    <w:rsid w:val="00803F42"/>
    <w:rsid w:val="008041AB"/>
    <w:rsid w:val="00805134"/>
    <w:rsid w:val="008052AE"/>
    <w:rsid w:val="00806DBD"/>
    <w:rsid w:val="0080728D"/>
    <w:rsid w:val="00807D47"/>
    <w:rsid w:val="00811B7C"/>
    <w:rsid w:val="008132E6"/>
    <w:rsid w:val="00813BE4"/>
    <w:rsid w:val="00815C72"/>
    <w:rsid w:val="00815F46"/>
    <w:rsid w:val="00816728"/>
    <w:rsid w:val="00816744"/>
    <w:rsid w:val="00817A15"/>
    <w:rsid w:val="00817EB9"/>
    <w:rsid w:val="00820944"/>
    <w:rsid w:val="00820A48"/>
    <w:rsid w:val="00820DAE"/>
    <w:rsid w:val="0082162D"/>
    <w:rsid w:val="00822F86"/>
    <w:rsid w:val="00825186"/>
    <w:rsid w:val="0082643E"/>
    <w:rsid w:val="00827594"/>
    <w:rsid w:val="00827AF9"/>
    <w:rsid w:val="00827DBA"/>
    <w:rsid w:val="00830640"/>
    <w:rsid w:val="00831D43"/>
    <w:rsid w:val="00832562"/>
    <w:rsid w:val="008338CB"/>
    <w:rsid w:val="00833E4B"/>
    <w:rsid w:val="00834989"/>
    <w:rsid w:val="008350B5"/>
    <w:rsid w:val="00842632"/>
    <w:rsid w:val="00842DBF"/>
    <w:rsid w:val="00842F8C"/>
    <w:rsid w:val="0084312F"/>
    <w:rsid w:val="008441E6"/>
    <w:rsid w:val="00844408"/>
    <w:rsid w:val="00845281"/>
    <w:rsid w:val="00846411"/>
    <w:rsid w:val="00846E92"/>
    <w:rsid w:val="008501EB"/>
    <w:rsid w:val="008522FE"/>
    <w:rsid w:val="00852FA0"/>
    <w:rsid w:val="00853033"/>
    <w:rsid w:val="0085339C"/>
    <w:rsid w:val="00854971"/>
    <w:rsid w:val="0085648F"/>
    <w:rsid w:val="008566FD"/>
    <w:rsid w:val="00856A10"/>
    <w:rsid w:val="00856B6B"/>
    <w:rsid w:val="00856EDE"/>
    <w:rsid w:val="008610A2"/>
    <w:rsid w:val="00861157"/>
    <w:rsid w:val="0086166A"/>
    <w:rsid w:val="00862600"/>
    <w:rsid w:val="00862E46"/>
    <w:rsid w:val="008645D7"/>
    <w:rsid w:val="008657C2"/>
    <w:rsid w:val="00866013"/>
    <w:rsid w:val="008671A1"/>
    <w:rsid w:val="008719E3"/>
    <w:rsid w:val="00871B07"/>
    <w:rsid w:val="00872B56"/>
    <w:rsid w:val="00872C3D"/>
    <w:rsid w:val="00874450"/>
    <w:rsid w:val="00874B1D"/>
    <w:rsid w:val="00874F10"/>
    <w:rsid w:val="0087572F"/>
    <w:rsid w:val="008764C0"/>
    <w:rsid w:val="008766F1"/>
    <w:rsid w:val="008800A2"/>
    <w:rsid w:val="0088015B"/>
    <w:rsid w:val="00880224"/>
    <w:rsid w:val="0088063F"/>
    <w:rsid w:val="00881800"/>
    <w:rsid w:val="00883050"/>
    <w:rsid w:val="00883708"/>
    <w:rsid w:val="00884C35"/>
    <w:rsid w:val="008856EB"/>
    <w:rsid w:val="00885989"/>
    <w:rsid w:val="00885F40"/>
    <w:rsid w:val="00886D7B"/>
    <w:rsid w:val="0088721E"/>
    <w:rsid w:val="008875C0"/>
    <w:rsid w:val="00892B53"/>
    <w:rsid w:val="00892B5A"/>
    <w:rsid w:val="00892D31"/>
    <w:rsid w:val="008932F9"/>
    <w:rsid w:val="008937B0"/>
    <w:rsid w:val="00893970"/>
    <w:rsid w:val="00894072"/>
    <w:rsid w:val="00895263"/>
    <w:rsid w:val="0089598E"/>
    <w:rsid w:val="0089652C"/>
    <w:rsid w:val="00896DC6"/>
    <w:rsid w:val="00896E40"/>
    <w:rsid w:val="00897C58"/>
    <w:rsid w:val="008A029E"/>
    <w:rsid w:val="008A254A"/>
    <w:rsid w:val="008A3501"/>
    <w:rsid w:val="008A44D3"/>
    <w:rsid w:val="008A4D2C"/>
    <w:rsid w:val="008A5533"/>
    <w:rsid w:val="008A5562"/>
    <w:rsid w:val="008B07E5"/>
    <w:rsid w:val="008B1558"/>
    <w:rsid w:val="008B24A6"/>
    <w:rsid w:val="008B2808"/>
    <w:rsid w:val="008B7694"/>
    <w:rsid w:val="008B7E4E"/>
    <w:rsid w:val="008C1714"/>
    <w:rsid w:val="008C28E8"/>
    <w:rsid w:val="008C3FBB"/>
    <w:rsid w:val="008C4D1E"/>
    <w:rsid w:val="008C5D23"/>
    <w:rsid w:val="008D1CB0"/>
    <w:rsid w:val="008D29EF"/>
    <w:rsid w:val="008D4F02"/>
    <w:rsid w:val="008D5706"/>
    <w:rsid w:val="008D5D99"/>
    <w:rsid w:val="008D6AE6"/>
    <w:rsid w:val="008E0DCE"/>
    <w:rsid w:val="008E4375"/>
    <w:rsid w:val="008E59B2"/>
    <w:rsid w:val="008E6333"/>
    <w:rsid w:val="008E704A"/>
    <w:rsid w:val="008F0233"/>
    <w:rsid w:val="008F21D0"/>
    <w:rsid w:val="008F4B93"/>
    <w:rsid w:val="008F5217"/>
    <w:rsid w:val="008F5983"/>
    <w:rsid w:val="008F5D1A"/>
    <w:rsid w:val="008F6EF8"/>
    <w:rsid w:val="009011F4"/>
    <w:rsid w:val="009023FC"/>
    <w:rsid w:val="0090267A"/>
    <w:rsid w:val="0090335A"/>
    <w:rsid w:val="00903AF4"/>
    <w:rsid w:val="0090412E"/>
    <w:rsid w:val="0090664B"/>
    <w:rsid w:val="00910E8A"/>
    <w:rsid w:val="009112C1"/>
    <w:rsid w:val="00911708"/>
    <w:rsid w:val="0091307F"/>
    <w:rsid w:val="00913BF3"/>
    <w:rsid w:val="00920C8D"/>
    <w:rsid w:val="00920D2D"/>
    <w:rsid w:val="00921DE5"/>
    <w:rsid w:val="00921EF3"/>
    <w:rsid w:val="00923AF4"/>
    <w:rsid w:val="00923EFC"/>
    <w:rsid w:val="00924839"/>
    <w:rsid w:val="00924C7F"/>
    <w:rsid w:val="0092606A"/>
    <w:rsid w:val="00926A39"/>
    <w:rsid w:val="00930DED"/>
    <w:rsid w:val="0093425D"/>
    <w:rsid w:val="0093638D"/>
    <w:rsid w:val="00936828"/>
    <w:rsid w:val="00936E28"/>
    <w:rsid w:val="00937346"/>
    <w:rsid w:val="009404EE"/>
    <w:rsid w:val="00941008"/>
    <w:rsid w:val="00941EFA"/>
    <w:rsid w:val="00941F77"/>
    <w:rsid w:val="00942DC6"/>
    <w:rsid w:val="0094353D"/>
    <w:rsid w:val="0094477D"/>
    <w:rsid w:val="00944B4F"/>
    <w:rsid w:val="00944E42"/>
    <w:rsid w:val="00945318"/>
    <w:rsid w:val="009454FF"/>
    <w:rsid w:val="0094625C"/>
    <w:rsid w:val="0094661A"/>
    <w:rsid w:val="00946657"/>
    <w:rsid w:val="00947123"/>
    <w:rsid w:val="00947B52"/>
    <w:rsid w:val="009500A3"/>
    <w:rsid w:val="00950451"/>
    <w:rsid w:val="00953497"/>
    <w:rsid w:val="00954F29"/>
    <w:rsid w:val="00955F1B"/>
    <w:rsid w:val="00956D49"/>
    <w:rsid w:val="00957F68"/>
    <w:rsid w:val="00960E67"/>
    <w:rsid w:val="00962AF1"/>
    <w:rsid w:val="009637BA"/>
    <w:rsid w:val="00964F81"/>
    <w:rsid w:val="00972216"/>
    <w:rsid w:val="009729C1"/>
    <w:rsid w:val="00974AE2"/>
    <w:rsid w:val="0098068D"/>
    <w:rsid w:val="0098228E"/>
    <w:rsid w:val="0098416C"/>
    <w:rsid w:val="00984D2E"/>
    <w:rsid w:val="00987D74"/>
    <w:rsid w:val="00990DA5"/>
    <w:rsid w:val="00992ED3"/>
    <w:rsid w:val="00994D4B"/>
    <w:rsid w:val="00995BB2"/>
    <w:rsid w:val="00995FDC"/>
    <w:rsid w:val="009966CB"/>
    <w:rsid w:val="00996C72"/>
    <w:rsid w:val="00997FD2"/>
    <w:rsid w:val="009A080C"/>
    <w:rsid w:val="009A0CFF"/>
    <w:rsid w:val="009A1446"/>
    <w:rsid w:val="009A14D9"/>
    <w:rsid w:val="009A2233"/>
    <w:rsid w:val="009A557C"/>
    <w:rsid w:val="009A5CCF"/>
    <w:rsid w:val="009A7519"/>
    <w:rsid w:val="009A7728"/>
    <w:rsid w:val="009A7D45"/>
    <w:rsid w:val="009B00A2"/>
    <w:rsid w:val="009B0D76"/>
    <w:rsid w:val="009B0FE2"/>
    <w:rsid w:val="009B1542"/>
    <w:rsid w:val="009B1AD4"/>
    <w:rsid w:val="009B213F"/>
    <w:rsid w:val="009B3382"/>
    <w:rsid w:val="009B4206"/>
    <w:rsid w:val="009B5773"/>
    <w:rsid w:val="009B5F07"/>
    <w:rsid w:val="009B6B98"/>
    <w:rsid w:val="009B7DD5"/>
    <w:rsid w:val="009C0185"/>
    <w:rsid w:val="009C0692"/>
    <w:rsid w:val="009C2092"/>
    <w:rsid w:val="009C2ACF"/>
    <w:rsid w:val="009C309B"/>
    <w:rsid w:val="009C517A"/>
    <w:rsid w:val="009C5D08"/>
    <w:rsid w:val="009C5DB0"/>
    <w:rsid w:val="009C684B"/>
    <w:rsid w:val="009C78CF"/>
    <w:rsid w:val="009D1164"/>
    <w:rsid w:val="009D183D"/>
    <w:rsid w:val="009D1EF0"/>
    <w:rsid w:val="009D3008"/>
    <w:rsid w:val="009D35EC"/>
    <w:rsid w:val="009D4141"/>
    <w:rsid w:val="009D417C"/>
    <w:rsid w:val="009D4C73"/>
    <w:rsid w:val="009D53F5"/>
    <w:rsid w:val="009D5711"/>
    <w:rsid w:val="009D6464"/>
    <w:rsid w:val="009E344F"/>
    <w:rsid w:val="009E4E59"/>
    <w:rsid w:val="009E525C"/>
    <w:rsid w:val="009E64CF"/>
    <w:rsid w:val="009E7E45"/>
    <w:rsid w:val="009F05C3"/>
    <w:rsid w:val="009F26DD"/>
    <w:rsid w:val="009F29D1"/>
    <w:rsid w:val="009F46F2"/>
    <w:rsid w:val="009F5AFE"/>
    <w:rsid w:val="00A0045C"/>
    <w:rsid w:val="00A00F1F"/>
    <w:rsid w:val="00A0125F"/>
    <w:rsid w:val="00A027C6"/>
    <w:rsid w:val="00A0367B"/>
    <w:rsid w:val="00A054B0"/>
    <w:rsid w:val="00A06B66"/>
    <w:rsid w:val="00A106F3"/>
    <w:rsid w:val="00A10E08"/>
    <w:rsid w:val="00A10E37"/>
    <w:rsid w:val="00A11620"/>
    <w:rsid w:val="00A11DBC"/>
    <w:rsid w:val="00A11E92"/>
    <w:rsid w:val="00A127AC"/>
    <w:rsid w:val="00A128C9"/>
    <w:rsid w:val="00A12F37"/>
    <w:rsid w:val="00A13513"/>
    <w:rsid w:val="00A1425C"/>
    <w:rsid w:val="00A14955"/>
    <w:rsid w:val="00A14EB2"/>
    <w:rsid w:val="00A155D5"/>
    <w:rsid w:val="00A16218"/>
    <w:rsid w:val="00A16525"/>
    <w:rsid w:val="00A167D6"/>
    <w:rsid w:val="00A16C33"/>
    <w:rsid w:val="00A25AD6"/>
    <w:rsid w:val="00A26D06"/>
    <w:rsid w:val="00A26F21"/>
    <w:rsid w:val="00A27222"/>
    <w:rsid w:val="00A27464"/>
    <w:rsid w:val="00A30F65"/>
    <w:rsid w:val="00A31CB6"/>
    <w:rsid w:val="00A35AD4"/>
    <w:rsid w:val="00A35FB0"/>
    <w:rsid w:val="00A4000D"/>
    <w:rsid w:val="00A4355F"/>
    <w:rsid w:val="00A43EBD"/>
    <w:rsid w:val="00A44F71"/>
    <w:rsid w:val="00A45813"/>
    <w:rsid w:val="00A45EF0"/>
    <w:rsid w:val="00A4767D"/>
    <w:rsid w:val="00A476C2"/>
    <w:rsid w:val="00A50846"/>
    <w:rsid w:val="00A523EA"/>
    <w:rsid w:val="00A5242F"/>
    <w:rsid w:val="00A5279E"/>
    <w:rsid w:val="00A5362F"/>
    <w:rsid w:val="00A53C97"/>
    <w:rsid w:val="00A5430C"/>
    <w:rsid w:val="00A5489F"/>
    <w:rsid w:val="00A55136"/>
    <w:rsid w:val="00A55ABC"/>
    <w:rsid w:val="00A56283"/>
    <w:rsid w:val="00A5630F"/>
    <w:rsid w:val="00A6084D"/>
    <w:rsid w:val="00A64D06"/>
    <w:rsid w:val="00A65336"/>
    <w:rsid w:val="00A65BFD"/>
    <w:rsid w:val="00A65E4A"/>
    <w:rsid w:val="00A665A7"/>
    <w:rsid w:val="00A66E67"/>
    <w:rsid w:val="00A67025"/>
    <w:rsid w:val="00A672DD"/>
    <w:rsid w:val="00A67674"/>
    <w:rsid w:val="00A6799D"/>
    <w:rsid w:val="00A707A6"/>
    <w:rsid w:val="00A70BA7"/>
    <w:rsid w:val="00A71660"/>
    <w:rsid w:val="00A71D71"/>
    <w:rsid w:val="00A727A7"/>
    <w:rsid w:val="00A727DF"/>
    <w:rsid w:val="00A75A71"/>
    <w:rsid w:val="00A75E98"/>
    <w:rsid w:val="00A76396"/>
    <w:rsid w:val="00A77DF7"/>
    <w:rsid w:val="00A801E5"/>
    <w:rsid w:val="00A80A20"/>
    <w:rsid w:val="00A81DE7"/>
    <w:rsid w:val="00A82DED"/>
    <w:rsid w:val="00A8325C"/>
    <w:rsid w:val="00A832E4"/>
    <w:rsid w:val="00A83B17"/>
    <w:rsid w:val="00A840E6"/>
    <w:rsid w:val="00A844C3"/>
    <w:rsid w:val="00A8505E"/>
    <w:rsid w:val="00A86237"/>
    <w:rsid w:val="00A86FB8"/>
    <w:rsid w:val="00A91421"/>
    <w:rsid w:val="00A92149"/>
    <w:rsid w:val="00A93443"/>
    <w:rsid w:val="00A94105"/>
    <w:rsid w:val="00A949BF"/>
    <w:rsid w:val="00A94EB5"/>
    <w:rsid w:val="00A955C3"/>
    <w:rsid w:val="00A9650F"/>
    <w:rsid w:val="00AA04A6"/>
    <w:rsid w:val="00AA0C2E"/>
    <w:rsid w:val="00AA1ECA"/>
    <w:rsid w:val="00AA33EC"/>
    <w:rsid w:val="00AA43CB"/>
    <w:rsid w:val="00AA532A"/>
    <w:rsid w:val="00AA53BA"/>
    <w:rsid w:val="00AA5C07"/>
    <w:rsid w:val="00AA5EED"/>
    <w:rsid w:val="00AA716F"/>
    <w:rsid w:val="00AA7B4D"/>
    <w:rsid w:val="00AB025F"/>
    <w:rsid w:val="00AB0A19"/>
    <w:rsid w:val="00AB2936"/>
    <w:rsid w:val="00AB3183"/>
    <w:rsid w:val="00AB3AA0"/>
    <w:rsid w:val="00AB56B7"/>
    <w:rsid w:val="00AB6C4F"/>
    <w:rsid w:val="00AB6F27"/>
    <w:rsid w:val="00AC0AE2"/>
    <w:rsid w:val="00AC0FFD"/>
    <w:rsid w:val="00AC1418"/>
    <w:rsid w:val="00AC4E57"/>
    <w:rsid w:val="00AC75AB"/>
    <w:rsid w:val="00AD03F5"/>
    <w:rsid w:val="00AD4ED3"/>
    <w:rsid w:val="00AD56BF"/>
    <w:rsid w:val="00AD6B12"/>
    <w:rsid w:val="00AD7289"/>
    <w:rsid w:val="00AD7499"/>
    <w:rsid w:val="00AD7529"/>
    <w:rsid w:val="00AE0CA0"/>
    <w:rsid w:val="00AE2237"/>
    <w:rsid w:val="00AE40C7"/>
    <w:rsid w:val="00AE4E5A"/>
    <w:rsid w:val="00AE5DB8"/>
    <w:rsid w:val="00AE6866"/>
    <w:rsid w:val="00AE6E5B"/>
    <w:rsid w:val="00AF09AC"/>
    <w:rsid w:val="00AF0F4B"/>
    <w:rsid w:val="00AF179B"/>
    <w:rsid w:val="00AF445F"/>
    <w:rsid w:val="00AF4865"/>
    <w:rsid w:val="00AF68F3"/>
    <w:rsid w:val="00AF69BE"/>
    <w:rsid w:val="00AF7901"/>
    <w:rsid w:val="00AF7CD3"/>
    <w:rsid w:val="00AF7D82"/>
    <w:rsid w:val="00B0098C"/>
    <w:rsid w:val="00B00C83"/>
    <w:rsid w:val="00B01012"/>
    <w:rsid w:val="00B0113D"/>
    <w:rsid w:val="00B0144E"/>
    <w:rsid w:val="00B01A2E"/>
    <w:rsid w:val="00B02569"/>
    <w:rsid w:val="00B026BF"/>
    <w:rsid w:val="00B0358C"/>
    <w:rsid w:val="00B053CE"/>
    <w:rsid w:val="00B057F6"/>
    <w:rsid w:val="00B05E0D"/>
    <w:rsid w:val="00B06DB8"/>
    <w:rsid w:val="00B10807"/>
    <w:rsid w:val="00B10F5E"/>
    <w:rsid w:val="00B11690"/>
    <w:rsid w:val="00B128C0"/>
    <w:rsid w:val="00B169CE"/>
    <w:rsid w:val="00B16B16"/>
    <w:rsid w:val="00B17546"/>
    <w:rsid w:val="00B176BE"/>
    <w:rsid w:val="00B1794D"/>
    <w:rsid w:val="00B22CE5"/>
    <w:rsid w:val="00B22FA6"/>
    <w:rsid w:val="00B24164"/>
    <w:rsid w:val="00B25A61"/>
    <w:rsid w:val="00B2674A"/>
    <w:rsid w:val="00B267D6"/>
    <w:rsid w:val="00B30155"/>
    <w:rsid w:val="00B30B0F"/>
    <w:rsid w:val="00B313E1"/>
    <w:rsid w:val="00B31C12"/>
    <w:rsid w:val="00B3217B"/>
    <w:rsid w:val="00B3295D"/>
    <w:rsid w:val="00B32F89"/>
    <w:rsid w:val="00B3311D"/>
    <w:rsid w:val="00B33F33"/>
    <w:rsid w:val="00B342B3"/>
    <w:rsid w:val="00B34DD3"/>
    <w:rsid w:val="00B3504A"/>
    <w:rsid w:val="00B372D4"/>
    <w:rsid w:val="00B408DC"/>
    <w:rsid w:val="00B442CA"/>
    <w:rsid w:val="00B44516"/>
    <w:rsid w:val="00B462C6"/>
    <w:rsid w:val="00B47338"/>
    <w:rsid w:val="00B475BF"/>
    <w:rsid w:val="00B47DC7"/>
    <w:rsid w:val="00B50D75"/>
    <w:rsid w:val="00B513BA"/>
    <w:rsid w:val="00B5248E"/>
    <w:rsid w:val="00B52644"/>
    <w:rsid w:val="00B52BD0"/>
    <w:rsid w:val="00B53C96"/>
    <w:rsid w:val="00B54537"/>
    <w:rsid w:val="00B571D3"/>
    <w:rsid w:val="00B602AD"/>
    <w:rsid w:val="00B602B1"/>
    <w:rsid w:val="00B608F3"/>
    <w:rsid w:val="00B617D0"/>
    <w:rsid w:val="00B618CE"/>
    <w:rsid w:val="00B62640"/>
    <w:rsid w:val="00B630F8"/>
    <w:rsid w:val="00B634E5"/>
    <w:rsid w:val="00B63A47"/>
    <w:rsid w:val="00B65002"/>
    <w:rsid w:val="00B66863"/>
    <w:rsid w:val="00B66E46"/>
    <w:rsid w:val="00B67ADE"/>
    <w:rsid w:val="00B70F73"/>
    <w:rsid w:val="00B7390C"/>
    <w:rsid w:val="00B73E17"/>
    <w:rsid w:val="00B74844"/>
    <w:rsid w:val="00B748BF"/>
    <w:rsid w:val="00B7554C"/>
    <w:rsid w:val="00B75A17"/>
    <w:rsid w:val="00B75E35"/>
    <w:rsid w:val="00B762A5"/>
    <w:rsid w:val="00B766A3"/>
    <w:rsid w:val="00B7726E"/>
    <w:rsid w:val="00B77586"/>
    <w:rsid w:val="00B80759"/>
    <w:rsid w:val="00B814C2"/>
    <w:rsid w:val="00B823C6"/>
    <w:rsid w:val="00B838B4"/>
    <w:rsid w:val="00B83FF5"/>
    <w:rsid w:val="00B84320"/>
    <w:rsid w:val="00B84B75"/>
    <w:rsid w:val="00B85023"/>
    <w:rsid w:val="00B87C4C"/>
    <w:rsid w:val="00B90069"/>
    <w:rsid w:val="00B911E7"/>
    <w:rsid w:val="00B919A6"/>
    <w:rsid w:val="00B91B53"/>
    <w:rsid w:val="00B93163"/>
    <w:rsid w:val="00B9361A"/>
    <w:rsid w:val="00B93B7E"/>
    <w:rsid w:val="00B946EA"/>
    <w:rsid w:val="00B967E4"/>
    <w:rsid w:val="00B96C69"/>
    <w:rsid w:val="00B970A1"/>
    <w:rsid w:val="00BA03F3"/>
    <w:rsid w:val="00BA07E7"/>
    <w:rsid w:val="00BA0C0C"/>
    <w:rsid w:val="00BA321B"/>
    <w:rsid w:val="00BA3273"/>
    <w:rsid w:val="00BA3601"/>
    <w:rsid w:val="00BA469B"/>
    <w:rsid w:val="00BA5991"/>
    <w:rsid w:val="00BA7AD0"/>
    <w:rsid w:val="00BB0A21"/>
    <w:rsid w:val="00BB1FEA"/>
    <w:rsid w:val="00BB2600"/>
    <w:rsid w:val="00BB2F82"/>
    <w:rsid w:val="00BB633C"/>
    <w:rsid w:val="00BB7DC6"/>
    <w:rsid w:val="00BC0EBD"/>
    <w:rsid w:val="00BC0FC7"/>
    <w:rsid w:val="00BC13A8"/>
    <w:rsid w:val="00BC1B0F"/>
    <w:rsid w:val="00BC1E9A"/>
    <w:rsid w:val="00BC3883"/>
    <w:rsid w:val="00BC3A0C"/>
    <w:rsid w:val="00BC3ED3"/>
    <w:rsid w:val="00BC3F59"/>
    <w:rsid w:val="00BC4261"/>
    <w:rsid w:val="00BC5289"/>
    <w:rsid w:val="00BC66EC"/>
    <w:rsid w:val="00BC6D55"/>
    <w:rsid w:val="00BC7F52"/>
    <w:rsid w:val="00BC7FDF"/>
    <w:rsid w:val="00BD0337"/>
    <w:rsid w:val="00BD0581"/>
    <w:rsid w:val="00BD306B"/>
    <w:rsid w:val="00BD54CF"/>
    <w:rsid w:val="00BD6B28"/>
    <w:rsid w:val="00BD70B3"/>
    <w:rsid w:val="00BE093E"/>
    <w:rsid w:val="00BE1AEA"/>
    <w:rsid w:val="00BE263C"/>
    <w:rsid w:val="00BE2A1E"/>
    <w:rsid w:val="00BE3035"/>
    <w:rsid w:val="00BE30BA"/>
    <w:rsid w:val="00BE7F43"/>
    <w:rsid w:val="00BF1765"/>
    <w:rsid w:val="00BF230D"/>
    <w:rsid w:val="00BF2436"/>
    <w:rsid w:val="00BF2709"/>
    <w:rsid w:val="00BF2B10"/>
    <w:rsid w:val="00BF2B2C"/>
    <w:rsid w:val="00BF476E"/>
    <w:rsid w:val="00BF540F"/>
    <w:rsid w:val="00BF557A"/>
    <w:rsid w:val="00BF610D"/>
    <w:rsid w:val="00BF662D"/>
    <w:rsid w:val="00C030A5"/>
    <w:rsid w:val="00C0341F"/>
    <w:rsid w:val="00C04117"/>
    <w:rsid w:val="00C04D7B"/>
    <w:rsid w:val="00C05359"/>
    <w:rsid w:val="00C060AD"/>
    <w:rsid w:val="00C073EE"/>
    <w:rsid w:val="00C10427"/>
    <w:rsid w:val="00C1051D"/>
    <w:rsid w:val="00C10DA7"/>
    <w:rsid w:val="00C10DE2"/>
    <w:rsid w:val="00C10E57"/>
    <w:rsid w:val="00C11F55"/>
    <w:rsid w:val="00C14BE1"/>
    <w:rsid w:val="00C15166"/>
    <w:rsid w:val="00C1532C"/>
    <w:rsid w:val="00C16478"/>
    <w:rsid w:val="00C1791E"/>
    <w:rsid w:val="00C22486"/>
    <w:rsid w:val="00C22CBD"/>
    <w:rsid w:val="00C24737"/>
    <w:rsid w:val="00C2481E"/>
    <w:rsid w:val="00C24926"/>
    <w:rsid w:val="00C2600B"/>
    <w:rsid w:val="00C264ED"/>
    <w:rsid w:val="00C2746A"/>
    <w:rsid w:val="00C279AB"/>
    <w:rsid w:val="00C32093"/>
    <w:rsid w:val="00C32D27"/>
    <w:rsid w:val="00C32F08"/>
    <w:rsid w:val="00C37036"/>
    <w:rsid w:val="00C37F12"/>
    <w:rsid w:val="00C426C8"/>
    <w:rsid w:val="00C43C30"/>
    <w:rsid w:val="00C451CB"/>
    <w:rsid w:val="00C4552B"/>
    <w:rsid w:val="00C47FB0"/>
    <w:rsid w:val="00C503AC"/>
    <w:rsid w:val="00C50C88"/>
    <w:rsid w:val="00C54BF8"/>
    <w:rsid w:val="00C550A1"/>
    <w:rsid w:val="00C55314"/>
    <w:rsid w:val="00C554BC"/>
    <w:rsid w:val="00C621F8"/>
    <w:rsid w:val="00C6306E"/>
    <w:rsid w:val="00C63595"/>
    <w:rsid w:val="00C6612A"/>
    <w:rsid w:val="00C671B3"/>
    <w:rsid w:val="00C6784A"/>
    <w:rsid w:val="00C73AD0"/>
    <w:rsid w:val="00C7577F"/>
    <w:rsid w:val="00C77A92"/>
    <w:rsid w:val="00C80FBF"/>
    <w:rsid w:val="00C82744"/>
    <w:rsid w:val="00C827B9"/>
    <w:rsid w:val="00C82BA1"/>
    <w:rsid w:val="00C85553"/>
    <w:rsid w:val="00C85BF8"/>
    <w:rsid w:val="00C875C8"/>
    <w:rsid w:val="00C8775A"/>
    <w:rsid w:val="00C9027A"/>
    <w:rsid w:val="00C90433"/>
    <w:rsid w:val="00C91076"/>
    <w:rsid w:val="00C92157"/>
    <w:rsid w:val="00C921AC"/>
    <w:rsid w:val="00C928AC"/>
    <w:rsid w:val="00C928F1"/>
    <w:rsid w:val="00C92D8C"/>
    <w:rsid w:val="00C92E28"/>
    <w:rsid w:val="00C94131"/>
    <w:rsid w:val="00C95918"/>
    <w:rsid w:val="00C96C18"/>
    <w:rsid w:val="00CA014D"/>
    <w:rsid w:val="00CA060E"/>
    <w:rsid w:val="00CA0E39"/>
    <w:rsid w:val="00CA1630"/>
    <w:rsid w:val="00CA20CC"/>
    <w:rsid w:val="00CA2AA1"/>
    <w:rsid w:val="00CA3BBC"/>
    <w:rsid w:val="00CA4BF7"/>
    <w:rsid w:val="00CA5070"/>
    <w:rsid w:val="00CA6A09"/>
    <w:rsid w:val="00CA7701"/>
    <w:rsid w:val="00CA7C11"/>
    <w:rsid w:val="00CB0104"/>
    <w:rsid w:val="00CB32A8"/>
    <w:rsid w:val="00CB3CF3"/>
    <w:rsid w:val="00CB4C3A"/>
    <w:rsid w:val="00CB52E2"/>
    <w:rsid w:val="00CB553C"/>
    <w:rsid w:val="00CB703A"/>
    <w:rsid w:val="00CB73E7"/>
    <w:rsid w:val="00CC07EC"/>
    <w:rsid w:val="00CC2E5D"/>
    <w:rsid w:val="00CC460A"/>
    <w:rsid w:val="00CC5F48"/>
    <w:rsid w:val="00CC6ED4"/>
    <w:rsid w:val="00CC7139"/>
    <w:rsid w:val="00CD09B4"/>
    <w:rsid w:val="00CD0EBB"/>
    <w:rsid w:val="00CD1108"/>
    <w:rsid w:val="00CD12BB"/>
    <w:rsid w:val="00CD30A5"/>
    <w:rsid w:val="00CD397D"/>
    <w:rsid w:val="00CD5AF6"/>
    <w:rsid w:val="00CD6069"/>
    <w:rsid w:val="00CD73F1"/>
    <w:rsid w:val="00CD79CE"/>
    <w:rsid w:val="00CE0FC9"/>
    <w:rsid w:val="00CE2D24"/>
    <w:rsid w:val="00CE451A"/>
    <w:rsid w:val="00CE77CD"/>
    <w:rsid w:val="00CF0A0F"/>
    <w:rsid w:val="00CF0C53"/>
    <w:rsid w:val="00CF21B3"/>
    <w:rsid w:val="00CF30E4"/>
    <w:rsid w:val="00CF363D"/>
    <w:rsid w:val="00CF3823"/>
    <w:rsid w:val="00CF52C2"/>
    <w:rsid w:val="00CF66FD"/>
    <w:rsid w:val="00CF75E2"/>
    <w:rsid w:val="00D00207"/>
    <w:rsid w:val="00D01C3B"/>
    <w:rsid w:val="00D02338"/>
    <w:rsid w:val="00D04D09"/>
    <w:rsid w:val="00D06CB0"/>
    <w:rsid w:val="00D06CF7"/>
    <w:rsid w:val="00D0740E"/>
    <w:rsid w:val="00D07A89"/>
    <w:rsid w:val="00D10441"/>
    <w:rsid w:val="00D10841"/>
    <w:rsid w:val="00D114DD"/>
    <w:rsid w:val="00D11787"/>
    <w:rsid w:val="00D1178F"/>
    <w:rsid w:val="00D1182F"/>
    <w:rsid w:val="00D11A5C"/>
    <w:rsid w:val="00D120EF"/>
    <w:rsid w:val="00D13818"/>
    <w:rsid w:val="00D13964"/>
    <w:rsid w:val="00D13CCA"/>
    <w:rsid w:val="00D14FFE"/>
    <w:rsid w:val="00D17007"/>
    <w:rsid w:val="00D17291"/>
    <w:rsid w:val="00D209F5"/>
    <w:rsid w:val="00D20A2F"/>
    <w:rsid w:val="00D215E1"/>
    <w:rsid w:val="00D22B6F"/>
    <w:rsid w:val="00D2351F"/>
    <w:rsid w:val="00D25B91"/>
    <w:rsid w:val="00D25CA1"/>
    <w:rsid w:val="00D2694B"/>
    <w:rsid w:val="00D26D2D"/>
    <w:rsid w:val="00D27797"/>
    <w:rsid w:val="00D3008A"/>
    <w:rsid w:val="00D302F9"/>
    <w:rsid w:val="00D30960"/>
    <w:rsid w:val="00D31731"/>
    <w:rsid w:val="00D346D2"/>
    <w:rsid w:val="00D34C7C"/>
    <w:rsid w:val="00D358BE"/>
    <w:rsid w:val="00D358F5"/>
    <w:rsid w:val="00D35A2E"/>
    <w:rsid w:val="00D35FB5"/>
    <w:rsid w:val="00D36583"/>
    <w:rsid w:val="00D36E40"/>
    <w:rsid w:val="00D37E05"/>
    <w:rsid w:val="00D4145F"/>
    <w:rsid w:val="00D41B89"/>
    <w:rsid w:val="00D41C0B"/>
    <w:rsid w:val="00D42F34"/>
    <w:rsid w:val="00D43FEE"/>
    <w:rsid w:val="00D44E3E"/>
    <w:rsid w:val="00D45946"/>
    <w:rsid w:val="00D46BB4"/>
    <w:rsid w:val="00D46E30"/>
    <w:rsid w:val="00D47152"/>
    <w:rsid w:val="00D4746A"/>
    <w:rsid w:val="00D50D29"/>
    <w:rsid w:val="00D50F12"/>
    <w:rsid w:val="00D51B79"/>
    <w:rsid w:val="00D521DC"/>
    <w:rsid w:val="00D52661"/>
    <w:rsid w:val="00D5317C"/>
    <w:rsid w:val="00D54135"/>
    <w:rsid w:val="00D54625"/>
    <w:rsid w:val="00D54841"/>
    <w:rsid w:val="00D55CAB"/>
    <w:rsid w:val="00D55FB1"/>
    <w:rsid w:val="00D572F7"/>
    <w:rsid w:val="00D60A71"/>
    <w:rsid w:val="00D60CF7"/>
    <w:rsid w:val="00D60F68"/>
    <w:rsid w:val="00D61B00"/>
    <w:rsid w:val="00D62315"/>
    <w:rsid w:val="00D6278F"/>
    <w:rsid w:val="00D62B14"/>
    <w:rsid w:val="00D62F72"/>
    <w:rsid w:val="00D65D9D"/>
    <w:rsid w:val="00D66AE0"/>
    <w:rsid w:val="00D66C18"/>
    <w:rsid w:val="00D67A40"/>
    <w:rsid w:val="00D700D5"/>
    <w:rsid w:val="00D70458"/>
    <w:rsid w:val="00D70C23"/>
    <w:rsid w:val="00D71BFF"/>
    <w:rsid w:val="00D72C42"/>
    <w:rsid w:val="00D73CB6"/>
    <w:rsid w:val="00D75D81"/>
    <w:rsid w:val="00D76943"/>
    <w:rsid w:val="00D8064D"/>
    <w:rsid w:val="00D80EAE"/>
    <w:rsid w:val="00D81BAB"/>
    <w:rsid w:val="00D82EF9"/>
    <w:rsid w:val="00D83462"/>
    <w:rsid w:val="00D83BB8"/>
    <w:rsid w:val="00D858B5"/>
    <w:rsid w:val="00D86637"/>
    <w:rsid w:val="00D866BA"/>
    <w:rsid w:val="00D9059F"/>
    <w:rsid w:val="00D91184"/>
    <w:rsid w:val="00D916FA"/>
    <w:rsid w:val="00D92FE6"/>
    <w:rsid w:val="00D93FCE"/>
    <w:rsid w:val="00D94BC1"/>
    <w:rsid w:val="00DA0782"/>
    <w:rsid w:val="00DA37C3"/>
    <w:rsid w:val="00DA3919"/>
    <w:rsid w:val="00DA41F0"/>
    <w:rsid w:val="00DA6E21"/>
    <w:rsid w:val="00DA7D25"/>
    <w:rsid w:val="00DB0014"/>
    <w:rsid w:val="00DB07C4"/>
    <w:rsid w:val="00DB0EAA"/>
    <w:rsid w:val="00DB1319"/>
    <w:rsid w:val="00DB1535"/>
    <w:rsid w:val="00DB20DE"/>
    <w:rsid w:val="00DB4745"/>
    <w:rsid w:val="00DB5036"/>
    <w:rsid w:val="00DB558D"/>
    <w:rsid w:val="00DB7C67"/>
    <w:rsid w:val="00DB7DA2"/>
    <w:rsid w:val="00DC1D62"/>
    <w:rsid w:val="00DC2F8B"/>
    <w:rsid w:val="00DC3C92"/>
    <w:rsid w:val="00DC432D"/>
    <w:rsid w:val="00DC5543"/>
    <w:rsid w:val="00DC7491"/>
    <w:rsid w:val="00DD338B"/>
    <w:rsid w:val="00DD3AD2"/>
    <w:rsid w:val="00DD41BF"/>
    <w:rsid w:val="00DD526D"/>
    <w:rsid w:val="00DD7AB0"/>
    <w:rsid w:val="00DD7C3C"/>
    <w:rsid w:val="00DE1AC3"/>
    <w:rsid w:val="00DE2B66"/>
    <w:rsid w:val="00DE4932"/>
    <w:rsid w:val="00DE5033"/>
    <w:rsid w:val="00DE5603"/>
    <w:rsid w:val="00DE5FED"/>
    <w:rsid w:val="00DE66A2"/>
    <w:rsid w:val="00DF0357"/>
    <w:rsid w:val="00DF11E2"/>
    <w:rsid w:val="00DF165D"/>
    <w:rsid w:val="00DF1702"/>
    <w:rsid w:val="00DF2051"/>
    <w:rsid w:val="00DF488B"/>
    <w:rsid w:val="00DF603C"/>
    <w:rsid w:val="00DF6D70"/>
    <w:rsid w:val="00E019E2"/>
    <w:rsid w:val="00E054B6"/>
    <w:rsid w:val="00E05BD2"/>
    <w:rsid w:val="00E0654C"/>
    <w:rsid w:val="00E06824"/>
    <w:rsid w:val="00E0706E"/>
    <w:rsid w:val="00E10DAD"/>
    <w:rsid w:val="00E11498"/>
    <w:rsid w:val="00E11CFE"/>
    <w:rsid w:val="00E11EE2"/>
    <w:rsid w:val="00E12331"/>
    <w:rsid w:val="00E14A44"/>
    <w:rsid w:val="00E1517A"/>
    <w:rsid w:val="00E16587"/>
    <w:rsid w:val="00E20FD1"/>
    <w:rsid w:val="00E21163"/>
    <w:rsid w:val="00E21584"/>
    <w:rsid w:val="00E22716"/>
    <w:rsid w:val="00E2368F"/>
    <w:rsid w:val="00E246E9"/>
    <w:rsid w:val="00E25CA6"/>
    <w:rsid w:val="00E302B9"/>
    <w:rsid w:val="00E308A9"/>
    <w:rsid w:val="00E30D51"/>
    <w:rsid w:val="00E30FA0"/>
    <w:rsid w:val="00E32677"/>
    <w:rsid w:val="00E32CF1"/>
    <w:rsid w:val="00E3789C"/>
    <w:rsid w:val="00E40161"/>
    <w:rsid w:val="00E40AD5"/>
    <w:rsid w:val="00E41EFD"/>
    <w:rsid w:val="00E42EAB"/>
    <w:rsid w:val="00E43A9E"/>
    <w:rsid w:val="00E45014"/>
    <w:rsid w:val="00E45FD6"/>
    <w:rsid w:val="00E46AFF"/>
    <w:rsid w:val="00E46C36"/>
    <w:rsid w:val="00E474D2"/>
    <w:rsid w:val="00E47EBD"/>
    <w:rsid w:val="00E50EBC"/>
    <w:rsid w:val="00E5107D"/>
    <w:rsid w:val="00E51949"/>
    <w:rsid w:val="00E51B85"/>
    <w:rsid w:val="00E524B6"/>
    <w:rsid w:val="00E52CAB"/>
    <w:rsid w:val="00E54E92"/>
    <w:rsid w:val="00E558DE"/>
    <w:rsid w:val="00E55D0A"/>
    <w:rsid w:val="00E55DA2"/>
    <w:rsid w:val="00E563D9"/>
    <w:rsid w:val="00E57CF3"/>
    <w:rsid w:val="00E60E3A"/>
    <w:rsid w:val="00E6198C"/>
    <w:rsid w:val="00E61DEF"/>
    <w:rsid w:val="00E62A12"/>
    <w:rsid w:val="00E62A28"/>
    <w:rsid w:val="00E62BD3"/>
    <w:rsid w:val="00E62FBA"/>
    <w:rsid w:val="00E630F8"/>
    <w:rsid w:val="00E66207"/>
    <w:rsid w:val="00E67E4C"/>
    <w:rsid w:val="00E713C4"/>
    <w:rsid w:val="00E729B3"/>
    <w:rsid w:val="00E7335A"/>
    <w:rsid w:val="00E74F0D"/>
    <w:rsid w:val="00E750DA"/>
    <w:rsid w:val="00E77CD9"/>
    <w:rsid w:val="00E8010B"/>
    <w:rsid w:val="00E80BE6"/>
    <w:rsid w:val="00E80C7E"/>
    <w:rsid w:val="00E83B17"/>
    <w:rsid w:val="00E84725"/>
    <w:rsid w:val="00E85C5F"/>
    <w:rsid w:val="00E85D7B"/>
    <w:rsid w:val="00E8660B"/>
    <w:rsid w:val="00E874D7"/>
    <w:rsid w:val="00E905A3"/>
    <w:rsid w:val="00E90F70"/>
    <w:rsid w:val="00E92943"/>
    <w:rsid w:val="00E936E0"/>
    <w:rsid w:val="00E9472D"/>
    <w:rsid w:val="00E948FA"/>
    <w:rsid w:val="00E9578E"/>
    <w:rsid w:val="00E95BFE"/>
    <w:rsid w:val="00E9644B"/>
    <w:rsid w:val="00EA0990"/>
    <w:rsid w:val="00EA1F14"/>
    <w:rsid w:val="00EA2EA0"/>
    <w:rsid w:val="00EA78BF"/>
    <w:rsid w:val="00EB1799"/>
    <w:rsid w:val="00EB237F"/>
    <w:rsid w:val="00EB3291"/>
    <w:rsid w:val="00EB4559"/>
    <w:rsid w:val="00EB56F9"/>
    <w:rsid w:val="00EB59DD"/>
    <w:rsid w:val="00EB796B"/>
    <w:rsid w:val="00EC06A5"/>
    <w:rsid w:val="00EC08F9"/>
    <w:rsid w:val="00EC12F0"/>
    <w:rsid w:val="00EC296E"/>
    <w:rsid w:val="00EC512E"/>
    <w:rsid w:val="00EC513A"/>
    <w:rsid w:val="00EC58E1"/>
    <w:rsid w:val="00EC592B"/>
    <w:rsid w:val="00ED09EB"/>
    <w:rsid w:val="00ED0C0B"/>
    <w:rsid w:val="00ED120C"/>
    <w:rsid w:val="00ED23B1"/>
    <w:rsid w:val="00ED29E1"/>
    <w:rsid w:val="00ED364B"/>
    <w:rsid w:val="00ED449F"/>
    <w:rsid w:val="00ED5514"/>
    <w:rsid w:val="00ED76DF"/>
    <w:rsid w:val="00EE1EB3"/>
    <w:rsid w:val="00EE350A"/>
    <w:rsid w:val="00EE4327"/>
    <w:rsid w:val="00EE53A7"/>
    <w:rsid w:val="00EE644E"/>
    <w:rsid w:val="00EE7131"/>
    <w:rsid w:val="00EF016A"/>
    <w:rsid w:val="00EF0A88"/>
    <w:rsid w:val="00EF1D93"/>
    <w:rsid w:val="00EF3B57"/>
    <w:rsid w:val="00EF62E3"/>
    <w:rsid w:val="00EF63D2"/>
    <w:rsid w:val="00F00387"/>
    <w:rsid w:val="00F017D6"/>
    <w:rsid w:val="00F01A13"/>
    <w:rsid w:val="00F0356A"/>
    <w:rsid w:val="00F03AB7"/>
    <w:rsid w:val="00F04A7E"/>
    <w:rsid w:val="00F04E89"/>
    <w:rsid w:val="00F0547F"/>
    <w:rsid w:val="00F05E1D"/>
    <w:rsid w:val="00F11317"/>
    <w:rsid w:val="00F12844"/>
    <w:rsid w:val="00F13F9F"/>
    <w:rsid w:val="00F13FC8"/>
    <w:rsid w:val="00F14B34"/>
    <w:rsid w:val="00F16A96"/>
    <w:rsid w:val="00F174E2"/>
    <w:rsid w:val="00F175B1"/>
    <w:rsid w:val="00F1793A"/>
    <w:rsid w:val="00F21C68"/>
    <w:rsid w:val="00F243FE"/>
    <w:rsid w:val="00F26254"/>
    <w:rsid w:val="00F26FC0"/>
    <w:rsid w:val="00F3002F"/>
    <w:rsid w:val="00F30AEC"/>
    <w:rsid w:val="00F30FD7"/>
    <w:rsid w:val="00F312AA"/>
    <w:rsid w:val="00F312DC"/>
    <w:rsid w:val="00F329D8"/>
    <w:rsid w:val="00F34A0A"/>
    <w:rsid w:val="00F35380"/>
    <w:rsid w:val="00F35B37"/>
    <w:rsid w:val="00F3695F"/>
    <w:rsid w:val="00F37086"/>
    <w:rsid w:val="00F379BE"/>
    <w:rsid w:val="00F42B18"/>
    <w:rsid w:val="00F43E59"/>
    <w:rsid w:val="00F4451B"/>
    <w:rsid w:val="00F44D58"/>
    <w:rsid w:val="00F45703"/>
    <w:rsid w:val="00F45741"/>
    <w:rsid w:val="00F45B12"/>
    <w:rsid w:val="00F4616B"/>
    <w:rsid w:val="00F46579"/>
    <w:rsid w:val="00F478E7"/>
    <w:rsid w:val="00F51416"/>
    <w:rsid w:val="00F52010"/>
    <w:rsid w:val="00F52161"/>
    <w:rsid w:val="00F525CC"/>
    <w:rsid w:val="00F53C1D"/>
    <w:rsid w:val="00F541F0"/>
    <w:rsid w:val="00F556C2"/>
    <w:rsid w:val="00F55B6C"/>
    <w:rsid w:val="00F56323"/>
    <w:rsid w:val="00F57D80"/>
    <w:rsid w:val="00F57DC1"/>
    <w:rsid w:val="00F57FFE"/>
    <w:rsid w:val="00F60C38"/>
    <w:rsid w:val="00F60F18"/>
    <w:rsid w:val="00F6126F"/>
    <w:rsid w:val="00F6266C"/>
    <w:rsid w:val="00F661C5"/>
    <w:rsid w:val="00F71E04"/>
    <w:rsid w:val="00F71F52"/>
    <w:rsid w:val="00F7210B"/>
    <w:rsid w:val="00F7249A"/>
    <w:rsid w:val="00F756C3"/>
    <w:rsid w:val="00F75D4B"/>
    <w:rsid w:val="00F7700E"/>
    <w:rsid w:val="00F7763B"/>
    <w:rsid w:val="00F77FCE"/>
    <w:rsid w:val="00F80642"/>
    <w:rsid w:val="00F80AFE"/>
    <w:rsid w:val="00F83CBC"/>
    <w:rsid w:val="00F84DAD"/>
    <w:rsid w:val="00F85642"/>
    <w:rsid w:val="00F87166"/>
    <w:rsid w:val="00F90387"/>
    <w:rsid w:val="00F90413"/>
    <w:rsid w:val="00F90D16"/>
    <w:rsid w:val="00F90F74"/>
    <w:rsid w:val="00F92E4E"/>
    <w:rsid w:val="00F93811"/>
    <w:rsid w:val="00F93FAE"/>
    <w:rsid w:val="00F950FC"/>
    <w:rsid w:val="00F970DE"/>
    <w:rsid w:val="00F97111"/>
    <w:rsid w:val="00FA1110"/>
    <w:rsid w:val="00FA14D6"/>
    <w:rsid w:val="00FA31C3"/>
    <w:rsid w:val="00FA39E9"/>
    <w:rsid w:val="00FA473A"/>
    <w:rsid w:val="00FA6AE9"/>
    <w:rsid w:val="00FA6FE0"/>
    <w:rsid w:val="00FA739C"/>
    <w:rsid w:val="00FB0DEC"/>
    <w:rsid w:val="00FB1019"/>
    <w:rsid w:val="00FB1413"/>
    <w:rsid w:val="00FB2568"/>
    <w:rsid w:val="00FB3034"/>
    <w:rsid w:val="00FB31C5"/>
    <w:rsid w:val="00FB55D9"/>
    <w:rsid w:val="00FB613F"/>
    <w:rsid w:val="00FC0795"/>
    <w:rsid w:val="00FC0B79"/>
    <w:rsid w:val="00FC182E"/>
    <w:rsid w:val="00FC2233"/>
    <w:rsid w:val="00FC61AE"/>
    <w:rsid w:val="00FC65DB"/>
    <w:rsid w:val="00FC7242"/>
    <w:rsid w:val="00FC74D3"/>
    <w:rsid w:val="00FC7E0C"/>
    <w:rsid w:val="00FC7F2B"/>
    <w:rsid w:val="00FD231D"/>
    <w:rsid w:val="00FD2C56"/>
    <w:rsid w:val="00FD3D36"/>
    <w:rsid w:val="00FD5DED"/>
    <w:rsid w:val="00FD6F21"/>
    <w:rsid w:val="00FE2302"/>
    <w:rsid w:val="00FE550F"/>
    <w:rsid w:val="00FE601A"/>
    <w:rsid w:val="00FE7DE9"/>
    <w:rsid w:val="00FF134A"/>
    <w:rsid w:val="00FF2C63"/>
    <w:rsid w:val="00FF39C2"/>
    <w:rsid w:val="00FF39F3"/>
    <w:rsid w:val="00FF4E94"/>
    <w:rsid w:val="00FF539F"/>
    <w:rsid w:val="00FF59DD"/>
    <w:rsid w:val="00FF631D"/>
    <w:rsid w:val="00FF662E"/>
    <w:rsid w:val="00FF7BA9"/>
    <w:rsid w:val="00FF7CAC"/>
    <w:rsid w:val="0139550B"/>
    <w:rsid w:val="0145F5CB"/>
    <w:rsid w:val="016B61B7"/>
    <w:rsid w:val="017DFDD8"/>
    <w:rsid w:val="023A4CA6"/>
    <w:rsid w:val="02823D5B"/>
    <w:rsid w:val="02DDE4CA"/>
    <w:rsid w:val="036ABB9C"/>
    <w:rsid w:val="03D58E58"/>
    <w:rsid w:val="0498A1FB"/>
    <w:rsid w:val="04D56984"/>
    <w:rsid w:val="051F795E"/>
    <w:rsid w:val="0533754F"/>
    <w:rsid w:val="055B4177"/>
    <w:rsid w:val="05CE11EC"/>
    <w:rsid w:val="05CF1176"/>
    <w:rsid w:val="05D1CA69"/>
    <w:rsid w:val="05D29F5E"/>
    <w:rsid w:val="06AA33AA"/>
    <w:rsid w:val="07D3F107"/>
    <w:rsid w:val="07D9AF4E"/>
    <w:rsid w:val="08A9FEE2"/>
    <w:rsid w:val="08C23A7C"/>
    <w:rsid w:val="08E5A2F7"/>
    <w:rsid w:val="098409F6"/>
    <w:rsid w:val="098E277D"/>
    <w:rsid w:val="09C579B3"/>
    <w:rsid w:val="09DEA227"/>
    <w:rsid w:val="09E28443"/>
    <w:rsid w:val="0B0D74FA"/>
    <w:rsid w:val="0B86C07C"/>
    <w:rsid w:val="0BB8FAFD"/>
    <w:rsid w:val="0BC251B2"/>
    <w:rsid w:val="0C077325"/>
    <w:rsid w:val="0C509D0D"/>
    <w:rsid w:val="0CDCE648"/>
    <w:rsid w:val="0D0F421D"/>
    <w:rsid w:val="0DACDF33"/>
    <w:rsid w:val="0DFDEB19"/>
    <w:rsid w:val="0E213DCE"/>
    <w:rsid w:val="0E586B16"/>
    <w:rsid w:val="0E646577"/>
    <w:rsid w:val="0E933420"/>
    <w:rsid w:val="0F4D3CD5"/>
    <w:rsid w:val="0F752638"/>
    <w:rsid w:val="0F9A1B17"/>
    <w:rsid w:val="0FA275B0"/>
    <w:rsid w:val="0FA2BB5C"/>
    <w:rsid w:val="0FD3CEC4"/>
    <w:rsid w:val="0FE56581"/>
    <w:rsid w:val="10553B2B"/>
    <w:rsid w:val="10F0A260"/>
    <w:rsid w:val="1109F942"/>
    <w:rsid w:val="1133C28C"/>
    <w:rsid w:val="119383EB"/>
    <w:rsid w:val="11A6C970"/>
    <w:rsid w:val="11F45A57"/>
    <w:rsid w:val="123E124D"/>
    <w:rsid w:val="124426FA"/>
    <w:rsid w:val="1259011E"/>
    <w:rsid w:val="12C44DC3"/>
    <w:rsid w:val="12D4D124"/>
    <w:rsid w:val="14AEA0DF"/>
    <w:rsid w:val="1538F382"/>
    <w:rsid w:val="15612CF8"/>
    <w:rsid w:val="158C9A21"/>
    <w:rsid w:val="15B044D8"/>
    <w:rsid w:val="15C36A2E"/>
    <w:rsid w:val="15E3B3AE"/>
    <w:rsid w:val="167335F6"/>
    <w:rsid w:val="16BBB139"/>
    <w:rsid w:val="173CC971"/>
    <w:rsid w:val="17B94D9C"/>
    <w:rsid w:val="17CC4E28"/>
    <w:rsid w:val="18368F74"/>
    <w:rsid w:val="1849B363"/>
    <w:rsid w:val="1904FC44"/>
    <w:rsid w:val="1925D923"/>
    <w:rsid w:val="1A1B13F0"/>
    <w:rsid w:val="1A4E31FE"/>
    <w:rsid w:val="1A6C53F1"/>
    <w:rsid w:val="1AB32902"/>
    <w:rsid w:val="1BB6D002"/>
    <w:rsid w:val="1C074A0F"/>
    <w:rsid w:val="1C29C948"/>
    <w:rsid w:val="1CB7449F"/>
    <w:rsid w:val="1CC57AD7"/>
    <w:rsid w:val="1DA98B1B"/>
    <w:rsid w:val="1E28CFF0"/>
    <w:rsid w:val="1E50825F"/>
    <w:rsid w:val="1E7BCD98"/>
    <w:rsid w:val="1E7EF514"/>
    <w:rsid w:val="1FE30641"/>
    <w:rsid w:val="2089517F"/>
    <w:rsid w:val="20C5EB94"/>
    <w:rsid w:val="20CE6380"/>
    <w:rsid w:val="20EACCE3"/>
    <w:rsid w:val="21065EAA"/>
    <w:rsid w:val="215DDA88"/>
    <w:rsid w:val="21A83A87"/>
    <w:rsid w:val="222B61C6"/>
    <w:rsid w:val="225ED70B"/>
    <w:rsid w:val="22E6D0AA"/>
    <w:rsid w:val="22F51F4D"/>
    <w:rsid w:val="2327B8E9"/>
    <w:rsid w:val="2363B252"/>
    <w:rsid w:val="2365C731"/>
    <w:rsid w:val="23874C95"/>
    <w:rsid w:val="2388BC2B"/>
    <w:rsid w:val="24CA76C2"/>
    <w:rsid w:val="24DC4BD6"/>
    <w:rsid w:val="24FE5374"/>
    <w:rsid w:val="2505E56C"/>
    <w:rsid w:val="25808D1B"/>
    <w:rsid w:val="263468F5"/>
    <w:rsid w:val="268ABDAC"/>
    <w:rsid w:val="26B3355A"/>
    <w:rsid w:val="26BFA2D9"/>
    <w:rsid w:val="26F4B3B7"/>
    <w:rsid w:val="27202379"/>
    <w:rsid w:val="27BFD282"/>
    <w:rsid w:val="27CCCAB2"/>
    <w:rsid w:val="280208C6"/>
    <w:rsid w:val="281DE1E8"/>
    <w:rsid w:val="2829AC78"/>
    <w:rsid w:val="28D4BE29"/>
    <w:rsid w:val="2AD76AF1"/>
    <w:rsid w:val="2AF76A26"/>
    <w:rsid w:val="2AFFB447"/>
    <w:rsid w:val="2B09771D"/>
    <w:rsid w:val="2BA0DE10"/>
    <w:rsid w:val="2C4AB81C"/>
    <w:rsid w:val="2C655306"/>
    <w:rsid w:val="2CC153D8"/>
    <w:rsid w:val="2D05CF96"/>
    <w:rsid w:val="2DD21AFB"/>
    <w:rsid w:val="2E350FEC"/>
    <w:rsid w:val="2E8CFD23"/>
    <w:rsid w:val="2F433A7A"/>
    <w:rsid w:val="2F5032DE"/>
    <w:rsid w:val="2FD4AEA4"/>
    <w:rsid w:val="3063CCF2"/>
    <w:rsid w:val="30B363E0"/>
    <w:rsid w:val="30B58EA9"/>
    <w:rsid w:val="30D8C86C"/>
    <w:rsid w:val="3123A804"/>
    <w:rsid w:val="3173CC60"/>
    <w:rsid w:val="318AE50C"/>
    <w:rsid w:val="319A6DD6"/>
    <w:rsid w:val="3210DB5B"/>
    <w:rsid w:val="32546221"/>
    <w:rsid w:val="32888CE3"/>
    <w:rsid w:val="329B1CAB"/>
    <w:rsid w:val="335BC3ED"/>
    <w:rsid w:val="33B6AE81"/>
    <w:rsid w:val="33B84FC6"/>
    <w:rsid w:val="34072B36"/>
    <w:rsid w:val="3429B08B"/>
    <w:rsid w:val="3448CAF4"/>
    <w:rsid w:val="34565967"/>
    <w:rsid w:val="3463AE23"/>
    <w:rsid w:val="349B7DC8"/>
    <w:rsid w:val="355A0F0A"/>
    <w:rsid w:val="358A3246"/>
    <w:rsid w:val="35B4B079"/>
    <w:rsid w:val="35CA7FED"/>
    <w:rsid w:val="367A8EC9"/>
    <w:rsid w:val="3695E758"/>
    <w:rsid w:val="36BF7E9F"/>
    <w:rsid w:val="37147F7E"/>
    <w:rsid w:val="3744A4C5"/>
    <w:rsid w:val="37564030"/>
    <w:rsid w:val="37790E6D"/>
    <w:rsid w:val="37B11DFC"/>
    <w:rsid w:val="37E4FCC5"/>
    <w:rsid w:val="3873EC8E"/>
    <w:rsid w:val="38781A09"/>
    <w:rsid w:val="387C3A35"/>
    <w:rsid w:val="394861B3"/>
    <w:rsid w:val="3A1CE1AA"/>
    <w:rsid w:val="3A2E01B7"/>
    <w:rsid w:val="3AF660A3"/>
    <w:rsid w:val="3B1BDEB6"/>
    <w:rsid w:val="3B3BDA79"/>
    <w:rsid w:val="3BF30B4E"/>
    <w:rsid w:val="3C4F63D7"/>
    <w:rsid w:val="3D8E91A1"/>
    <w:rsid w:val="3E018020"/>
    <w:rsid w:val="3E1D3BF9"/>
    <w:rsid w:val="3E9D0341"/>
    <w:rsid w:val="3EFF2E05"/>
    <w:rsid w:val="3F020796"/>
    <w:rsid w:val="3F12AF0F"/>
    <w:rsid w:val="3F638DA3"/>
    <w:rsid w:val="3F820340"/>
    <w:rsid w:val="3FD05D7C"/>
    <w:rsid w:val="3FE66995"/>
    <w:rsid w:val="40061100"/>
    <w:rsid w:val="40150C17"/>
    <w:rsid w:val="404762A2"/>
    <w:rsid w:val="405E0AE1"/>
    <w:rsid w:val="406CC936"/>
    <w:rsid w:val="407738A1"/>
    <w:rsid w:val="408942B6"/>
    <w:rsid w:val="40F8BF73"/>
    <w:rsid w:val="41166A10"/>
    <w:rsid w:val="41A36EB0"/>
    <w:rsid w:val="41E07E71"/>
    <w:rsid w:val="42800D96"/>
    <w:rsid w:val="42AFDF64"/>
    <w:rsid w:val="42CBCEE0"/>
    <w:rsid w:val="431BCA47"/>
    <w:rsid w:val="432356D8"/>
    <w:rsid w:val="432C96D9"/>
    <w:rsid w:val="4388F98F"/>
    <w:rsid w:val="43F26795"/>
    <w:rsid w:val="44B03249"/>
    <w:rsid w:val="44C57B9D"/>
    <w:rsid w:val="4612AA46"/>
    <w:rsid w:val="46333030"/>
    <w:rsid w:val="467B0EEF"/>
    <w:rsid w:val="4723A31E"/>
    <w:rsid w:val="47820F5E"/>
    <w:rsid w:val="47D93562"/>
    <w:rsid w:val="47EE4FC9"/>
    <w:rsid w:val="47F5CFE6"/>
    <w:rsid w:val="487D581E"/>
    <w:rsid w:val="495D8621"/>
    <w:rsid w:val="49CB73E6"/>
    <w:rsid w:val="49F46ED4"/>
    <w:rsid w:val="4AD258FE"/>
    <w:rsid w:val="4B28A73A"/>
    <w:rsid w:val="4CD4C707"/>
    <w:rsid w:val="4D02A2DF"/>
    <w:rsid w:val="4D471BEC"/>
    <w:rsid w:val="4DE11F7A"/>
    <w:rsid w:val="4E15730A"/>
    <w:rsid w:val="50681A28"/>
    <w:rsid w:val="5101BB99"/>
    <w:rsid w:val="51415D85"/>
    <w:rsid w:val="51AEBC32"/>
    <w:rsid w:val="51C10348"/>
    <w:rsid w:val="529423DF"/>
    <w:rsid w:val="52B99E9F"/>
    <w:rsid w:val="53003A5B"/>
    <w:rsid w:val="5334EAEA"/>
    <w:rsid w:val="53E0AD33"/>
    <w:rsid w:val="53E550D2"/>
    <w:rsid w:val="54231745"/>
    <w:rsid w:val="548802EB"/>
    <w:rsid w:val="54E4C114"/>
    <w:rsid w:val="54F367F1"/>
    <w:rsid w:val="553FEFFB"/>
    <w:rsid w:val="55B732AC"/>
    <w:rsid w:val="55C74568"/>
    <w:rsid w:val="56C8E63B"/>
    <w:rsid w:val="575B2902"/>
    <w:rsid w:val="57A39E03"/>
    <w:rsid w:val="57D88189"/>
    <w:rsid w:val="580A23DA"/>
    <w:rsid w:val="58DE9818"/>
    <w:rsid w:val="58F4B00D"/>
    <w:rsid w:val="58F92B6C"/>
    <w:rsid w:val="597B3A91"/>
    <w:rsid w:val="59C9FC68"/>
    <w:rsid w:val="5A871C0D"/>
    <w:rsid w:val="5AA28036"/>
    <w:rsid w:val="5AE19681"/>
    <w:rsid w:val="5B64B9EE"/>
    <w:rsid w:val="5C026F53"/>
    <w:rsid w:val="5C9919C7"/>
    <w:rsid w:val="5CCC82B4"/>
    <w:rsid w:val="5CFDCD5F"/>
    <w:rsid w:val="5D406308"/>
    <w:rsid w:val="5DFE9D3D"/>
    <w:rsid w:val="5E1AFE78"/>
    <w:rsid w:val="5E1EF9EB"/>
    <w:rsid w:val="5EFDC96A"/>
    <w:rsid w:val="5F568CB7"/>
    <w:rsid w:val="5F709980"/>
    <w:rsid w:val="5FFD1A19"/>
    <w:rsid w:val="600C16EF"/>
    <w:rsid w:val="60176918"/>
    <w:rsid w:val="602D498D"/>
    <w:rsid w:val="606D40AE"/>
    <w:rsid w:val="60744734"/>
    <w:rsid w:val="60E0C017"/>
    <w:rsid w:val="60EDFDC8"/>
    <w:rsid w:val="613112C3"/>
    <w:rsid w:val="613E1A71"/>
    <w:rsid w:val="6142ED0E"/>
    <w:rsid w:val="620B1B1B"/>
    <w:rsid w:val="62649344"/>
    <w:rsid w:val="62846A12"/>
    <w:rsid w:val="63B5EBD6"/>
    <w:rsid w:val="63DC9DFB"/>
    <w:rsid w:val="64900762"/>
    <w:rsid w:val="64A7DEE6"/>
    <w:rsid w:val="64A933F7"/>
    <w:rsid w:val="64E276CB"/>
    <w:rsid w:val="65FF51EA"/>
    <w:rsid w:val="66BE72E3"/>
    <w:rsid w:val="66CC0D6C"/>
    <w:rsid w:val="66CE3B02"/>
    <w:rsid w:val="66EF5FDE"/>
    <w:rsid w:val="6708FC91"/>
    <w:rsid w:val="687903E1"/>
    <w:rsid w:val="689601A8"/>
    <w:rsid w:val="68AA5E16"/>
    <w:rsid w:val="6921EFA6"/>
    <w:rsid w:val="692685DA"/>
    <w:rsid w:val="6A457ABB"/>
    <w:rsid w:val="6A64D798"/>
    <w:rsid w:val="6A80693C"/>
    <w:rsid w:val="6B27A046"/>
    <w:rsid w:val="6BF92C87"/>
    <w:rsid w:val="6C5773F8"/>
    <w:rsid w:val="6C6B7D38"/>
    <w:rsid w:val="6CC33FFE"/>
    <w:rsid w:val="6DF6FEFE"/>
    <w:rsid w:val="6E33F87C"/>
    <w:rsid w:val="6E346271"/>
    <w:rsid w:val="6E61F565"/>
    <w:rsid w:val="6E6C778A"/>
    <w:rsid w:val="6ED361C4"/>
    <w:rsid w:val="6F471E2F"/>
    <w:rsid w:val="6F56080D"/>
    <w:rsid w:val="70641395"/>
    <w:rsid w:val="70673D99"/>
    <w:rsid w:val="70887473"/>
    <w:rsid w:val="70B4B0E0"/>
    <w:rsid w:val="711DE195"/>
    <w:rsid w:val="713DFE42"/>
    <w:rsid w:val="7198AE9F"/>
    <w:rsid w:val="728D2DC5"/>
    <w:rsid w:val="7292C74C"/>
    <w:rsid w:val="72CFDBD7"/>
    <w:rsid w:val="733E45FC"/>
    <w:rsid w:val="73D19463"/>
    <w:rsid w:val="75A1212E"/>
    <w:rsid w:val="75E5814C"/>
    <w:rsid w:val="761E8EBB"/>
    <w:rsid w:val="768B84CF"/>
    <w:rsid w:val="76C6A70F"/>
    <w:rsid w:val="76EA6321"/>
    <w:rsid w:val="770A8264"/>
    <w:rsid w:val="778D91A5"/>
    <w:rsid w:val="77F8260F"/>
    <w:rsid w:val="78FAE7FC"/>
    <w:rsid w:val="7932551E"/>
    <w:rsid w:val="7932BBF2"/>
    <w:rsid w:val="794DF8B0"/>
    <w:rsid w:val="794E79D9"/>
    <w:rsid w:val="795A777E"/>
    <w:rsid w:val="79B0E3EB"/>
    <w:rsid w:val="79B27445"/>
    <w:rsid w:val="79ED9B32"/>
    <w:rsid w:val="7A1FA7F0"/>
    <w:rsid w:val="7A507052"/>
    <w:rsid w:val="7AA273AB"/>
    <w:rsid w:val="7AE89069"/>
    <w:rsid w:val="7B3E9ACD"/>
    <w:rsid w:val="7B6597D3"/>
    <w:rsid w:val="7B68C440"/>
    <w:rsid w:val="7C09FB74"/>
    <w:rsid w:val="7C477C2C"/>
    <w:rsid w:val="7C6A06A3"/>
    <w:rsid w:val="7C927BA9"/>
    <w:rsid w:val="7CDE510D"/>
    <w:rsid w:val="7D124FB2"/>
    <w:rsid w:val="7D904909"/>
    <w:rsid w:val="7DB9848A"/>
    <w:rsid w:val="7DF51CFB"/>
    <w:rsid w:val="7E4D2497"/>
    <w:rsid w:val="7EFBCC11"/>
    <w:rsid w:val="7F0958A9"/>
    <w:rsid w:val="7F80FF6D"/>
    <w:rsid w:val="7F8DF91D"/>
    <w:rsid w:val="7FB629B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C99FCF"/>
  <w15:chartTrackingRefBased/>
  <w15:docId w15:val="{E7D2B44F-C060-4FA9-8B06-E5ED53A80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C82BA1"/>
    <w:pPr>
      <w:jc w:val="left"/>
    </w:pPr>
    <w:rPr>
      <w:rFonts w:eastAsiaTheme="minorHAnsi"/>
      <w:sz w:val="22"/>
      <w:szCs w:val="22"/>
      <w:lang w:val="en-GB"/>
    </w:rPr>
  </w:style>
  <w:style w:type="paragraph" w:styleId="Heading1">
    <w:name w:val="heading 1"/>
    <w:basedOn w:val="Normal"/>
    <w:next w:val="Normal"/>
    <w:link w:val="Heading1Char"/>
    <w:uiPriority w:val="9"/>
    <w:qFormat/>
    <w:rsid w:val="00C82BA1"/>
    <w:pPr>
      <w:keepNext/>
      <w:keepLines/>
      <w:spacing w:before="480" w:after="0"/>
      <w:outlineLvl w:val="0"/>
    </w:pPr>
    <w:rPr>
      <w:rFonts w:asciiTheme="majorHAnsi" w:eastAsiaTheme="majorEastAsia" w:hAnsiTheme="majorHAnsi" w:cstheme="majorBidi"/>
      <w:b/>
      <w:bCs/>
      <w:color w:val="191E39" w:themeColor="accent1" w:themeShade="BF"/>
      <w:sz w:val="28"/>
      <w:szCs w:val="28"/>
    </w:rPr>
  </w:style>
  <w:style w:type="paragraph" w:styleId="Heading2">
    <w:name w:val="heading 2"/>
    <w:basedOn w:val="Normal"/>
    <w:next w:val="Normal"/>
    <w:link w:val="Heading2Char"/>
    <w:uiPriority w:val="9"/>
    <w:qFormat/>
    <w:rsid w:val="00C82BA1"/>
    <w:pPr>
      <w:keepNext/>
      <w:keepLines/>
      <w:spacing w:before="200" w:after="0"/>
      <w:outlineLvl w:val="1"/>
    </w:pPr>
    <w:rPr>
      <w:rFonts w:asciiTheme="majorHAnsi" w:eastAsiaTheme="majorEastAsia" w:hAnsiTheme="majorHAnsi" w:cstheme="majorBidi"/>
      <w:b/>
      <w:bCs/>
      <w:color w:val="22294D" w:themeColor="accent1"/>
      <w:sz w:val="26"/>
      <w:szCs w:val="26"/>
    </w:rPr>
  </w:style>
  <w:style w:type="paragraph" w:styleId="Heading3">
    <w:name w:val="heading 3"/>
    <w:basedOn w:val="Normal"/>
    <w:next w:val="Normal"/>
    <w:link w:val="Heading3Char"/>
    <w:uiPriority w:val="9"/>
    <w:qFormat/>
    <w:rsid w:val="00C82BA1"/>
    <w:pPr>
      <w:keepNext/>
      <w:keepLines/>
      <w:spacing w:before="200" w:after="0"/>
      <w:outlineLvl w:val="2"/>
    </w:pPr>
    <w:rPr>
      <w:rFonts w:asciiTheme="majorHAnsi" w:eastAsiaTheme="majorEastAsia" w:hAnsiTheme="majorHAnsi" w:cstheme="majorBidi"/>
      <w:b/>
      <w:bCs/>
      <w:color w:val="22294D" w:themeColor="accent1"/>
    </w:rPr>
  </w:style>
  <w:style w:type="paragraph" w:styleId="Heading4">
    <w:name w:val="heading 4"/>
    <w:basedOn w:val="Normal"/>
    <w:next w:val="Normal"/>
    <w:link w:val="Heading4Char"/>
    <w:uiPriority w:val="9"/>
    <w:semiHidden/>
    <w:qFormat/>
    <w:rsid w:val="00C82BA1"/>
    <w:pPr>
      <w:keepNext/>
      <w:keepLines/>
      <w:spacing w:before="200" w:after="0"/>
      <w:outlineLvl w:val="3"/>
    </w:pPr>
    <w:rPr>
      <w:rFonts w:asciiTheme="majorHAnsi" w:eastAsiaTheme="majorEastAsia" w:hAnsiTheme="majorHAnsi" w:cstheme="majorBidi"/>
      <w:b/>
      <w:bCs/>
      <w:i/>
      <w:iCs/>
      <w:color w:val="22294D" w:themeColor="accent1"/>
    </w:rPr>
  </w:style>
  <w:style w:type="paragraph" w:styleId="Heading5">
    <w:name w:val="heading 5"/>
    <w:basedOn w:val="Normal"/>
    <w:next w:val="Normal"/>
    <w:link w:val="Heading5Char"/>
    <w:uiPriority w:val="9"/>
    <w:semiHidden/>
    <w:unhideWhenUsed/>
    <w:qFormat/>
    <w:rsid w:val="00C82BA1"/>
    <w:pPr>
      <w:numPr>
        <w:ilvl w:val="4"/>
        <w:numId w:val="4"/>
      </w:numPr>
      <w:spacing w:before="200" w:after="0"/>
      <w:outlineLvl w:val="4"/>
    </w:pPr>
    <w:rPr>
      <w:smallCaps/>
      <w:color w:val="152964" w:themeColor="accent2" w:themeShade="BF"/>
      <w:spacing w:val="10"/>
      <w:szCs w:val="26"/>
    </w:rPr>
  </w:style>
  <w:style w:type="paragraph" w:styleId="Heading6">
    <w:name w:val="heading 6"/>
    <w:basedOn w:val="Normal"/>
    <w:next w:val="Normal"/>
    <w:link w:val="Heading6Char"/>
    <w:uiPriority w:val="9"/>
    <w:semiHidden/>
    <w:unhideWhenUsed/>
    <w:qFormat/>
    <w:rsid w:val="00C82BA1"/>
    <w:pPr>
      <w:numPr>
        <w:ilvl w:val="5"/>
        <w:numId w:val="4"/>
      </w:numPr>
      <w:spacing w:after="0"/>
      <w:outlineLvl w:val="5"/>
    </w:pPr>
    <w:rPr>
      <w:smallCaps/>
      <w:color w:val="1D3786" w:themeColor="accent2"/>
      <w:spacing w:val="5"/>
    </w:rPr>
  </w:style>
  <w:style w:type="paragraph" w:styleId="Heading7">
    <w:name w:val="heading 7"/>
    <w:basedOn w:val="Normal"/>
    <w:next w:val="Normal"/>
    <w:link w:val="Heading7Char"/>
    <w:uiPriority w:val="9"/>
    <w:semiHidden/>
    <w:unhideWhenUsed/>
    <w:qFormat/>
    <w:rsid w:val="00C82BA1"/>
    <w:pPr>
      <w:numPr>
        <w:ilvl w:val="6"/>
        <w:numId w:val="4"/>
      </w:numPr>
      <w:spacing w:after="0"/>
      <w:outlineLvl w:val="6"/>
    </w:pPr>
    <w:rPr>
      <w:b/>
      <w:smallCaps/>
      <w:color w:val="1D3786" w:themeColor="accent2"/>
      <w:spacing w:val="10"/>
    </w:rPr>
  </w:style>
  <w:style w:type="paragraph" w:styleId="Heading8">
    <w:name w:val="heading 8"/>
    <w:basedOn w:val="Normal"/>
    <w:next w:val="Normal"/>
    <w:link w:val="Heading8Char"/>
    <w:uiPriority w:val="9"/>
    <w:semiHidden/>
    <w:unhideWhenUsed/>
    <w:qFormat/>
    <w:rsid w:val="00C82BA1"/>
    <w:pPr>
      <w:numPr>
        <w:ilvl w:val="7"/>
        <w:numId w:val="4"/>
      </w:numPr>
      <w:spacing w:after="0"/>
      <w:outlineLvl w:val="7"/>
    </w:pPr>
    <w:rPr>
      <w:b/>
      <w:i/>
      <w:smallCaps/>
      <w:color w:val="152964" w:themeColor="accent2" w:themeShade="BF"/>
    </w:rPr>
  </w:style>
  <w:style w:type="paragraph" w:styleId="Heading9">
    <w:name w:val="heading 9"/>
    <w:basedOn w:val="Normal"/>
    <w:next w:val="Normal"/>
    <w:link w:val="Heading9Char"/>
    <w:uiPriority w:val="9"/>
    <w:semiHidden/>
    <w:unhideWhenUsed/>
    <w:qFormat/>
    <w:rsid w:val="00C82BA1"/>
    <w:pPr>
      <w:numPr>
        <w:ilvl w:val="8"/>
        <w:numId w:val="4"/>
      </w:numPr>
      <w:spacing w:after="0"/>
      <w:outlineLvl w:val="8"/>
    </w:pPr>
    <w:rPr>
      <w:b/>
      <w:i/>
      <w:smallCaps/>
      <w:color w:val="0E1B42"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2BA1"/>
    <w:rPr>
      <w:rFonts w:asciiTheme="majorHAnsi" w:eastAsiaTheme="majorEastAsia" w:hAnsiTheme="majorHAnsi" w:cstheme="majorBidi"/>
      <w:b/>
      <w:bCs/>
      <w:color w:val="191E39" w:themeColor="accent1" w:themeShade="BF"/>
      <w:sz w:val="28"/>
      <w:szCs w:val="28"/>
      <w:lang w:val="en-GB"/>
    </w:rPr>
  </w:style>
  <w:style w:type="paragraph" w:styleId="Header">
    <w:name w:val="header"/>
    <w:basedOn w:val="Normal"/>
    <w:link w:val="HeaderChar"/>
    <w:uiPriority w:val="99"/>
    <w:rsid w:val="00C82BA1"/>
    <w:pPr>
      <w:suppressLineNumbers/>
      <w:tabs>
        <w:tab w:val="center" w:pos="4513"/>
        <w:tab w:val="right" w:pos="9026"/>
      </w:tabs>
      <w:suppressAutoHyphens/>
      <w:spacing w:after="120" w:line="240" w:lineRule="auto"/>
    </w:pPr>
    <w:rPr>
      <w:rFonts w:ascii="Tahoma" w:eastAsia="Times New Roman" w:hAnsi="Tahoma" w:cs="Times New Roman"/>
      <w:sz w:val="20"/>
      <w:szCs w:val="20"/>
      <w:lang w:eastAsia="en-GB"/>
    </w:rPr>
  </w:style>
  <w:style w:type="character" w:customStyle="1" w:styleId="HeaderChar">
    <w:name w:val="Header Char"/>
    <w:basedOn w:val="DefaultParagraphFont"/>
    <w:link w:val="Header"/>
    <w:uiPriority w:val="99"/>
    <w:rsid w:val="00C82BA1"/>
    <w:rPr>
      <w:rFonts w:ascii="Tahoma" w:eastAsia="Times New Roman" w:hAnsi="Tahoma" w:cs="Times New Roman"/>
      <w:lang w:val="en-GB" w:eastAsia="en-GB"/>
    </w:rPr>
  </w:style>
  <w:style w:type="paragraph" w:styleId="Footer">
    <w:name w:val="footer"/>
    <w:basedOn w:val="Normal"/>
    <w:link w:val="FooterChar"/>
    <w:uiPriority w:val="99"/>
    <w:rsid w:val="00C82B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2BA1"/>
    <w:rPr>
      <w:rFonts w:eastAsiaTheme="minorHAnsi"/>
      <w:sz w:val="22"/>
      <w:szCs w:val="22"/>
      <w:lang w:val="en-GB"/>
    </w:rPr>
  </w:style>
  <w:style w:type="character" w:styleId="PageNumber">
    <w:name w:val="page number"/>
    <w:basedOn w:val="DefaultParagraphFont"/>
    <w:uiPriority w:val="99"/>
    <w:semiHidden/>
    <w:unhideWhenUsed/>
    <w:rsid w:val="00C82BA1"/>
  </w:style>
  <w:style w:type="paragraph" w:styleId="Title">
    <w:name w:val="Title"/>
    <w:basedOn w:val="Normal"/>
    <w:next w:val="Normal"/>
    <w:link w:val="TitleChar"/>
    <w:uiPriority w:val="10"/>
    <w:qFormat/>
    <w:rsid w:val="00C82BA1"/>
    <w:pPr>
      <w:pBdr>
        <w:top w:val="single" w:sz="12" w:space="1" w:color="1D3786" w:themeColor="accent2"/>
      </w:pBdr>
      <w:spacing w:after="0" w:line="240" w:lineRule="auto"/>
    </w:pPr>
    <w:rPr>
      <w:rFonts w:cs="Times New Roman (Corps CS)"/>
      <w:sz w:val="48"/>
      <w:szCs w:val="48"/>
      <w:lang w:val="fr-BE"/>
    </w:rPr>
  </w:style>
  <w:style w:type="character" w:customStyle="1" w:styleId="TitleChar">
    <w:name w:val="Title Char"/>
    <w:basedOn w:val="DefaultParagraphFont"/>
    <w:link w:val="Title"/>
    <w:uiPriority w:val="10"/>
    <w:rsid w:val="00C82BA1"/>
    <w:rPr>
      <w:rFonts w:eastAsiaTheme="minorHAnsi" w:cs="Times New Roman (Corps CS)"/>
      <w:sz w:val="48"/>
      <w:szCs w:val="48"/>
      <w:lang w:val="fr-BE"/>
    </w:rPr>
  </w:style>
  <w:style w:type="character" w:customStyle="1" w:styleId="Heading2Char">
    <w:name w:val="Heading 2 Char"/>
    <w:basedOn w:val="DefaultParagraphFont"/>
    <w:link w:val="Heading2"/>
    <w:uiPriority w:val="9"/>
    <w:rsid w:val="00C82BA1"/>
    <w:rPr>
      <w:rFonts w:asciiTheme="majorHAnsi" w:eastAsiaTheme="majorEastAsia" w:hAnsiTheme="majorHAnsi" w:cstheme="majorBidi"/>
      <w:b/>
      <w:bCs/>
      <w:color w:val="22294D" w:themeColor="accent1"/>
      <w:sz w:val="26"/>
      <w:szCs w:val="26"/>
      <w:lang w:val="en-GB"/>
    </w:rPr>
  </w:style>
  <w:style w:type="character" w:customStyle="1" w:styleId="Heading3Char">
    <w:name w:val="Heading 3 Char"/>
    <w:basedOn w:val="DefaultParagraphFont"/>
    <w:link w:val="Heading3"/>
    <w:uiPriority w:val="9"/>
    <w:rsid w:val="00C82BA1"/>
    <w:rPr>
      <w:rFonts w:asciiTheme="majorHAnsi" w:eastAsiaTheme="majorEastAsia" w:hAnsiTheme="majorHAnsi" w:cstheme="majorBidi"/>
      <w:b/>
      <w:bCs/>
      <w:color w:val="22294D" w:themeColor="accent1"/>
      <w:sz w:val="22"/>
      <w:szCs w:val="22"/>
      <w:lang w:val="en-GB"/>
    </w:rPr>
  </w:style>
  <w:style w:type="character" w:customStyle="1" w:styleId="Heading4Char">
    <w:name w:val="Heading 4 Char"/>
    <w:basedOn w:val="DefaultParagraphFont"/>
    <w:link w:val="Heading4"/>
    <w:uiPriority w:val="9"/>
    <w:semiHidden/>
    <w:rsid w:val="00C82BA1"/>
    <w:rPr>
      <w:rFonts w:asciiTheme="majorHAnsi" w:eastAsiaTheme="majorEastAsia" w:hAnsiTheme="majorHAnsi" w:cstheme="majorBidi"/>
      <w:b/>
      <w:bCs/>
      <w:i/>
      <w:iCs/>
      <w:color w:val="22294D" w:themeColor="accent1"/>
      <w:sz w:val="22"/>
      <w:szCs w:val="22"/>
      <w:lang w:val="en-GB"/>
    </w:rPr>
  </w:style>
  <w:style w:type="character" w:customStyle="1" w:styleId="Heading5Char">
    <w:name w:val="Heading 5 Char"/>
    <w:basedOn w:val="DefaultParagraphFont"/>
    <w:link w:val="Heading5"/>
    <w:uiPriority w:val="9"/>
    <w:semiHidden/>
    <w:rsid w:val="00C82BA1"/>
    <w:rPr>
      <w:rFonts w:eastAsiaTheme="minorHAnsi"/>
      <w:smallCaps/>
      <w:color w:val="152964" w:themeColor="accent2" w:themeShade="BF"/>
      <w:spacing w:val="10"/>
      <w:sz w:val="22"/>
      <w:szCs w:val="26"/>
      <w:lang w:val="en-GB"/>
    </w:rPr>
  </w:style>
  <w:style w:type="character" w:customStyle="1" w:styleId="Heading6Char">
    <w:name w:val="Heading 6 Char"/>
    <w:basedOn w:val="DefaultParagraphFont"/>
    <w:link w:val="Heading6"/>
    <w:uiPriority w:val="9"/>
    <w:semiHidden/>
    <w:rsid w:val="00C82BA1"/>
    <w:rPr>
      <w:rFonts w:eastAsiaTheme="minorHAnsi"/>
      <w:smallCaps/>
      <w:color w:val="1D3786" w:themeColor="accent2"/>
      <w:spacing w:val="5"/>
      <w:sz w:val="22"/>
      <w:szCs w:val="22"/>
      <w:lang w:val="en-GB"/>
    </w:rPr>
  </w:style>
  <w:style w:type="character" w:customStyle="1" w:styleId="Heading7Char">
    <w:name w:val="Heading 7 Char"/>
    <w:basedOn w:val="DefaultParagraphFont"/>
    <w:link w:val="Heading7"/>
    <w:uiPriority w:val="9"/>
    <w:semiHidden/>
    <w:rsid w:val="00C82BA1"/>
    <w:rPr>
      <w:rFonts w:eastAsiaTheme="minorHAnsi"/>
      <w:b/>
      <w:smallCaps/>
      <w:color w:val="1D3786" w:themeColor="accent2"/>
      <w:spacing w:val="10"/>
      <w:sz w:val="22"/>
      <w:szCs w:val="22"/>
      <w:lang w:val="en-GB"/>
    </w:rPr>
  </w:style>
  <w:style w:type="character" w:customStyle="1" w:styleId="Heading8Char">
    <w:name w:val="Heading 8 Char"/>
    <w:basedOn w:val="DefaultParagraphFont"/>
    <w:link w:val="Heading8"/>
    <w:uiPriority w:val="9"/>
    <w:semiHidden/>
    <w:rsid w:val="00C82BA1"/>
    <w:rPr>
      <w:rFonts w:eastAsiaTheme="minorHAnsi"/>
      <w:b/>
      <w:i/>
      <w:smallCaps/>
      <w:color w:val="152964" w:themeColor="accent2" w:themeShade="BF"/>
      <w:sz w:val="22"/>
      <w:szCs w:val="22"/>
      <w:lang w:val="en-GB"/>
    </w:rPr>
  </w:style>
  <w:style w:type="character" w:customStyle="1" w:styleId="Heading9Char">
    <w:name w:val="Heading 9 Char"/>
    <w:basedOn w:val="DefaultParagraphFont"/>
    <w:link w:val="Heading9"/>
    <w:uiPriority w:val="9"/>
    <w:semiHidden/>
    <w:rsid w:val="00C82BA1"/>
    <w:rPr>
      <w:rFonts w:eastAsiaTheme="minorHAnsi"/>
      <w:b/>
      <w:i/>
      <w:smallCaps/>
      <w:color w:val="0E1B42" w:themeColor="accent2" w:themeShade="7F"/>
      <w:sz w:val="22"/>
      <w:szCs w:val="22"/>
      <w:lang w:val="en-GB"/>
    </w:rPr>
  </w:style>
  <w:style w:type="paragraph" w:styleId="Caption">
    <w:name w:val="caption"/>
    <w:basedOn w:val="Normal"/>
    <w:next w:val="Normal"/>
    <w:uiPriority w:val="35"/>
    <w:qFormat/>
    <w:rsid w:val="00C82BA1"/>
    <w:pPr>
      <w:spacing w:line="240" w:lineRule="auto"/>
    </w:pPr>
    <w:rPr>
      <w:b/>
      <w:bCs/>
      <w:color w:val="22294D" w:themeColor="accent1"/>
      <w:sz w:val="18"/>
      <w:szCs w:val="18"/>
    </w:rPr>
  </w:style>
  <w:style w:type="paragraph" w:styleId="Subtitle">
    <w:name w:val="Subtitle"/>
    <w:basedOn w:val="Normal"/>
    <w:next w:val="Normal"/>
    <w:link w:val="SubtitleChar"/>
    <w:uiPriority w:val="11"/>
    <w:qFormat/>
    <w:rsid w:val="00C82BA1"/>
    <w:pPr>
      <w:spacing w:after="720" w:line="240" w:lineRule="auto"/>
    </w:pPr>
    <w:rPr>
      <w:rFonts w:asciiTheme="majorHAnsi" w:eastAsiaTheme="majorEastAsia" w:hAnsiTheme="majorHAnsi" w:cstheme="majorBidi"/>
      <w:i/>
      <w:iCs/>
      <w:lang w:val="fr-BE"/>
    </w:rPr>
  </w:style>
  <w:style w:type="character" w:customStyle="1" w:styleId="SubtitleChar">
    <w:name w:val="Subtitle Char"/>
    <w:basedOn w:val="DefaultParagraphFont"/>
    <w:link w:val="Subtitle"/>
    <w:uiPriority w:val="11"/>
    <w:rsid w:val="00C82BA1"/>
    <w:rPr>
      <w:rFonts w:asciiTheme="majorHAnsi" w:eastAsiaTheme="majorEastAsia" w:hAnsiTheme="majorHAnsi" w:cstheme="majorBidi"/>
      <w:i/>
      <w:iCs/>
      <w:sz w:val="22"/>
      <w:szCs w:val="22"/>
      <w:lang w:val="fr-BE"/>
    </w:rPr>
  </w:style>
  <w:style w:type="character" w:styleId="Strong">
    <w:name w:val="Strong"/>
    <w:uiPriority w:val="22"/>
    <w:qFormat/>
    <w:rsid w:val="00C82BA1"/>
    <w:rPr>
      <w:b/>
      <w:color w:val="22294D" w:themeColor="text1"/>
    </w:rPr>
  </w:style>
  <w:style w:type="character" w:styleId="Emphasis">
    <w:name w:val="Emphasis"/>
    <w:uiPriority w:val="20"/>
    <w:qFormat/>
    <w:rsid w:val="00C82BA1"/>
    <w:rPr>
      <w:b/>
      <w:i/>
      <w:color w:val="22294D" w:themeColor="text1"/>
      <w:spacing w:val="10"/>
    </w:rPr>
  </w:style>
  <w:style w:type="paragraph" w:styleId="NoSpacing">
    <w:name w:val="No Spacing"/>
    <w:basedOn w:val="Normal"/>
    <w:link w:val="NoSpacingChar"/>
    <w:uiPriority w:val="1"/>
    <w:qFormat/>
    <w:rsid w:val="00C82BA1"/>
    <w:pPr>
      <w:spacing w:after="0" w:line="240" w:lineRule="auto"/>
    </w:pPr>
  </w:style>
  <w:style w:type="paragraph" w:styleId="ListParagraph">
    <w:name w:val="List Paragraph"/>
    <w:basedOn w:val="Normal"/>
    <w:uiPriority w:val="1"/>
    <w:qFormat/>
    <w:rsid w:val="00C82BA1"/>
    <w:pPr>
      <w:ind w:left="720"/>
      <w:contextualSpacing/>
    </w:pPr>
  </w:style>
  <w:style w:type="paragraph" w:styleId="Quote">
    <w:name w:val="Quote"/>
    <w:basedOn w:val="Normal"/>
    <w:next w:val="Normal"/>
    <w:link w:val="QuoteChar"/>
    <w:uiPriority w:val="29"/>
    <w:qFormat/>
    <w:rsid w:val="00C82BA1"/>
    <w:rPr>
      <w:i/>
    </w:rPr>
  </w:style>
  <w:style w:type="character" w:customStyle="1" w:styleId="QuoteChar">
    <w:name w:val="Quote Char"/>
    <w:basedOn w:val="DefaultParagraphFont"/>
    <w:link w:val="Quote"/>
    <w:uiPriority w:val="29"/>
    <w:rsid w:val="00C82BA1"/>
    <w:rPr>
      <w:rFonts w:eastAsiaTheme="minorHAnsi"/>
      <w:i/>
      <w:sz w:val="22"/>
      <w:szCs w:val="22"/>
      <w:lang w:val="en-GB"/>
    </w:rPr>
  </w:style>
  <w:style w:type="paragraph" w:styleId="IntenseQuote">
    <w:name w:val="Intense Quote"/>
    <w:basedOn w:val="Normal"/>
    <w:next w:val="Normal"/>
    <w:link w:val="IntenseQuoteChar"/>
    <w:uiPriority w:val="30"/>
    <w:qFormat/>
    <w:rsid w:val="00C82BA1"/>
    <w:pPr>
      <w:pBdr>
        <w:top w:val="single" w:sz="8" w:space="10" w:color="152964" w:themeColor="accent2" w:themeShade="BF"/>
        <w:left w:val="single" w:sz="8" w:space="10" w:color="152964" w:themeColor="accent2" w:themeShade="BF"/>
        <w:bottom w:val="single" w:sz="8" w:space="10" w:color="152964" w:themeColor="accent2" w:themeShade="BF"/>
        <w:right w:val="single" w:sz="8" w:space="10" w:color="152964" w:themeColor="accent2" w:themeShade="BF"/>
      </w:pBdr>
      <w:shd w:val="clear" w:color="auto" w:fill="1D3786"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C82BA1"/>
    <w:rPr>
      <w:rFonts w:eastAsiaTheme="minorHAnsi"/>
      <w:b/>
      <w:i/>
      <w:color w:val="FFFFFF" w:themeColor="background1"/>
      <w:sz w:val="22"/>
      <w:szCs w:val="22"/>
      <w:shd w:val="clear" w:color="auto" w:fill="1D3786" w:themeFill="accent2"/>
      <w:lang w:val="en-GB"/>
    </w:rPr>
  </w:style>
  <w:style w:type="character" w:styleId="SubtleEmphasis">
    <w:name w:val="Subtle Emphasis"/>
    <w:qFormat/>
    <w:rsid w:val="00C82BA1"/>
    <w:rPr>
      <w:rFonts w:ascii="Verdana" w:hAnsi="Verdana"/>
      <w:iCs/>
      <w:color w:val="000000"/>
      <w:sz w:val="20"/>
    </w:rPr>
  </w:style>
  <w:style w:type="character" w:styleId="IntenseEmphasis">
    <w:name w:val="Intense Emphasis"/>
    <w:uiPriority w:val="21"/>
    <w:qFormat/>
    <w:rsid w:val="00C82BA1"/>
    <w:rPr>
      <w:b/>
      <w:i/>
      <w:color w:val="22294D" w:themeColor="text1"/>
      <w:spacing w:val="10"/>
    </w:rPr>
  </w:style>
  <w:style w:type="character" w:styleId="SubtleReference">
    <w:name w:val="Subtle Reference"/>
    <w:uiPriority w:val="31"/>
    <w:qFormat/>
    <w:rsid w:val="00C82BA1"/>
    <w:rPr>
      <w:b/>
      <w:color w:val="22294D" w:themeColor="text1"/>
    </w:rPr>
  </w:style>
  <w:style w:type="character" w:styleId="IntenseReference">
    <w:name w:val="Intense Reference"/>
    <w:uiPriority w:val="32"/>
    <w:qFormat/>
    <w:rsid w:val="00C82BA1"/>
    <w:rPr>
      <w:b/>
      <w:bCs/>
      <w:smallCaps/>
      <w:color w:val="22294D" w:themeColor="text1"/>
      <w:spacing w:val="5"/>
      <w:sz w:val="22"/>
      <w:szCs w:val="22"/>
      <w:u w:val="single"/>
    </w:rPr>
  </w:style>
  <w:style w:type="character" w:styleId="BookTitle">
    <w:name w:val="Book Title"/>
    <w:uiPriority w:val="33"/>
    <w:qFormat/>
    <w:rsid w:val="00C82BA1"/>
    <w:rPr>
      <w:rFonts w:asciiTheme="majorHAnsi" w:eastAsiaTheme="majorEastAsia" w:hAnsiTheme="majorHAnsi" w:cstheme="majorBidi"/>
      <w:i/>
      <w:iCs/>
      <w:color w:val="22294D" w:themeColor="text1"/>
      <w:sz w:val="20"/>
      <w:szCs w:val="20"/>
    </w:rPr>
  </w:style>
  <w:style w:type="paragraph" w:styleId="TOCHeading">
    <w:name w:val="TOC Heading"/>
    <w:basedOn w:val="EFSAHeading1nonumber"/>
    <w:next w:val="Normal"/>
    <w:uiPriority w:val="39"/>
    <w:unhideWhenUsed/>
    <w:qFormat/>
    <w:rsid w:val="00C82BA1"/>
  </w:style>
  <w:style w:type="character" w:customStyle="1" w:styleId="NoSpacingChar">
    <w:name w:val="No Spacing Char"/>
    <w:basedOn w:val="DefaultParagraphFont"/>
    <w:link w:val="NoSpacing"/>
    <w:uiPriority w:val="1"/>
    <w:rsid w:val="00C82BA1"/>
    <w:rPr>
      <w:rFonts w:eastAsiaTheme="minorHAnsi"/>
      <w:sz w:val="22"/>
      <w:szCs w:val="22"/>
      <w:lang w:val="en-GB"/>
    </w:rPr>
  </w:style>
  <w:style w:type="table" w:styleId="TableGrid">
    <w:name w:val="Table Grid"/>
    <w:basedOn w:val="TableNormal"/>
    <w:uiPriority w:val="59"/>
    <w:rsid w:val="00C82BA1"/>
    <w:pPr>
      <w:spacing w:after="0" w:line="240" w:lineRule="auto"/>
      <w:jc w:val="left"/>
    </w:pPr>
    <w:rPr>
      <w:rFonts w:ascii="Tahoma" w:eastAsia="Times New Roman" w:hAnsi="Tahoma" w:cs="Times New Roman"/>
      <w:lang w:val="en-GB" w:eastAsia="en-GB"/>
    </w:rPr>
    <w:tblPr/>
  </w:style>
  <w:style w:type="table" w:styleId="GridTable4">
    <w:name w:val="Grid Table 4"/>
    <w:basedOn w:val="TableNormal"/>
    <w:uiPriority w:val="49"/>
    <w:rsid w:val="00C82BA1"/>
    <w:pPr>
      <w:spacing w:after="0" w:line="240" w:lineRule="auto"/>
    </w:pPr>
    <w:tblPr>
      <w:tblStyleRowBandSize w:val="1"/>
      <w:tblStyleColBandSize w:val="1"/>
    </w:tblPr>
    <w:tcPr>
      <w:shd w:val="clear" w:color="auto" w:fill="C7CCE6" w:themeFill="text1" w:themeFillTint="33"/>
    </w:tcPr>
    <w:tblStylePr w:type="firstRow">
      <w:rPr>
        <w:b/>
        <w:bCs/>
        <w:color w:val="FFFFFF" w:themeColor="background1"/>
      </w:rPr>
      <w:tblPr/>
      <w:tcPr>
        <w:tcBorders>
          <w:top w:val="single" w:sz="4" w:space="0" w:color="22294D" w:themeColor="text1"/>
          <w:left w:val="single" w:sz="4" w:space="0" w:color="22294D" w:themeColor="text1"/>
          <w:bottom w:val="single" w:sz="4" w:space="0" w:color="22294D" w:themeColor="text1"/>
          <w:right w:val="single" w:sz="4" w:space="0" w:color="22294D" w:themeColor="text1"/>
          <w:insideH w:val="nil"/>
          <w:insideV w:val="nil"/>
        </w:tcBorders>
        <w:shd w:val="clear" w:color="auto" w:fill="22294D" w:themeFill="text1"/>
      </w:tcPr>
    </w:tblStylePr>
    <w:tblStylePr w:type="lastRow">
      <w:rPr>
        <w:b/>
        <w:bCs/>
      </w:rPr>
      <w:tblPr/>
      <w:tcPr>
        <w:tcBorders>
          <w:top w:val="double" w:sz="4" w:space="0" w:color="22294D" w:themeColor="text1"/>
        </w:tcBorders>
      </w:tcPr>
    </w:tblStylePr>
    <w:tblStylePr w:type="firstCol">
      <w:rPr>
        <w:b/>
        <w:bCs/>
      </w:rPr>
    </w:tblStylePr>
    <w:tblStylePr w:type="lastCol">
      <w:rPr>
        <w:b/>
        <w:bCs/>
      </w:rPr>
    </w:tblStylePr>
    <w:tblStylePr w:type="band1Vert">
      <w:tblPr/>
      <w:tcPr>
        <w:shd w:val="clear" w:color="auto" w:fill="C7CCE6" w:themeFill="text1" w:themeFillTint="33"/>
      </w:tcPr>
    </w:tblStylePr>
  </w:style>
  <w:style w:type="paragraph" w:styleId="TOC1">
    <w:name w:val="toc 1"/>
    <w:basedOn w:val="Normal"/>
    <w:uiPriority w:val="39"/>
    <w:qFormat/>
    <w:rsid w:val="00C82BA1"/>
    <w:pPr>
      <w:tabs>
        <w:tab w:val="right" w:leader="dot" w:pos="9072"/>
      </w:tabs>
      <w:suppressAutoHyphens/>
      <w:spacing w:after="0" w:line="240" w:lineRule="auto"/>
      <w:ind w:left="680" w:hanging="680"/>
    </w:pPr>
    <w:rPr>
      <w:rFonts w:ascii="Verdana" w:eastAsia="Times New Roman" w:hAnsi="Verdana" w:cs="Times New Roman"/>
      <w:color w:val="22294D"/>
      <w:sz w:val="20"/>
      <w:szCs w:val="20"/>
      <w:lang w:eastAsia="en-GB"/>
    </w:rPr>
  </w:style>
  <w:style w:type="paragraph" w:styleId="TOC2">
    <w:name w:val="toc 2"/>
    <w:basedOn w:val="Normal"/>
    <w:uiPriority w:val="39"/>
    <w:qFormat/>
    <w:rsid w:val="00C82BA1"/>
    <w:pPr>
      <w:tabs>
        <w:tab w:val="right" w:leader="dot" w:pos="9072"/>
      </w:tabs>
      <w:suppressAutoHyphens/>
      <w:spacing w:after="0" w:line="240" w:lineRule="auto"/>
      <w:ind w:left="680" w:hanging="680"/>
    </w:pPr>
    <w:rPr>
      <w:rFonts w:ascii="Verdana" w:eastAsia="Times New Roman" w:hAnsi="Verdana" w:cs="Times New Roman"/>
      <w:color w:val="22294D"/>
      <w:sz w:val="20"/>
      <w:szCs w:val="20"/>
      <w:lang w:eastAsia="en-GB"/>
    </w:rPr>
  </w:style>
  <w:style w:type="paragraph" w:styleId="TOC3">
    <w:name w:val="toc 3"/>
    <w:basedOn w:val="Normal"/>
    <w:uiPriority w:val="39"/>
    <w:qFormat/>
    <w:rsid w:val="00C82BA1"/>
    <w:pPr>
      <w:tabs>
        <w:tab w:val="right" w:leader="dot" w:pos="9072"/>
      </w:tabs>
      <w:suppressAutoHyphens/>
      <w:spacing w:after="0" w:line="240" w:lineRule="auto"/>
      <w:ind w:left="680" w:hanging="680"/>
    </w:pPr>
    <w:rPr>
      <w:rFonts w:ascii="Verdana" w:eastAsia="Times New Roman" w:hAnsi="Verdana" w:cs="Times New Roman"/>
      <w:color w:val="22294D"/>
      <w:sz w:val="20"/>
      <w:szCs w:val="20"/>
      <w:lang w:eastAsia="en-GB"/>
    </w:rPr>
  </w:style>
  <w:style w:type="character" w:styleId="Hyperlink">
    <w:name w:val="Hyperlink"/>
    <w:basedOn w:val="DefaultParagraphFont"/>
    <w:uiPriority w:val="99"/>
    <w:unhideWhenUsed/>
    <w:rsid w:val="00C82BA1"/>
    <w:rPr>
      <w:color w:val="38B292" w:themeColor="hyperlink"/>
      <w:u w:val="single"/>
    </w:rPr>
  </w:style>
  <w:style w:type="paragraph" w:styleId="TOC4">
    <w:name w:val="toc 4"/>
    <w:next w:val="Normal"/>
    <w:uiPriority w:val="39"/>
    <w:rsid w:val="00C82BA1"/>
    <w:pPr>
      <w:tabs>
        <w:tab w:val="right" w:leader="dot" w:pos="9072"/>
      </w:tabs>
      <w:spacing w:after="0" w:line="240" w:lineRule="auto"/>
      <w:ind w:left="680" w:hanging="680"/>
      <w:jc w:val="left"/>
    </w:pPr>
    <w:rPr>
      <w:rFonts w:ascii="Verdana" w:eastAsiaTheme="minorHAnsi" w:hAnsi="Verdana"/>
      <w:color w:val="22294D"/>
      <w:szCs w:val="22"/>
      <w:lang w:val="en-GB"/>
    </w:rPr>
  </w:style>
  <w:style w:type="paragraph" w:styleId="TOC5">
    <w:name w:val="toc 5"/>
    <w:next w:val="Normal"/>
    <w:uiPriority w:val="39"/>
    <w:rsid w:val="00C82BA1"/>
    <w:pPr>
      <w:tabs>
        <w:tab w:val="right" w:leader="dot" w:pos="9072"/>
      </w:tabs>
      <w:spacing w:after="0" w:line="240" w:lineRule="auto"/>
      <w:ind w:left="1247" w:hanging="1247"/>
      <w:jc w:val="left"/>
    </w:pPr>
    <w:rPr>
      <w:rFonts w:ascii="Verdana" w:eastAsiaTheme="minorHAnsi" w:hAnsi="Verdana"/>
      <w:color w:val="22294D"/>
      <w:szCs w:val="22"/>
      <w:lang w:val="en-GB"/>
    </w:rPr>
  </w:style>
  <w:style w:type="paragraph" w:styleId="TOC6">
    <w:name w:val="toc 6"/>
    <w:basedOn w:val="Normal"/>
    <w:next w:val="Normal"/>
    <w:autoRedefine/>
    <w:uiPriority w:val="39"/>
    <w:semiHidden/>
    <w:unhideWhenUsed/>
    <w:rsid w:val="00C82BA1"/>
    <w:pPr>
      <w:spacing w:after="0"/>
      <w:ind w:left="1000"/>
    </w:pPr>
  </w:style>
  <w:style w:type="paragraph" w:styleId="TOC7">
    <w:name w:val="toc 7"/>
    <w:basedOn w:val="Normal"/>
    <w:next w:val="Normal"/>
    <w:autoRedefine/>
    <w:uiPriority w:val="39"/>
    <w:semiHidden/>
    <w:unhideWhenUsed/>
    <w:rsid w:val="00C82BA1"/>
    <w:pPr>
      <w:spacing w:after="0"/>
      <w:ind w:left="1200"/>
    </w:pPr>
  </w:style>
  <w:style w:type="paragraph" w:styleId="TOC8">
    <w:name w:val="toc 8"/>
    <w:basedOn w:val="Normal"/>
    <w:next w:val="Normal"/>
    <w:autoRedefine/>
    <w:uiPriority w:val="39"/>
    <w:semiHidden/>
    <w:unhideWhenUsed/>
    <w:rsid w:val="00C82BA1"/>
    <w:pPr>
      <w:spacing w:after="0"/>
      <w:ind w:left="1400"/>
    </w:pPr>
  </w:style>
  <w:style w:type="paragraph" w:styleId="TOC9">
    <w:name w:val="toc 9"/>
    <w:basedOn w:val="Normal"/>
    <w:next w:val="Normal"/>
    <w:autoRedefine/>
    <w:uiPriority w:val="39"/>
    <w:semiHidden/>
    <w:unhideWhenUsed/>
    <w:rsid w:val="00C82BA1"/>
    <w:pPr>
      <w:spacing w:after="0"/>
      <w:ind w:left="1600"/>
    </w:pPr>
  </w:style>
  <w:style w:type="numbering" w:customStyle="1" w:styleId="Liste1">
    <w:name w:val="Liste1"/>
    <w:basedOn w:val="NoList"/>
    <w:uiPriority w:val="99"/>
    <w:rsid w:val="00C82BA1"/>
    <w:pPr>
      <w:numPr>
        <w:numId w:val="3"/>
      </w:numPr>
    </w:pPr>
  </w:style>
  <w:style w:type="paragraph" w:customStyle="1" w:styleId="List1">
    <w:name w:val="List 1"/>
    <w:basedOn w:val="ListParagraph"/>
    <w:qFormat/>
    <w:rsid w:val="00C82BA1"/>
    <w:pPr>
      <w:numPr>
        <w:numId w:val="2"/>
      </w:numPr>
      <w:spacing w:after="0"/>
    </w:pPr>
    <w:rPr>
      <w:color w:val="22294D"/>
    </w:rPr>
  </w:style>
  <w:style w:type="paragraph" w:customStyle="1" w:styleId="Liste21">
    <w:name w:val="Liste 21"/>
    <w:basedOn w:val="List1"/>
    <w:qFormat/>
    <w:rsid w:val="00C82BA1"/>
    <w:pPr>
      <w:numPr>
        <w:ilvl w:val="1"/>
      </w:numPr>
    </w:pPr>
    <w:rPr>
      <w:lang w:val="fr-BE"/>
    </w:rPr>
  </w:style>
  <w:style w:type="character" w:styleId="PlaceholderText">
    <w:name w:val="Placeholder Text"/>
    <w:basedOn w:val="DefaultParagraphFont"/>
    <w:uiPriority w:val="99"/>
    <w:semiHidden/>
    <w:rsid w:val="00C82BA1"/>
    <w:rPr>
      <w:color w:val="808080"/>
    </w:rPr>
  </w:style>
  <w:style w:type="table" w:styleId="PlainTable3">
    <w:name w:val="Plain Table 3"/>
    <w:basedOn w:val="TableNormal"/>
    <w:uiPriority w:val="43"/>
    <w:rsid w:val="00C82BA1"/>
    <w:pPr>
      <w:spacing w:after="0" w:line="240" w:lineRule="auto"/>
    </w:pPr>
    <w:tblPr>
      <w:tblStyleRowBandSize w:val="1"/>
      <w:tblStyleColBandSize w:val="1"/>
    </w:tblPr>
    <w:tcPr>
      <w:tcBorders>
        <w:right w:val="single" w:sz="4" w:space="0" w:color="7480C1" w:themeColor="text1" w:themeTint="80"/>
      </w:tcBorders>
    </w:tcPr>
    <w:tblStylePr w:type="firstRow">
      <w:rPr>
        <w:b/>
        <w:bCs/>
        <w:caps/>
      </w:rPr>
      <w:tblPr/>
      <w:tcPr>
        <w:tcBorders>
          <w:bottom w:val="single" w:sz="4" w:space="0" w:color="7480C1" w:themeColor="text1" w:themeTint="80"/>
        </w:tcBorders>
      </w:tcPr>
    </w:tblStylePr>
    <w:tblStylePr w:type="lastRow">
      <w:rPr>
        <w:b/>
        <w:bCs/>
        <w:caps/>
      </w:rPr>
      <w:tblPr/>
      <w:tcPr>
        <w:tcBorders>
          <w:top w:val="nil"/>
        </w:tcBorders>
      </w:tcPr>
    </w:tblStylePr>
    <w:tblStylePr w:type="firstCol">
      <w:rPr>
        <w:b/>
        <w:bCs/>
        <w:caps/>
      </w:rPr>
    </w:tblStylePr>
    <w:tblStylePr w:type="lastCol">
      <w:rPr>
        <w:b/>
        <w:bCs/>
        <w:caps/>
      </w:rPr>
    </w:tblStylePr>
    <w:tblStylePr w:type="neCell">
      <w:tblPr/>
      <w:tcPr>
        <w:tcBorders>
          <w:left w:val="nil"/>
        </w:tcBorders>
      </w:tcPr>
    </w:tblStylePr>
    <w:tblStylePr w:type="nwCell">
      <w:tblPr/>
      <w:tcPr>
        <w:tcBorders>
          <w:right w:val="nil"/>
        </w:tcBorders>
      </w:tcPr>
    </w:tblStylePr>
  </w:style>
  <w:style w:type="character" w:styleId="UnresolvedMention">
    <w:name w:val="Unresolved Mention"/>
    <w:basedOn w:val="DefaultParagraphFont"/>
    <w:uiPriority w:val="99"/>
    <w:semiHidden/>
    <w:unhideWhenUsed/>
    <w:rsid w:val="00C82BA1"/>
    <w:rPr>
      <w:color w:val="605E5C"/>
      <w:shd w:val="clear" w:color="auto" w:fill="E1DFDD"/>
    </w:rPr>
  </w:style>
  <w:style w:type="paragraph" w:customStyle="1" w:styleId="EFSAFiguretitle">
    <w:name w:val="EFSA_Figure title"/>
    <w:next w:val="EFSABodytext"/>
    <w:link w:val="EFSAFiguretitleChar"/>
    <w:rsid w:val="00C82BA1"/>
    <w:pPr>
      <w:numPr>
        <w:numId w:val="7"/>
      </w:numPr>
      <w:tabs>
        <w:tab w:val="left" w:pos="1080"/>
      </w:tabs>
      <w:spacing w:before="200"/>
      <w:ind w:left="0" w:firstLine="0"/>
    </w:pPr>
    <w:rPr>
      <w:rFonts w:ascii="Verdana" w:eastAsia="Times New Roman" w:hAnsi="Verdana" w:cs="Times New Roman"/>
      <w:color w:val="22294D"/>
      <w:lang w:val="en-GB"/>
    </w:rPr>
  </w:style>
  <w:style w:type="paragraph" w:customStyle="1" w:styleId="EFSATabletitle">
    <w:name w:val="EFSA_Table title"/>
    <w:next w:val="EFSABodytext"/>
    <w:link w:val="EFSATabletitleChar"/>
    <w:qFormat/>
    <w:rsid w:val="00C82BA1"/>
    <w:pPr>
      <w:numPr>
        <w:numId w:val="10"/>
      </w:numPr>
      <w:tabs>
        <w:tab w:val="left" w:pos="1080"/>
      </w:tabs>
      <w:spacing w:before="200"/>
      <w:ind w:left="0" w:firstLine="0"/>
      <w:jc w:val="left"/>
    </w:pPr>
    <w:rPr>
      <w:rFonts w:ascii="Verdana" w:eastAsiaTheme="minorHAnsi" w:hAnsi="Verdana"/>
      <w:color w:val="22294D"/>
      <w:lang w:val="en-GB"/>
    </w:rPr>
  </w:style>
  <w:style w:type="table" w:styleId="GridTable7Colorful-Accent4">
    <w:name w:val="Grid Table 7 Colorful Accent 4"/>
    <w:basedOn w:val="TableNormal"/>
    <w:uiPriority w:val="52"/>
    <w:rsid w:val="00C82BA1"/>
    <w:pPr>
      <w:spacing w:after="0" w:line="240" w:lineRule="auto"/>
    </w:pPr>
    <w:rPr>
      <w:color w:val="C28705" w:themeColor="accent4" w:themeShade="BF"/>
    </w:rPr>
    <w:tblPr>
      <w:tblStyleRowBandSize w:val="1"/>
      <w:tblStyleColBandSize w:val="1"/>
    </w:tblPr>
    <w:tcPr>
      <w:shd w:val="clear" w:color="auto" w:fill="FDEFCF" w:themeFill="accent4" w:themeFillTint="33"/>
    </w:tc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FCF" w:themeFill="accent4" w:themeFillTint="33"/>
      </w:tcPr>
    </w:tblStylePr>
    <w:tblStylePr w:type="neCell">
      <w:tblPr/>
      <w:tcPr>
        <w:tcBorders>
          <w:bottom w:val="single" w:sz="4" w:space="0" w:color="FBCF70" w:themeColor="accent4" w:themeTint="99"/>
        </w:tcBorders>
      </w:tcPr>
    </w:tblStylePr>
    <w:tblStylePr w:type="nwCell">
      <w:tblPr/>
      <w:tcPr>
        <w:tcBorders>
          <w:bottom w:val="single" w:sz="4" w:space="0" w:color="FBCF70" w:themeColor="accent4" w:themeTint="99"/>
        </w:tcBorders>
      </w:tcPr>
    </w:tblStylePr>
    <w:tblStylePr w:type="seCell">
      <w:tblPr/>
      <w:tcPr>
        <w:tcBorders>
          <w:top w:val="single" w:sz="4" w:space="0" w:color="FBCF70" w:themeColor="accent4" w:themeTint="99"/>
        </w:tcBorders>
      </w:tcPr>
    </w:tblStylePr>
    <w:tblStylePr w:type="swCell">
      <w:tblPr/>
      <w:tcPr>
        <w:tcBorders>
          <w:top w:val="single" w:sz="4" w:space="0" w:color="FBCF70" w:themeColor="accent4" w:themeTint="99"/>
        </w:tcBorders>
      </w:tcPr>
    </w:tblStylePr>
  </w:style>
  <w:style w:type="paragraph" w:customStyle="1" w:styleId="EFSAAppendixtitle">
    <w:name w:val="EFSA_Appendix title"/>
    <w:next w:val="EFSABodytext"/>
    <w:link w:val="EFSAAppendixtitleChar"/>
    <w:qFormat/>
    <w:rsid w:val="00C82BA1"/>
    <w:pPr>
      <w:keepNext/>
      <w:numPr>
        <w:numId w:val="12"/>
      </w:numPr>
      <w:suppressLineNumbers/>
      <w:suppressAutoHyphens/>
      <w:spacing w:before="300" w:after="40" w:line="240" w:lineRule="auto"/>
      <w:outlineLvl w:val="0"/>
    </w:pPr>
    <w:rPr>
      <w:rFonts w:ascii="Verdana" w:eastAsia="Times New Roman" w:hAnsi="Verdana" w:cs="Mangal"/>
      <w:b/>
      <w:iCs/>
      <w:color w:val="22294D"/>
      <w:sz w:val="28"/>
      <w:szCs w:val="28"/>
      <w:lang w:val="en-GB" w:eastAsia="en-GB"/>
    </w:rPr>
  </w:style>
  <w:style w:type="character" w:customStyle="1" w:styleId="EFSAAppendixtitleChar">
    <w:name w:val="EFSA_Appendix title Char"/>
    <w:basedOn w:val="DefaultParagraphFont"/>
    <w:link w:val="EFSAAppendixtitle"/>
    <w:rsid w:val="00C82BA1"/>
    <w:rPr>
      <w:rFonts w:ascii="Verdana" w:eastAsia="Times New Roman" w:hAnsi="Verdana" w:cs="Mangal"/>
      <w:b/>
      <w:iCs/>
      <w:color w:val="22294D"/>
      <w:sz w:val="28"/>
      <w:szCs w:val="28"/>
      <w:lang w:val="en-GB" w:eastAsia="en-GB"/>
    </w:rPr>
  </w:style>
  <w:style w:type="paragraph" w:customStyle="1" w:styleId="EFSAHeading1nonumber">
    <w:name w:val="EFSA_Heading 1 (no number)"/>
    <w:next w:val="EFSABodytext"/>
    <w:link w:val="EFSAHeading1nonumberChar"/>
    <w:qFormat/>
    <w:rsid w:val="00C82BA1"/>
    <w:pPr>
      <w:keepNext/>
      <w:spacing w:before="300" w:after="40"/>
      <w:jc w:val="left"/>
      <w:outlineLvl w:val="0"/>
    </w:pPr>
    <w:rPr>
      <w:rFonts w:ascii="Verdana" w:eastAsiaTheme="minorHAnsi" w:hAnsi="Verdana"/>
      <w:b/>
      <w:color w:val="22294D"/>
      <w:sz w:val="28"/>
      <w:szCs w:val="28"/>
      <w:lang w:val="en-GB"/>
    </w:rPr>
  </w:style>
  <w:style w:type="character" w:customStyle="1" w:styleId="EFSAHeading1nonumberChar">
    <w:name w:val="EFSA_Heading 1 (no number) Char"/>
    <w:basedOn w:val="DefaultParagraphFont"/>
    <w:link w:val="EFSAHeading1nonumber"/>
    <w:rsid w:val="00C82BA1"/>
    <w:rPr>
      <w:rFonts w:ascii="Verdana" w:eastAsiaTheme="minorHAnsi" w:hAnsi="Verdana"/>
      <w:b/>
      <w:color w:val="22294D"/>
      <w:sz w:val="28"/>
      <w:szCs w:val="28"/>
      <w:lang w:val="en-GB"/>
    </w:rPr>
  </w:style>
  <w:style w:type="paragraph" w:customStyle="1" w:styleId="EFSAAuthor">
    <w:name w:val="EFSA_Author"/>
    <w:next w:val="EFSABodytext"/>
    <w:link w:val="EFSAAuthorChar"/>
    <w:qFormat/>
    <w:rsid w:val="00C82BA1"/>
    <w:pPr>
      <w:jc w:val="center"/>
    </w:pPr>
    <w:rPr>
      <w:rFonts w:ascii="Verdana" w:eastAsiaTheme="minorHAnsi" w:hAnsi="Verdana"/>
      <w:color w:val="22294D"/>
      <w:sz w:val="24"/>
      <w:szCs w:val="24"/>
      <w:lang w:val="en-GB"/>
    </w:rPr>
  </w:style>
  <w:style w:type="character" w:customStyle="1" w:styleId="EFSAAuthorChar">
    <w:name w:val="EFSA_Author Char"/>
    <w:basedOn w:val="EFSAHeading1nonumberChar"/>
    <w:link w:val="EFSAAuthor"/>
    <w:rsid w:val="00C82BA1"/>
    <w:rPr>
      <w:rFonts w:ascii="Verdana" w:eastAsiaTheme="minorHAnsi" w:hAnsi="Verdana"/>
      <w:b w:val="0"/>
      <w:color w:val="22294D"/>
      <w:sz w:val="24"/>
      <w:szCs w:val="24"/>
      <w:lang w:val="en-GB"/>
    </w:rPr>
  </w:style>
  <w:style w:type="paragraph" w:customStyle="1" w:styleId="EFSABodytext">
    <w:name w:val="EFSA_Body text"/>
    <w:basedOn w:val="Normal"/>
    <w:link w:val="EFSABodytextChar"/>
    <w:qFormat/>
    <w:rsid w:val="00C82BA1"/>
    <w:pPr>
      <w:spacing w:before="200"/>
      <w:jc w:val="both"/>
    </w:pPr>
    <w:rPr>
      <w:rFonts w:ascii="Verdana" w:hAnsi="Verdana"/>
      <w:color w:val="22294D"/>
      <w:sz w:val="20"/>
      <w:szCs w:val="20"/>
    </w:rPr>
  </w:style>
  <w:style w:type="character" w:customStyle="1" w:styleId="EFSABodytextChar">
    <w:name w:val="EFSA_Body text Char"/>
    <w:basedOn w:val="DefaultParagraphFont"/>
    <w:link w:val="EFSABodytext"/>
    <w:rsid w:val="00C82BA1"/>
    <w:rPr>
      <w:rFonts w:ascii="Verdana" w:eastAsiaTheme="minorHAnsi" w:hAnsi="Verdana"/>
      <w:color w:val="22294D"/>
      <w:lang w:val="en-GB"/>
    </w:rPr>
  </w:style>
  <w:style w:type="paragraph" w:customStyle="1" w:styleId="EFSABullet1">
    <w:name w:val="EFSA_Bullet 1"/>
    <w:basedOn w:val="EFSABodytext"/>
    <w:link w:val="EFSABullet1Char"/>
    <w:qFormat/>
    <w:rsid w:val="00C82BA1"/>
    <w:pPr>
      <w:numPr>
        <w:numId w:val="5"/>
      </w:numPr>
      <w:spacing w:before="0" w:after="0"/>
      <w:ind w:left="568" w:hanging="284"/>
      <w:contextualSpacing/>
    </w:pPr>
  </w:style>
  <w:style w:type="character" w:customStyle="1" w:styleId="EFSABullet1Char">
    <w:name w:val="EFSA_Bullet 1 Char"/>
    <w:basedOn w:val="EFSABodytextChar"/>
    <w:link w:val="EFSABullet1"/>
    <w:rsid w:val="00C82BA1"/>
    <w:rPr>
      <w:rFonts w:ascii="Verdana" w:eastAsiaTheme="minorHAnsi" w:hAnsi="Verdana"/>
      <w:color w:val="22294D"/>
      <w:lang w:val="en-GB"/>
    </w:rPr>
  </w:style>
  <w:style w:type="paragraph" w:customStyle="1" w:styleId="EFSABullet2">
    <w:name w:val="EFSA_Bullet 2"/>
    <w:basedOn w:val="EFSABodytext"/>
    <w:link w:val="EFSABullet2Char"/>
    <w:qFormat/>
    <w:rsid w:val="00C82BA1"/>
    <w:pPr>
      <w:numPr>
        <w:numId w:val="15"/>
      </w:numPr>
      <w:spacing w:before="0" w:after="0"/>
      <w:ind w:left="851" w:hanging="284"/>
      <w:contextualSpacing/>
    </w:pPr>
  </w:style>
  <w:style w:type="character" w:customStyle="1" w:styleId="EFSABullet2Char">
    <w:name w:val="EFSA_Bullet 2 Char"/>
    <w:basedOn w:val="EFSABodytextChar"/>
    <w:link w:val="EFSABullet2"/>
    <w:rsid w:val="00C82BA1"/>
    <w:rPr>
      <w:rFonts w:ascii="Verdana" w:eastAsiaTheme="minorHAnsi" w:hAnsi="Verdana"/>
      <w:color w:val="22294D"/>
      <w:lang w:val="en-GB"/>
    </w:rPr>
  </w:style>
  <w:style w:type="paragraph" w:customStyle="1" w:styleId="EFSADates">
    <w:name w:val="EFSA_Dates"/>
    <w:basedOn w:val="Normal"/>
    <w:link w:val="EFSADatesChar"/>
    <w:qFormat/>
    <w:rsid w:val="00C82BA1"/>
    <w:pPr>
      <w:spacing w:line="240" w:lineRule="auto"/>
    </w:pPr>
    <w:rPr>
      <w:rFonts w:ascii="Verdana" w:hAnsi="Verdana"/>
      <w:color w:val="22294D"/>
      <w:sz w:val="16"/>
      <w:szCs w:val="16"/>
    </w:rPr>
  </w:style>
  <w:style w:type="character" w:customStyle="1" w:styleId="EFSADatesChar">
    <w:name w:val="EFSA_Dates Char"/>
    <w:basedOn w:val="DefaultParagraphFont"/>
    <w:link w:val="EFSADates"/>
    <w:rsid w:val="00C82BA1"/>
    <w:rPr>
      <w:rFonts w:ascii="Verdana" w:eastAsiaTheme="minorHAnsi" w:hAnsi="Verdana"/>
      <w:color w:val="22294D"/>
      <w:sz w:val="16"/>
      <w:szCs w:val="16"/>
      <w:lang w:val="en-GB"/>
    </w:rPr>
  </w:style>
  <w:style w:type="paragraph" w:customStyle="1" w:styleId="EFSADocsprovided">
    <w:name w:val="EFSA_Docs provided"/>
    <w:basedOn w:val="EFSABodytext"/>
    <w:link w:val="EFSADocsprovidedChar"/>
    <w:qFormat/>
    <w:rsid w:val="00C82BA1"/>
    <w:pPr>
      <w:keepNext/>
      <w:numPr>
        <w:numId w:val="6"/>
      </w:numPr>
      <w:spacing w:after="240"/>
    </w:pPr>
  </w:style>
  <w:style w:type="character" w:customStyle="1" w:styleId="EFSADocsprovidedChar">
    <w:name w:val="EFSA_Docs provided Char"/>
    <w:basedOn w:val="EFSABodytextChar"/>
    <w:link w:val="EFSADocsprovided"/>
    <w:rsid w:val="00C82BA1"/>
    <w:rPr>
      <w:rFonts w:ascii="Verdana" w:eastAsiaTheme="minorHAnsi" w:hAnsi="Verdana"/>
      <w:color w:val="22294D"/>
      <w:lang w:val="en-GB"/>
    </w:rPr>
  </w:style>
  <w:style w:type="paragraph" w:customStyle="1" w:styleId="EFSATablefootnote">
    <w:name w:val="EFSA_Table footnote"/>
    <w:link w:val="EFSATablefootnoteChar"/>
    <w:qFormat/>
    <w:rsid w:val="00C82BA1"/>
    <w:pPr>
      <w:tabs>
        <w:tab w:val="left" w:pos="426"/>
      </w:tabs>
      <w:ind w:left="397" w:hanging="397"/>
      <w:contextualSpacing/>
      <w:jc w:val="left"/>
    </w:pPr>
    <w:rPr>
      <w:rFonts w:ascii="Verdana" w:eastAsiaTheme="minorHAnsi" w:hAnsi="Verdana"/>
      <w:color w:val="22294D"/>
      <w:sz w:val="18"/>
      <w:szCs w:val="18"/>
      <w:lang w:val="en-GB"/>
    </w:rPr>
  </w:style>
  <w:style w:type="character" w:customStyle="1" w:styleId="EFSATablefootnoteChar">
    <w:name w:val="EFSA_Table footnote Char"/>
    <w:basedOn w:val="EFSABodytextChar"/>
    <w:link w:val="EFSATablefootnote"/>
    <w:rsid w:val="00C82BA1"/>
    <w:rPr>
      <w:rFonts w:ascii="Verdana" w:eastAsiaTheme="minorHAnsi" w:hAnsi="Verdana"/>
      <w:color w:val="22294D"/>
      <w:sz w:val="18"/>
      <w:szCs w:val="18"/>
      <w:lang w:val="en-GB"/>
    </w:rPr>
  </w:style>
  <w:style w:type="paragraph" w:customStyle="1" w:styleId="EFSATablelegend">
    <w:name w:val="EFSA_Table legend"/>
    <w:basedOn w:val="EFSATablefootnote"/>
    <w:link w:val="EFSATablelegendChar"/>
    <w:qFormat/>
    <w:rsid w:val="00C82BA1"/>
    <w:pPr>
      <w:spacing w:after="0"/>
      <w:ind w:left="0" w:firstLine="0"/>
      <w:contextualSpacing w:val="0"/>
    </w:pPr>
  </w:style>
  <w:style w:type="character" w:customStyle="1" w:styleId="EFSATablelegendChar">
    <w:name w:val="EFSA_Table legend Char"/>
    <w:basedOn w:val="EFSATablefootnoteChar"/>
    <w:link w:val="EFSATablelegend"/>
    <w:rsid w:val="00C82BA1"/>
    <w:rPr>
      <w:rFonts w:ascii="Verdana" w:eastAsiaTheme="minorHAnsi" w:hAnsi="Verdana"/>
      <w:color w:val="22294D"/>
      <w:sz w:val="18"/>
      <w:szCs w:val="18"/>
      <w:lang w:val="en-GB"/>
    </w:rPr>
  </w:style>
  <w:style w:type="paragraph" w:customStyle="1" w:styleId="EFSAFigurelegend">
    <w:name w:val="EFSA_Figure legend"/>
    <w:basedOn w:val="EFSATablelegend"/>
    <w:link w:val="EFSAFigurelegendChar"/>
    <w:qFormat/>
    <w:rsid w:val="00C82BA1"/>
    <w:pPr>
      <w:autoSpaceDE w:val="0"/>
      <w:autoSpaceDN w:val="0"/>
      <w:adjustRightInd w:val="0"/>
    </w:pPr>
    <w:rPr>
      <w:rFonts w:cs="Arial"/>
    </w:rPr>
  </w:style>
  <w:style w:type="character" w:customStyle="1" w:styleId="EFSAFigurelegendChar">
    <w:name w:val="EFSA_Figure legend Char"/>
    <w:basedOn w:val="EFSATablefootnoteChar"/>
    <w:link w:val="EFSAFigurelegend"/>
    <w:rsid w:val="00C82BA1"/>
    <w:rPr>
      <w:rFonts w:ascii="Verdana" w:eastAsiaTheme="minorHAnsi" w:hAnsi="Verdana" w:cs="Arial"/>
      <w:color w:val="22294D"/>
      <w:sz w:val="18"/>
      <w:szCs w:val="18"/>
      <w:lang w:val="en-GB"/>
    </w:rPr>
  </w:style>
  <w:style w:type="character" w:customStyle="1" w:styleId="EFSAFiguretitleChar">
    <w:name w:val="EFSA_Figure title Char"/>
    <w:basedOn w:val="DefaultParagraphFont"/>
    <w:link w:val="EFSAFiguretitle"/>
    <w:rsid w:val="00C82BA1"/>
    <w:rPr>
      <w:rFonts w:ascii="Verdana" w:eastAsia="Times New Roman" w:hAnsi="Verdana" w:cs="Times New Roman"/>
      <w:color w:val="22294D"/>
      <w:lang w:val="en-GB"/>
    </w:rPr>
  </w:style>
  <w:style w:type="paragraph" w:customStyle="1" w:styleId="EFSAFooter">
    <w:name w:val="EFSA_Footer"/>
    <w:basedOn w:val="Normal"/>
    <w:link w:val="EFSAFooterChar"/>
    <w:qFormat/>
    <w:rsid w:val="00C82BA1"/>
    <w:pPr>
      <w:tabs>
        <w:tab w:val="right" w:pos="10206"/>
      </w:tabs>
      <w:spacing w:after="0" w:line="240" w:lineRule="auto"/>
    </w:pPr>
    <w:rPr>
      <w:rFonts w:ascii="Verdana" w:hAnsi="Verdana"/>
      <w:color w:val="22294D"/>
      <w:sz w:val="14"/>
      <w:szCs w:val="16"/>
    </w:rPr>
  </w:style>
  <w:style w:type="character" w:customStyle="1" w:styleId="EFSAFooterChar">
    <w:name w:val="EFSA_Footer Char"/>
    <w:basedOn w:val="DefaultParagraphFont"/>
    <w:link w:val="EFSAFooter"/>
    <w:rsid w:val="00C82BA1"/>
    <w:rPr>
      <w:rFonts w:ascii="Verdana" w:eastAsiaTheme="minorHAnsi" w:hAnsi="Verdana"/>
      <w:color w:val="22294D"/>
      <w:sz w:val="14"/>
      <w:szCs w:val="16"/>
      <w:lang w:val="en-GB"/>
    </w:rPr>
  </w:style>
  <w:style w:type="paragraph" w:customStyle="1" w:styleId="EFSAFootnote">
    <w:name w:val="EFSA_Footnote"/>
    <w:basedOn w:val="FootnoteText"/>
    <w:link w:val="EFSAFootnoteChar"/>
    <w:qFormat/>
    <w:rsid w:val="00C82BA1"/>
    <w:pPr>
      <w:jc w:val="both"/>
    </w:pPr>
    <w:rPr>
      <w:rFonts w:ascii="Verdana" w:hAnsi="Verdana"/>
      <w:color w:val="22294D"/>
      <w:sz w:val="16"/>
    </w:rPr>
  </w:style>
  <w:style w:type="character" w:customStyle="1" w:styleId="EFSAFootnoteChar">
    <w:name w:val="EFSA_Footnote Char"/>
    <w:basedOn w:val="FootnoteTextChar"/>
    <w:link w:val="EFSAFootnote"/>
    <w:rsid w:val="00C82BA1"/>
    <w:rPr>
      <w:rFonts w:ascii="Verdana" w:eastAsiaTheme="minorHAnsi" w:hAnsi="Verdana"/>
      <w:color w:val="22294D"/>
      <w:sz w:val="16"/>
      <w:lang w:val="en-GB"/>
    </w:rPr>
  </w:style>
  <w:style w:type="paragraph" w:styleId="FootnoteText">
    <w:name w:val="footnote text"/>
    <w:basedOn w:val="Normal"/>
    <w:link w:val="FootnoteTextChar"/>
    <w:uiPriority w:val="99"/>
    <w:semiHidden/>
    <w:rsid w:val="00C82BA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82BA1"/>
    <w:rPr>
      <w:rFonts w:eastAsiaTheme="minorHAnsi"/>
      <w:lang w:val="en-GB"/>
    </w:rPr>
  </w:style>
  <w:style w:type="paragraph" w:customStyle="1" w:styleId="EFSAHeading1">
    <w:name w:val="EFSA_Heading 1"/>
    <w:link w:val="EFSAHeading1Char"/>
    <w:qFormat/>
    <w:rsid w:val="00C82BA1"/>
    <w:pPr>
      <w:tabs>
        <w:tab w:val="left" w:pos="720"/>
      </w:tabs>
      <w:spacing w:before="300" w:after="40"/>
      <w:ind w:left="360" w:hanging="360"/>
      <w:jc w:val="left"/>
      <w:outlineLvl w:val="0"/>
    </w:pPr>
    <w:rPr>
      <w:rFonts w:ascii="Verdana" w:eastAsiaTheme="majorEastAsia" w:hAnsi="Verdana" w:cstheme="majorBidi"/>
      <w:b/>
      <w:bCs/>
      <w:color w:val="22294D"/>
      <w:sz w:val="28"/>
      <w:szCs w:val="28"/>
      <w:lang w:val="en-GB"/>
    </w:rPr>
  </w:style>
  <w:style w:type="character" w:customStyle="1" w:styleId="EFSAHeading1Char">
    <w:name w:val="EFSA_Heading 1 Char"/>
    <w:basedOn w:val="Heading1Char"/>
    <w:link w:val="EFSAHeading1"/>
    <w:rsid w:val="00C82BA1"/>
    <w:rPr>
      <w:rFonts w:ascii="Verdana" w:eastAsiaTheme="majorEastAsia" w:hAnsi="Verdana" w:cstheme="majorBidi"/>
      <w:b/>
      <w:bCs/>
      <w:color w:val="22294D"/>
      <w:sz w:val="28"/>
      <w:szCs w:val="28"/>
      <w:lang w:val="en-GB"/>
    </w:rPr>
  </w:style>
  <w:style w:type="paragraph" w:customStyle="1" w:styleId="EFSAHeading2">
    <w:name w:val="EFSA_Heading 2"/>
    <w:next w:val="EFSABodytext"/>
    <w:link w:val="EFSAHeading2Char"/>
    <w:qFormat/>
    <w:rsid w:val="00C82BA1"/>
    <w:pPr>
      <w:keepNext/>
      <w:tabs>
        <w:tab w:val="left" w:pos="720"/>
      </w:tabs>
      <w:spacing w:before="240" w:after="80"/>
      <w:ind w:left="1021" w:hanging="1021"/>
      <w:jc w:val="left"/>
      <w:outlineLvl w:val="1"/>
    </w:pPr>
    <w:rPr>
      <w:rFonts w:ascii="Verdana" w:eastAsiaTheme="majorEastAsia" w:hAnsi="Verdana" w:cstheme="majorBidi"/>
      <w:color w:val="22294D"/>
      <w:sz w:val="24"/>
      <w:szCs w:val="28"/>
      <w:lang w:val="en-GB"/>
    </w:rPr>
  </w:style>
  <w:style w:type="character" w:customStyle="1" w:styleId="EFSAHeading2Char">
    <w:name w:val="EFSA_Heading 2 Char"/>
    <w:basedOn w:val="EFSAHeading1Char"/>
    <w:link w:val="EFSAHeading2"/>
    <w:rsid w:val="00C82BA1"/>
    <w:rPr>
      <w:rFonts w:ascii="Verdana" w:eastAsiaTheme="majorEastAsia" w:hAnsi="Verdana" w:cstheme="majorBidi"/>
      <w:b w:val="0"/>
      <w:bCs w:val="0"/>
      <w:color w:val="22294D"/>
      <w:sz w:val="24"/>
      <w:szCs w:val="28"/>
      <w:lang w:val="en-GB"/>
    </w:rPr>
  </w:style>
  <w:style w:type="paragraph" w:customStyle="1" w:styleId="EFSAHeading3">
    <w:name w:val="EFSA_Heading 3"/>
    <w:next w:val="EFSABodytext"/>
    <w:link w:val="EFSAHeading3Char"/>
    <w:qFormat/>
    <w:rsid w:val="00C82BA1"/>
    <w:pPr>
      <w:spacing w:after="0"/>
      <w:ind w:left="1021" w:hanging="1021"/>
      <w:jc w:val="left"/>
      <w:outlineLvl w:val="2"/>
    </w:pPr>
    <w:rPr>
      <w:rFonts w:ascii="Verdana" w:eastAsiaTheme="majorEastAsia" w:hAnsi="Verdana" w:cstheme="majorBidi"/>
      <w:color w:val="22294D"/>
      <w:sz w:val="22"/>
      <w:szCs w:val="28"/>
      <w:lang w:val="en-GB"/>
    </w:rPr>
  </w:style>
  <w:style w:type="character" w:customStyle="1" w:styleId="EFSAHeading3Char">
    <w:name w:val="EFSA_Heading 3 Char"/>
    <w:basedOn w:val="EFSAHeading2Char"/>
    <w:link w:val="EFSAHeading3"/>
    <w:rsid w:val="00C82BA1"/>
    <w:rPr>
      <w:rFonts w:ascii="Verdana" w:eastAsiaTheme="majorEastAsia" w:hAnsi="Verdana" w:cstheme="majorBidi"/>
      <w:b w:val="0"/>
      <w:bCs w:val="0"/>
      <w:color w:val="22294D"/>
      <w:sz w:val="22"/>
      <w:szCs w:val="28"/>
      <w:lang w:val="en-GB"/>
    </w:rPr>
  </w:style>
  <w:style w:type="paragraph" w:customStyle="1" w:styleId="EFSAHeading4">
    <w:name w:val="EFSA_Heading 4"/>
    <w:next w:val="EFSABodytext"/>
    <w:link w:val="EFSAHeading4Char"/>
    <w:qFormat/>
    <w:rsid w:val="00C82BA1"/>
    <w:pPr>
      <w:keepNext/>
      <w:spacing w:after="0"/>
      <w:ind w:left="1021" w:hanging="1021"/>
      <w:jc w:val="left"/>
      <w:outlineLvl w:val="3"/>
    </w:pPr>
    <w:rPr>
      <w:rFonts w:ascii="Verdana" w:eastAsiaTheme="minorHAnsi" w:hAnsi="Verdana"/>
      <w:bCs/>
      <w:color w:val="22294D"/>
      <w:lang w:val="en-GB"/>
    </w:rPr>
  </w:style>
  <w:style w:type="character" w:customStyle="1" w:styleId="EFSAHeading4Char">
    <w:name w:val="EFSA_Heading 4 Char"/>
    <w:basedOn w:val="DefaultParagraphFont"/>
    <w:link w:val="EFSAHeading4"/>
    <w:rsid w:val="00C82BA1"/>
    <w:rPr>
      <w:rFonts w:ascii="Verdana" w:eastAsiaTheme="minorHAnsi" w:hAnsi="Verdana"/>
      <w:bCs/>
      <w:color w:val="22294D"/>
      <w:lang w:val="en-GB"/>
    </w:rPr>
  </w:style>
  <w:style w:type="paragraph" w:customStyle="1" w:styleId="EFSAHeading5">
    <w:name w:val="EFSA_Heading 5"/>
    <w:next w:val="EFSABodytext"/>
    <w:link w:val="EFSAHeading5Char"/>
    <w:qFormat/>
    <w:rsid w:val="00C82BA1"/>
    <w:pPr>
      <w:spacing w:after="0"/>
      <w:jc w:val="left"/>
      <w:outlineLvl w:val="4"/>
    </w:pPr>
    <w:rPr>
      <w:rFonts w:ascii="Verdana" w:eastAsiaTheme="minorHAnsi" w:hAnsi="Verdana"/>
      <w:i/>
      <w:color w:val="22294D"/>
      <w:lang w:val="en-GB"/>
    </w:rPr>
  </w:style>
  <w:style w:type="character" w:customStyle="1" w:styleId="EFSAHeading5Char">
    <w:name w:val="EFSA_Heading 5 Char"/>
    <w:basedOn w:val="EFSAHeading4Char"/>
    <w:link w:val="EFSAHeading5"/>
    <w:rsid w:val="00C82BA1"/>
    <w:rPr>
      <w:rFonts w:ascii="Verdana" w:eastAsiaTheme="minorHAnsi" w:hAnsi="Verdana"/>
      <w:bCs w:val="0"/>
      <w:i/>
      <w:color w:val="22294D"/>
      <w:lang w:val="en-GB"/>
    </w:rPr>
  </w:style>
  <w:style w:type="numbering" w:customStyle="1" w:styleId="EFSAListbullets">
    <w:name w:val="EFSA_List bullets"/>
    <w:basedOn w:val="NoList"/>
    <w:uiPriority w:val="99"/>
    <w:rsid w:val="00C82BA1"/>
    <w:pPr>
      <w:numPr>
        <w:numId w:val="8"/>
      </w:numPr>
    </w:pPr>
  </w:style>
  <w:style w:type="paragraph" w:customStyle="1" w:styleId="EFSAListnumbered">
    <w:name w:val="EFSA_List numbered"/>
    <w:basedOn w:val="EFSABullet1"/>
    <w:link w:val="EFSAListnumberedChar"/>
    <w:qFormat/>
    <w:rsid w:val="00C82BA1"/>
    <w:pPr>
      <w:numPr>
        <w:numId w:val="9"/>
      </w:numPr>
      <w:suppressAutoHyphens/>
      <w:ind w:left="568" w:hanging="284"/>
      <w:contextualSpacing w:val="0"/>
    </w:pPr>
    <w:rPr>
      <w:rFonts w:eastAsia="Times New Roman" w:cs="Times New Roman"/>
      <w:lang w:eastAsia="en-GB"/>
    </w:rPr>
  </w:style>
  <w:style w:type="character" w:customStyle="1" w:styleId="EFSAListnumberedChar">
    <w:name w:val="EFSA_List numbered Char"/>
    <w:basedOn w:val="DefaultParagraphFont"/>
    <w:link w:val="EFSAListnumbered"/>
    <w:rsid w:val="00C82BA1"/>
    <w:rPr>
      <w:rFonts w:ascii="Verdana" w:eastAsia="Times New Roman" w:hAnsi="Verdana" w:cs="Times New Roman"/>
      <w:color w:val="22294D"/>
      <w:lang w:val="en-GB" w:eastAsia="en-GB"/>
    </w:rPr>
  </w:style>
  <w:style w:type="paragraph" w:customStyle="1" w:styleId="EFSAOutputcategory">
    <w:name w:val="EFSA_Output category"/>
    <w:link w:val="EFSAOutputcategoryChar"/>
    <w:qFormat/>
    <w:rsid w:val="00C82BA1"/>
    <w:pPr>
      <w:spacing w:after="0" w:line="240" w:lineRule="auto"/>
      <w:jc w:val="left"/>
    </w:pPr>
    <w:rPr>
      <w:rFonts w:ascii="Verdana" w:eastAsiaTheme="majorEastAsia" w:hAnsi="Verdana" w:cstheme="majorBidi"/>
      <w:iCs/>
      <w:color w:val="22294D"/>
      <w:szCs w:val="32"/>
      <w:lang w:val="en-GB"/>
    </w:rPr>
  </w:style>
  <w:style w:type="character" w:customStyle="1" w:styleId="EFSAOutputcategoryChar">
    <w:name w:val="EFSA_Output category Char"/>
    <w:basedOn w:val="DefaultParagraphFont"/>
    <w:link w:val="EFSAOutputcategory"/>
    <w:rsid w:val="00C82BA1"/>
    <w:rPr>
      <w:rFonts w:ascii="Verdana" w:eastAsiaTheme="majorEastAsia" w:hAnsi="Verdana" w:cstheme="majorBidi"/>
      <w:iCs/>
      <w:color w:val="22294D"/>
      <w:szCs w:val="32"/>
      <w:lang w:val="en-GB"/>
    </w:rPr>
  </w:style>
  <w:style w:type="paragraph" w:customStyle="1" w:styleId="EFSAOutputtitle">
    <w:name w:val="EFSA_Output title"/>
    <w:basedOn w:val="Normal"/>
    <w:next w:val="EFSAAuthor"/>
    <w:link w:val="EFSAOutputtitleChar"/>
    <w:qFormat/>
    <w:rsid w:val="00C82BA1"/>
    <w:pPr>
      <w:jc w:val="center"/>
    </w:pPr>
    <w:rPr>
      <w:rFonts w:ascii="Verdana" w:hAnsi="Verdana"/>
      <w:bCs/>
      <w:color w:val="22294D"/>
      <w:sz w:val="36"/>
      <w:szCs w:val="36"/>
    </w:rPr>
  </w:style>
  <w:style w:type="character" w:customStyle="1" w:styleId="EFSAOutputtitleChar">
    <w:name w:val="EFSA_Output title Char"/>
    <w:basedOn w:val="DefaultParagraphFont"/>
    <w:link w:val="EFSAOutputtitle"/>
    <w:rsid w:val="00C82BA1"/>
    <w:rPr>
      <w:rFonts w:ascii="Verdana" w:eastAsiaTheme="minorHAnsi" w:hAnsi="Verdana"/>
      <w:bCs/>
      <w:color w:val="22294D"/>
      <w:sz w:val="36"/>
      <w:szCs w:val="36"/>
      <w:lang w:val="en-GB"/>
    </w:rPr>
  </w:style>
  <w:style w:type="paragraph" w:customStyle="1" w:styleId="EFSAReferences">
    <w:name w:val="EFSA_References"/>
    <w:link w:val="EFSAReferencesChar"/>
    <w:qFormat/>
    <w:rsid w:val="00C82BA1"/>
    <w:pPr>
      <w:keepLines/>
      <w:tabs>
        <w:tab w:val="left" w:pos="284"/>
      </w:tabs>
      <w:spacing w:after="100" w:line="240" w:lineRule="auto"/>
      <w:ind w:left="284" w:hanging="284"/>
    </w:pPr>
    <w:rPr>
      <w:rFonts w:ascii="Verdana" w:eastAsia="Times New Roman" w:hAnsi="Verdana" w:cs="Times New Roman"/>
      <w:color w:val="22294D"/>
      <w:lang w:val="en-GB"/>
    </w:rPr>
  </w:style>
  <w:style w:type="character" w:customStyle="1" w:styleId="EFSAReferencesChar">
    <w:name w:val="EFSA_References Char"/>
    <w:basedOn w:val="DefaultParagraphFont"/>
    <w:link w:val="EFSAReferences"/>
    <w:rsid w:val="00C82BA1"/>
    <w:rPr>
      <w:rFonts w:ascii="Verdana" w:eastAsia="Times New Roman" w:hAnsi="Verdana" w:cs="Times New Roman"/>
      <w:color w:val="22294D"/>
      <w:lang w:val="en-GB"/>
    </w:rPr>
  </w:style>
  <w:style w:type="paragraph" w:customStyle="1" w:styleId="EFSAShorttitle">
    <w:name w:val="EFSA_Short title"/>
    <w:link w:val="EFSAShorttitleChar"/>
    <w:qFormat/>
    <w:rsid w:val="00C82BA1"/>
    <w:pPr>
      <w:spacing w:after="0" w:line="240" w:lineRule="auto"/>
      <w:jc w:val="left"/>
    </w:pPr>
    <w:rPr>
      <w:rFonts w:ascii="Verdana" w:eastAsiaTheme="majorEastAsia" w:hAnsi="Verdana" w:cstheme="majorBidi"/>
      <w:iCs/>
      <w:color w:val="22294D"/>
      <w:szCs w:val="24"/>
      <w:lang w:val="en-GB"/>
    </w:rPr>
  </w:style>
  <w:style w:type="character" w:customStyle="1" w:styleId="EFSAShorttitleChar">
    <w:name w:val="EFSA_Short title Char"/>
    <w:basedOn w:val="DefaultParagraphFont"/>
    <w:link w:val="EFSAShorttitle"/>
    <w:rsid w:val="00C82BA1"/>
    <w:rPr>
      <w:rFonts w:ascii="Verdana" w:eastAsiaTheme="majorEastAsia" w:hAnsi="Verdana" w:cstheme="majorBidi"/>
      <w:iCs/>
      <w:color w:val="22294D"/>
      <w:szCs w:val="24"/>
      <w:lang w:val="en-GB"/>
    </w:rPr>
  </w:style>
  <w:style w:type="paragraph" w:customStyle="1" w:styleId="EFSATabledata">
    <w:name w:val="EFSA_Table data"/>
    <w:basedOn w:val="EFSABodytext"/>
    <w:link w:val="EFSATabledataChar"/>
    <w:qFormat/>
    <w:rsid w:val="00C82BA1"/>
    <w:pPr>
      <w:tabs>
        <w:tab w:val="decimal" w:pos="454"/>
      </w:tabs>
      <w:spacing w:before="0" w:after="0" w:line="240" w:lineRule="auto"/>
      <w:jc w:val="left"/>
    </w:pPr>
    <w:rPr>
      <w:sz w:val="18"/>
    </w:rPr>
  </w:style>
  <w:style w:type="character" w:customStyle="1" w:styleId="EFSATabledataChar">
    <w:name w:val="EFSA_Table data Char"/>
    <w:basedOn w:val="EFSABodytextChar"/>
    <w:link w:val="EFSATabledata"/>
    <w:rsid w:val="00C82BA1"/>
    <w:rPr>
      <w:rFonts w:ascii="Verdana" w:eastAsiaTheme="minorHAnsi" w:hAnsi="Verdana"/>
      <w:color w:val="22294D"/>
      <w:sz w:val="18"/>
      <w:lang w:val="en-GB"/>
    </w:rPr>
  </w:style>
  <w:style w:type="paragraph" w:customStyle="1" w:styleId="EFSATablefirstcolumn">
    <w:name w:val="EFSA_Table first column"/>
    <w:basedOn w:val="EFSATabledata"/>
    <w:link w:val="EFSATablefirstcolumnChar"/>
    <w:qFormat/>
    <w:rsid w:val="00C82BA1"/>
    <w:rPr>
      <w:b/>
    </w:rPr>
  </w:style>
  <w:style w:type="character" w:customStyle="1" w:styleId="EFSATablefirstcolumnChar">
    <w:name w:val="EFSA_Table first column Char"/>
    <w:basedOn w:val="EFSATabledataChar"/>
    <w:link w:val="EFSATablefirstcolumn"/>
    <w:rsid w:val="00C82BA1"/>
    <w:rPr>
      <w:rFonts w:ascii="Verdana" w:eastAsiaTheme="minorHAnsi" w:hAnsi="Verdana"/>
      <w:b/>
      <w:color w:val="22294D"/>
      <w:sz w:val="18"/>
      <w:lang w:val="en-GB"/>
    </w:rPr>
  </w:style>
  <w:style w:type="paragraph" w:customStyle="1" w:styleId="EFSATableheadingrow">
    <w:name w:val="EFSA_Table heading row"/>
    <w:basedOn w:val="EFSATabledata"/>
    <w:link w:val="EFSATableheadingrowChar"/>
    <w:qFormat/>
    <w:rsid w:val="00C82BA1"/>
    <w:rPr>
      <w:b/>
    </w:rPr>
  </w:style>
  <w:style w:type="character" w:customStyle="1" w:styleId="EFSATableheadingrowChar">
    <w:name w:val="EFSA_Table heading row Char"/>
    <w:basedOn w:val="EFSATabledataChar"/>
    <w:link w:val="EFSATableheadingrow"/>
    <w:rsid w:val="00C82BA1"/>
    <w:rPr>
      <w:rFonts w:ascii="Verdana" w:eastAsiaTheme="minorHAnsi" w:hAnsi="Verdana"/>
      <w:b/>
      <w:color w:val="22294D"/>
      <w:sz w:val="18"/>
      <w:lang w:val="en-GB"/>
    </w:rPr>
  </w:style>
  <w:style w:type="character" w:customStyle="1" w:styleId="EFSATabletitleChar">
    <w:name w:val="EFSA_Table title Char"/>
    <w:basedOn w:val="EFSABodytextChar"/>
    <w:link w:val="EFSATabletitle"/>
    <w:rsid w:val="00C82BA1"/>
    <w:rPr>
      <w:rFonts w:ascii="Verdana" w:eastAsiaTheme="minorHAnsi" w:hAnsi="Verdana"/>
      <w:color w:val="22294D"/>
      <w:lang w:val="en-GB"/>
    </w:rPr>
  </w:style>
  <w:style w:type="character" w:styleId="FootnoteReference">
    <w:name w:val="footnote reference"/>
    <w:basedOn w:val="DefaultParagraphFont"/>
    <w:uiPriority w:val="99"/>
    <w:semiHidden/>
    <w:rsid w:val="00C82BA1"/>
    <w:rPr>
      <w:vertAlign w:val="superscript"/>
    </w:rPr>
  </w:style>
  <w:style w:type="paragraph" w:styleId="BalloonText">
    <w:name w:val="Balloon Text"/>
    <w:basedOn w:val="Normal"/>
    <w:link w:val="BalloonTextChar"/>
    <w:uiPriority w:val="99"/>
    <w:semiHidden/>
    <w:rsid w:val="00C82B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2BA1"/>
    <w:rPr>
      <w:rFonts w:ascii="Tahoma" w:eastAsiaTheme="minorHAnsi" w:hAnsi="Tahoma" w:cs="Tahoma"/>
      <w:sz w:val="16"/>
      <w:szCs w:val="16"/>
      <w:lang w:val="en-GB"/>
    </w:rPr>
  </w:style>
  <w:style w:type="character" w:styleId="LineNumber">
    <w:name w:val="line number"/>
    <w:basedOn w:val="DefaultParagraphFont"/>
    <w:uiPriority w:val="99"/>
    <w:semiHidden/>
    <w:rsid w:val="00C82BA1"/>
  </w:style>
  <w:style w:type="table" w:customStyle="1" w:styleId="EFSAtable">
    <w:name w:val="EFSA table"/>
    <w:basedOn w:val="TableNormal"/>
    <w:uiPriority w:val="99"/>
    <w:rsid w:val="00421158"/>
    <w:pPr>
      <w:spacing w:after="0" w:line="240" w:lineRule="auto"/>
      <w:jc w:val="left"/>
    </w:pPr>
    <w:rPr>
      <w:rFonts w:eastAsiaTheme="minorHAnsi"/>
      <w:sz w:val="22"/>
      <w:szCs w:val="22"/>
      <w:lang w:val="en-GB"/>
    </w:rPr>
    <w:tblPr/>
    <w:tblStylePr w:type="firstRow">
      <w:rPr>
        <w:rFonts w:ascii="Aptos Narrow" w:hAnsi="Aptos Narrow"/>
        <w:sz w:val="18"/>
      </w:rPr>
      <w:tblPr/>
      <w:tcPr>
        <w:tcBorders>
          <w:top w:val="single" w:sz="12" w:space="0" w:color="22294D" w:themeColor="text1"/>
        </w:tcBorders>
      </w:tcPr>
    </w:tblStylePr>
    <w:tblStylePr w:type="lastRow">
      <w:tblPr/>
      <w:tcPr>
        <w:tcBorders>
          <w:bottom w:val="single" w:sz="12" w:space="0" w:color="22294D" w:themeColor="text1"/>
        </w:tcBorders>
      </w:tcPr>
    </w:tblStylePr>
  </w:style>
  <w:style w:type="paragraph" w:customStyle="1" w:styleId="EFSAAnnextitle">
    <w:name w:val="EFSA_Annex title"/>
    <w:next w:val="EFSABodytext"/>
    <w:link w:val="EFSAAnnextitleChar"/>
    <w:uiPriority w:val="99"/>
    <w:qFormat/>
    <w:rsid w:val="00C82BA1"/>
    <w:pPr>
      <w:keepNext/>
      <w:numPr>
        <w:numId w:val="11"/>
      </w:numPr>
      <w:spacing w:before="300" w:after="40" w:line="240" w:lineRule="auto"/>
      <w:jc w:val="left"/>
      <w:outlineLvl w:val="0"/>
    </w:pPr>
    <w:rPr>
      <w:rFonts w:ascii="Verdana" w:eastAsia="Times New Roman" w:hAnsi="Verdana" w:cs="Mangal"/>
      <w:b/>
      <w:iCs/>
      <w:color w:val="22294D"/>
      <w:sz w:val="28"/>
      <w:szCs w:val="28"/>
      <w:lang w:val="en-GB" w:eastAsia="en-GB"/>
    </w:rPr>
  </w:style>
  <w:style w:type="character" w:styleId="CommentReference">
    <w:name w:val="annotation reference"/>
    <w:basedOn w:val="DefaultParagraphFont"/>
    <w:uiPriority w:val="99"/>
    <w:rsid w:val="00C82BA1"/>
    <w:rPr>
      <w:sz w:val="16"/>
      <w:szCs w:val="16"/>
    </w:rPr>
  </w:style>
  <w:style w:type="paragraph" w:styleId="CommentText">
    <w:name w:val="annotation text"/>
    <w:basedOn w:val="Normal"/>
    <w:link w:val="CommentTextChar"/>
    <w:uiPriority w:val="99"/>
    <w:semiHidden/>
    <w:rsid w:val="00C82BA1"/>
    <w:pPr>
      <w:spacing w:line="240" w:lineRule="auto"/>
    </w:pPr>
    <w:rPr>
      <w:sz w:val="20"/>
      <w:szCs w:val="20"/>
    </w:rPr>
  </w:style>
  <w:style w:type="character" w:customStyle="1" w:styleId="CommentTextChar">
    <w:name w:val="Comment Text Char"/>
    <w:basedOn w:val="DefaultParagraphFont"/>
    <w:link w:val="CommentText"/>
    <w:uiPriority w:val="99"/>
    <w:semiHidden/>
    <w:rsid w:val="00C82BA1"/>
    <w:rPr>
      <w:rFonts w:eastAsiaTheme="minorHAnsi"/>
      <w:lang w:val="en-GB"/>
    </w:rPr>
  </w:style>
  <w:style w:type="paragraph" w:styleId="CommentSubject">
    <w:name w:val="annotation subject"/>
    <w:basedOn w:val="CommentText"/>
    <w:next w:val="CommentText"/>
    <w:link w:val="CommentSubjectChar"/>
    <w:uiPriority w:val="99"/>
    <w:semiHidden/>
    <w:rsid w:val="00C82BA1"/>
    <w:rPr>
      <w:b/>
      <w:bCs/>
    </w:rPr>
  </w:style>
  <w:style w:type="character" w:customStyle="1" w:styleId="CommentSubjectChar">
    <w:name w:val="Comment Subject Char"/>
    <w:basedOn w:val="CommentTextChar"/>
    <w:link w:val="CommentSubject"/>
    <w:uiPriority w:val="99"/>
    <w:semiHidden/>
    <w:rsid w:val="00C82BA1"/>
    <w:rPr>
      <w:rFonts w:eastAsiaTheme="minorHAnsi"/>
      <w:b/>
      <w:bCs/>
      <w:lang w:val="en-GB"/>
    </w:rPr>
  </w:style>
  <w:style w:type="paragraph" w:customStyle="1" w:styleId="EFSAAppendixlevel1">
    <w:name w:val="EFSA_Appendix level 1"/>
    <w:next w:val="EFSABodytext"/>
    <w:qFormat/>
    <w:rsid w:val="00C82BA1"/>
    <w:pPr>
      <w:numPr>
        <w:ilvl w:val="1"/>
        <w:numId w:val="12"/>
      </w:numPr>
      <w:spacing w:line="240" w:lineRule="auto"/>
      <w:jc w:val="left"/>
    </w:pPr>
    <w:rPr>
      <w:rFonts w:ascii="Verdana" w:eastAsiaTheme="majorEastAsia" w:hAnsi="Verdana" w:cstheme="majorBidi"/>
      <w:b/>
      <w:bCs/>
      <w:color w:val="22294D"/>
      <w:sz w:val="24"/>
      <w:szCs w:val="28"/>
      <w:lang w:val="en-GB"/>
    </w:rPr>
  </w:style>
  <w:style w:type="paragraph" w:customStyle="1" w:styleId="EFSAAppendixlevel2">
    <w:name w:val="EFSA_Appendix level 2"/>
    <w:qFormat/>
    <w:rsid w:val="00C82BA1"/>
    <w:pPr>
      <w:numPr>
        <w:ilvl w:val="2"/>
        <w:numId w:val="12"/>
      </w:numPr>
      <w:spacing w:before="240" w:after="120" w:line="240" w:lineRule="auto"/>
      <w:jc w:val="left"/>
    </w:pPr>
    <w:rPr>
      <w:rFonts w:ascii="Verdana" w:eastAsiaTheme="majorEastAsia" w:hAnsi="Verdana" w:cstheme="majorBidi"/>
      <w:b/>
      <w:color w:val="22294D"/>
      <w:sz w:val="22"/>
      <w:szCs w:val="22"/>
      <w:lang w:val="en-GB"/>
    </w:rPr>
  </w:style>
  <w:style w:type="paragraph" w:customStyle="1" w:styleId="EFSAAppendixlevel3">
    <w:name w:val="EFSA_Appendix level 3"/>
    <w:next w:val="EFSABodytext"/>
    <w:qFormat/>
    <w:rsid w:val="00C82BA1"/>
    <w:pPr>
      <w:numPr>
        <w:ilvl w:val="3"/>
        <w:numId w:val="12"/>
      </w:numPr>
      <w:spacing w:line="240" w:lineRule="auto"/>
      <w:jc w:val="left"/>
    </w:pPr>
    <w:rPr>
      <w:rFonts w:ascii="Verdana" w:eastAsiaTheme="majorEastAsia" w:hAnsi="Verdana" w:cstheme="majorBidi"/>
      <w:color w:val="22294D"/>
      <w:sz w:val="22"/>
      <w:szCs w:val="28"/>
      <w:lang w:val="en-GB"/>
    </w:rPr>
  </w:style>
  <w:style w:type="paragraph" w:customStyle="1" w:styleId="EFSAAppendixlevel4">
    <w:name w:val="EFSA_Appendix level 4"/>
    <w:uiPriority w:val="99"/>
    <w:qFormat/>
    <w:rsid w:val="00C82BA1"/>
    <w:pPr>
      <w:numPr>
        <w:ilvl w:val="4"/>
        <w:numId w:val="13"/>
      </w:numPr>
      <w:spacing w:before="240" w:after="120" w:line="240" w:lineRule="auto"/>
      <w:jc w:val="left"/>
    </w:pPr>
    <w:rPr>
      <w:rFonts w:ascii="Tahoma" w:eastAsiaTheme="minorHAnsi" w:hAnsi="Tahoma"/>
      <w:b/>
      <w:lang w:val="en-GB"/>
    </w:rPr>
  </w:style>
  <w:style w:type="numbering" w:customStyle="1" w:styleId="EFSAheadinglist">
    <w:name w:val="EFSA_heading list"/>
    <w:uiPriority w:val="99"/>
    <w:rsid w:val="00C82BA1"/>
    <w:pPr>
      <w:numPr>
        <w:numId w:val="14"/>
      </w:numPr>
    </w:pPr>
  </w:style>
  <w:style w:type="character" w:styleId="FollowedHyperlink">
    <w:name w:val="FollowedHyperlink"/>
    <w:basedOn w:val="DefaultParagraphFont"/>
    <w:uiPriority w:val="99"/>
    <w:semiHidden/>
    <w:rsid w:val="00C82BA1"/>
    <w:rPr>
      <w:color w:val="F9B112" w:themeColor="followedHyperlink"/>
      <w:u w:val="single"/>
    </w:rPr>
  </w:style>
  <w:style w:type="character" w:customStyle="1" w:styleId="xui-provider">
    <w:name w:val="x_ui-provider"/>
    <w:basedOn w:val="DefaultParagraphFont"/>
    <w:rsid w:val="00C82BA1"/>
  </w:style>
  <w:style w:type="paragraph" w:customStyle="1" w:styleId="EFSAAnnexlevel1">
    <w:name w:val="EFSA_Annex level 1"/>
    <w:basedOn w:val="EFSAAppendixlevel1"/>
    <w:next w:val="BodyText"/>
    <w:uiPriority w:val="99"/>
    <w:qFormat/>
    <w:rsid w:val="00C82BA1"/>
    <w:pPr>
      <w:numPr>
        <w:numId w:val="11"/>
      </w:numPr>
    </w:pPr>
  </w:style>
  <w:style w:type="character" w:customStyle="1" w:styleId="EFSAAnnextitleChar">
    <w:name w:val="EFSA_Annex title Char"/>
    <w:basedOn w:val="DefaultParagraphFont"/>
    <w:link w:val="EFSAAnnextitle"/>
    <w:uiPriority w:val="99"/>
    <w:rsid w:val="00C82BA1"/>
    <w:rPr>
      <w:rFonts w:ascii="Verdana" w:eastAsia="Times New Roman" w:hAnsi="Verdana" w:cs="Mangal"/>
      <w:b/>
      <w:iCs/>
      <w:color w:val="22294D"/>
      <w:sz w:val="28"/>
      <w:szCs w:val="28"/>
      <w:lang w:val="en-GB" w:eastAsia="en-GB"/>
    </w:rPr>
  </w:style>
  <w:style w:type="numbering" w:customStyle="1" w:styleId="Annexheadings">
    <w:name w:val="Annex headings"/>
    <w:uiPriority w:val="99"/>
    <w:rsid w:val="00C82BA1"/>
    <w:pPr>
      <w:numPr>
        <w:numId w:val="16"/>
      </w:numPr>
    </w:pPr>
  </w:style>
  <w:style w:type="paragraph" w:customStyle="1" w:styleId="EFSAAnnexlevel2">
    <w:name w:val="EFSA_Annex level 2"/>
    <w:basedOn w:val="EFSAAppendixlevel2"/>
    <w:next w:val="BodyText"/>
    <w:uiPriority w:val="99"/>
    <w:qFormat/>
    <w:rsid w:val="00C82BA1"/>
    <w:pPr>
      <w:numPr>
        <w:numId w:val="11"/>
      </w:numPr>
    </w:pPr>
    <w:rPr>
      <w:lang w:eastAsia="en-GB"/>
    </w:rPr>
  </w:style>
  <w:style w:type="paragraph" w:customStyle="1" w:styleId="EFSAAnnexlevel3">
    <w:name w:val="EFSA_Annex level 3"/>
    <w:basedOn w:val="EFSAAppendixlevel3"/>
    <w:next w:val="BodyText"/>
    <w:uiPriority w:val="99"/>
    <w:qFormat/>
    <w:rsid w:val="00C82BA1"/>
    <w:pPr>
      <w:numPr>
        <w:numId w:val="11"/>
      </w:numPr>
    </w:pPr>
  </w:style>
  <w:style w:type="paragraph" w:styleId="BodyText">
    <w:name w:val="Body Text"/>
    <w:basedOn w:val="Normal"/>
    <w:link w:val="BodyTextChar"/>
    <w:uiPriority w:val="1"/>
    <w:unhideWhenUsed/>
    <w:qFormat/>
    <w:rsid w:val="00C82BA1"/>
    <w:pPr>
      <w:spacing w:after="120"/>
    </w:pPr>
  </w:style>
  <w:style w:type="character" w:customStyle="1" w:styleId="BodyTextChar">
    <w:name w:val="Body Text Char"/>
    <w:basedOn w:val="DefaultParagraphFont"/>
    <w:link w:val="BodyText"/>
    <w:uiPriority w:val="99"/>
    <w:semiHidden/>
    <w:rsid w:val="00C82BA1"/>
    <w:rPr>
      <w:rFonts w:eastAsiaTheme="minorHAnsi"/>
      <w:sz w:val="22"/>
      <w:szCs w:val="22"/>
      <w:lang w:val="en-GB"/>
    </w:rPr>
  </w:style>
  <w:style w:type="table" w:styleId="GridTable2">
    <w:name w:val="Grid Table 2"/>
    <w:basedOn w:val="TableNormal"/>
    <w:uiPriority w:val="47"/>
    <w:rsid w:val="002F0B97"/>
    <w:pPr>
      <w:spacing w:after="0" w:line="240" w:lineRule="auto"/>
    </w:pPr>
    <w:tblPr>
      <w:tblStyleRowBandSize w:val="1"/>
      <w:tblStyleColBandSize w:val="1"/>
    </w:tblPr>
    <w:tcPr>
      <w:shd w:val="clear" w:color="auto" w:fill="C7CCE6" w:themeFill="text1" w:themeFillTint="33"/>
    </w:tcPr>
    <w:tblStylePr w:type="firstRow">
      <w:rPr>
        <w:b/>
        <w:bCs/>
      </w:rPr>
      <w:tblPr/>
      <w:tcPr>
        <w:tcBorders>
          <w:top w:val="nil"/>
          <w:bottom w:val="single" w:sz="12" w:space="0" w:color="5867B5" w:themeColor="text1" w:themeTint="99"/>
          <w:insideH w:val="nil"/>
          <w:insideV w:val="nil"/>
        </w:tcBorders>
        <w:shd w:val="clear" w:color="auto" w:fill="FFFFFF" w:themeFill="background1"/>
      </w:tcPr>
    </w:tblStylePr>
    <w:tblStylePr w:type="lastRow">
      <w:rPr>
        <w:b/>
        <w:bCs/>
      </w:rPr>
      <w:tblPr/>
      <w:tcPr>
        <w:tcBorders>
          <w:top w:val="double" w:sz="2" w:space="0" w:color="5867B5"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style>
  <w:style w:type="paragraph" w:styleId="Revision">
    <w:name w:val="Revision"/>
    <w:hidden/>
    <w:uiPriority w:val="99"/>
    <w:semiHidden/>
    <w:rsid w:val="00F60C38"/>
    <w:pPr>
      <w:spacing w:after="0" w:line="240" w:lineRule="auto"/>
      <w:jc w:val="left"/>
    </w:pPr>
    <w:rPr>
      <w:rFonts w:eastAsiaTheme="minorHAnsi"/>
      <w:sz w:val="22"/>
      <w:szCs w:val="22"/>
      <w:lang w:val="en-GB"/>
    </w:rPr>
  </w:style>
  <w:style w:type="paragraph" w:customStyle="1" w:styleId="TableParagraph">
    <w:name w:val="Table Paragraph"/>
    <w:basedOn w:val="Normal"/>
    <w:uiPriority w:val="1"/>
    <w:qFormat/>
    <w:rsid w:val="008C28E8"/>
    <w:pPr>
      <w:widowControl w:val="0"/>
      <w:autoSpaceDE w:val="0"/>
      <w:autoSpaceDN w:val="0"/>
      <w:spacing w:after="0" w:line="240" w:lineRule="auto"/>
    </w:pPr>
    <w:rPr>
      <w:rFonts w:ascii="Arial MT" w:eastAsia="Arial MT" w:hAnsi="Arial MT" w:cs="Arial MT"/>
      <w:lang w:val="en-US"/>
    </w:rPr>
  </w:style>
  <w:style w:type="table" w:customStyle="1" w:styleId="TableNormal1">
    <w:name w:val="Table Normal1"/>
    <w:uiPriority w:val="2"/>
    <w:semiHidden/>
    <w:unhideWhenUsed/>
    <w:qFormat/>
    <w:rsid w:val="00C279AB"/>
    <w:pPr>
      <w:widowControl w:val="0"/>
      <w:autoSpaceDE w:val="0"/>
      <w:autoSpaceDN w:val="0"/>
      <w:spacing w:after="0" w:line="240" w:lineRule="auto"/>
      <w:jc w:val="left"/>
    </w:pPr>
    <w:rPr>
      <w:rFonts w:eastAsiaTheme="minorHAnsi"/>
      <w:sz w:val="22"/>
      <w:szCs w:val="22"/>
    </w:rPr>
    <w:tblPr>
      <w:tblInd w:w="0" w:type="dxa"/>
      <w:tblCellMar>
        <w:top w:w="0" w:type="dxa"/>
        <w:left w:w="0" w:type="dxa"/>
        <w:bottom w:w="0" w:type="dxa"/>
        <w:right w:w="0" w:type="dxa"/>
      </w:tblCellMar>
    </w:tblPr>
  </w:style>
  <w:style w:type="table" w:styleId="TableGridLight">
    <w:name w:val="Grid Table Light"/>
    <w:basedOn w:val="TableNormal"/>
    <w:uiPriority w:val="40"/>
    <w:rsid w:val="00192CE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D81BAB"/>
    <w:pPr>
      <w:spacing w:after="0" w:line="240" w:lineRule="auto"/>
    </w:pPr>
    <w:tblPr>
      <w:tblStyleRowBandSize w:val="1"/>
      <w:tblStyleColBandSize w:val="1"/>
      <w:tblBorders>
        <w:top w:val="single" w:sz="4" w:space="0" w:color="909ACE" w:themeColor="text1" w:themeTint="66"/>
        <w:left w:val="single" w:sz="4" w:space="0" w:color="909ACE" w:themeColor="text1" w:themeTint="66"/>
        <w:bottom w:val="single" w:sz="4" w:space="0" w:color="909ACE" w:themeColor="text1" w:themeTint="66"/>
        <w:right w:val="single" w:sz="4" w:space="0" w:color="909ACE" w:themeColor="text1" w:themeTint="66"/>
        <w:insideH w:val="single" w:sz="4" w:space="0" w:color="909ACE" w:themeColor="text1" w:themeTint="66"/>
        <w:insideV w:val="single" w:sz="4" w:space="0" w:color="909ACE" w:themeColor="text1" w:themeTint="66"/>
      </w:tblBorders>
    </w:tblPr>
    <w:tblStylePr w:type="firstRow">
      <w:rPr>
        <w:b/>
        <w:bCs/>
      </w:rPr>
      <w:tblPr/>
      <w:tcPr>
        <w:tcBorders>
          <w:bottom w:val="single" w:sz="12" w:space="0" w:color="5867B5" w:themeColor="text1" w:themeTint="99"/>
        </w:tcBorders>
      </w:tcPr>
    </w:tblStylePr>
    <w:tblStylePr w:type="lastRow">
      <w:rPr>
        <w:b/>
        <w:bCs/>
      </w:rPr>
      <w:tblPr/>
      <w:tcPr>
        <w:tcBorders>
          <w:top w:val="double" w:sz="2" w:space="0" w:color="5867B5" w:themeColor="text1" w:themeTint="99"/>
        </w:tcBorders>
      </w:tcPr>
    </w:tblStylePr>
    <w:tblStylePr w:type="firstCol">
      <w:rPr>
        <w:b/>
        <w:bCs/>
      </w:rPr>
    </w:tblStylePr>
    <w:tblStylePr w:type="lastCol">
      <w:rPr>
        <w:b/>
        <w:bCs/>
      </w:rPr>
    </w:tblStylePr>
  </w:style>
  <w:style w:type="table" w:styleId="PlainTable2">
    <w:name w:val="Plain Table 2"/>
    <w:basedOn w:val="TableNormal"/>
    <w:uiPriority w:val="42"/>
    <w:rsid w:val="00831D43"/>
    <w:pPr>
      <w:spacing w:after="0" w:line="240" w:lineRule="auto"/>
    </w:pPr>
    <w:tblPr>
      <w:tblStyleRowBandSize w:val="1"/>
      <w:tblStyleColBandSize w:val="1"/>
      <w:tblBorders>
        <w:top w:val="single" w:sz="4" w:space="0" w:color="7480C1" w:themeColor="text1" w:themeTint="80"/>
        <w:bottom w:val="single" w:sz="4" w:space="0" w:color="7480C1" w:themeColor="text1" w:themeTint="80"/>
      </w:tblBorders>
    </w:tblPr>
    <w:tblStylePr w:type="firstRow">
      <w:rPr>
        <w:b/>
        <w:bCs/>
      </w:rPr>
      <w:tblPr/>
      <w:tcPr>
        <w:tcBorders>
          <w:bottom w:val="single" w:sz="4" w:space="0" w:color="7480C1" w:themeColor="text1" w:themeTint="80"/>
        </w:tcBorders>
      </w:tcPr>
    </w:tblStylePr>
    <w:tblStylePr w:type="lastRow">
      <w:rPr>
        <w:b/>
        <w:bCs/>
      </w:rPr>
      <w:tblPr/>
      <w:tcPr>
        <w:tcBorders>
          <w:top w:val="single" w:sz="4" w:space="0" w:color="7480C1" w:themeColor="text1" w:themeTint="80"/>
        </w:tcBorders>
      </w:tcPr>
    </w:tblStylePr>
    <w:tblStylePr w:type="firstCol">
      <w:rPr>
        <w:b/>
        <w:bCs/>
      </w:rPr>
    </w:tblStylePr>
    <w:tblStylePr w:type="lastCol">
      <w:rPr>
        <w:b/>
        <w:bCs/>
      </w:rPr>
    </w:tblStylePr>
    <w:tblStylePr w:type="band1Vert">
      <w:tblPr/>
      <w:tcPr>
        <w:tcBorders>
          <w:left w:val="single" w:sz="4" w:space="0" w:color="7480C1" w:themeColor="text1" w:themeTint="80"/>
          <w:right w:val="single" w:sz="4" w:space="0" w:color="7480C1" w:themeColor="text1" w:themeTint="80"/>
        </w:tcBorders>
      </w:tcPr>
    </w:tblStylePr>
    <w:tblStylePr w:type="band2Vert">
      <w:tblPr/>
      <w:tcPr>
        <w:tcBorders>
          <w:left w:val="single" w:sz="4" w:space="0" w:color="7480C1" w:themeColor="text1" w:themeTint="80"/>
          <w:right w:val="single" w:sz="4" w:space="0" w:color="7480C1" w:themeColor="text1" w:themeTint="80"/>
        </w:tcBorders>
      </w:tcPr>
    </w:tblStylePr>
    <w:tblStylePr w:type="band1Horz">
      <w:tblPr/>
      <w:tcPr>
        <w:tcBorders>
          <w:top w:val="single" w:sz="4" w:space="0" w:color="7480C1" w:themeColor="text1" w:themeTint="80"/>
          <w:bottom w:val="single" w:sz="4" w:space="0" w:color="7480C1"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89907">
      <w:bodyDiv w:val="1"/>
      <w:marLeft w:val="0"/>
      <w:marRight w:val="0"/>
      <w:marTop w:val="0"/>
      <w:marBottom w:val="0"/>
      <w:divBdr>
        <w:top w:val="none" w:sz="0" w:space="0" w:color="auto"/>
        <w:left w:val="none" w:sz="0" w:space="0" w:color="auto"/>
        <w:bottom w:val="none" w:sz="0" w:space="0" w:color="auto"/>
        <w:right w:val="none" w:sz="0" w:space="0" w:color="auto"/>
      </w:divBdr>
    </w:div>
    <w:div w:id="46229455">
      <w:bodyDiv w:val="1"/>
      <w:marLeft w:val="0"/>
      <w:marRight w:val="0"/>
      <w:marTop w:val="0"/>
      <w:marBottom w:val="0"/>
      <w:divBdr>
        <w:top w:val="none" w:sz="0" w:space="0" w:color="auto"/>
        <w:left w:val="none" w:sz="0" w:space="0" w:color="auto"/>
        <w:bottom w:val="none" w:sz="0" w:space="0" w:color="auto"/>
        <w:right w:val="none" w:sz="0" w:space="0" w:color="auto"/>
      </w:divBdr>
    </w:div>
    <w:div w:id="380442471">
      <w:bodyDiv w:val="1"/>
      <w:marLeft w:val="0"/>
      <w:marRight w:val="0"/>
      <w:marTop w:val="0"/>
      <w:marBottom w:val="0"/>
      <w:divBdr>
        <w:top w:val="none" w:sz="0" w:space="0" w:color="auto"/>
        <w:left w:val="none" w:sz="0" w:space="0" w:color="auto"/>
        <w:bottom w:val="none" w:sz="0" w:space="0" w:color="auto"/>
        <w:right w:val="none" w:sz="0" w:space="0" w:color="auto"/>
      </w:divBdr>
    </w:div>
    <w:div w:id="791366345">
      <w:bodyDiv w:val="1"/>
      <w:marLeft w:val="0"/>
      <w:marRight w:val="0"/>
      <w:marTop w:val="0"/>
      <w:marBottom w:val="0"/>
      <w:divBdr>
        <w:top w:val="none" w:sz="0" w:space="0" w:color="auto"/>
        <w:left w:val="none" w:sz="0" w:space="0" w:color="auto"/>
        <w:bottom w:val="none" w:sz="0" w:space="0" w:color="auto"/>
        <w:right w:val="none" w:sz="0" w:space="0" w:color="auto"/>
      </w:divBdr>
    </w:div>
    <w:div w:id="905727055">
      <w:bodyDiv w:val="1"/>
      <w:marLeft w:val="0"/>
      <w:marRight w:val="0"/>
      <w:marTop w:val="0"/>
      <w:marBottom w:val="0"/>
      <w:divBdr>
        <w:top w:val="none" w:sz="0" w:space="0" w:color="auto"/>
        <w:left w:val="none" w:sz="0" w:space="0" w:color="auto"/>
        <w:bottom w:val="none" w:sz="0" w:space="0" w:color="auto"/>
        <w:right w:val="none" w:sz="0" w:space="0" w:color="auto"/>
      </w:divBdr>
    </w:div>
    <w:div w:id="1164592649">
      <w:bodyDiv w:val="1"/>
      <w:marLeft w:val="0"/>
      <w:marRight w:val="0"/>
      <w:marTop w:val="0"/>
      <w:marBottom w:val="0"/>
      <w:divBdr>
        <w:top w:val="none" w:sz="0" w:space="0" w:color="auto"/>
        <w:left w:val="none" w:sz="0" w:space="0" w:color="auto"/>
        <w:bottom w:val="none" w:sz="0" w:space="0" w:color="auto"/>
        <w:right w:val="none" w:sz="0" w:space="0" w:color="auto"/>
      </w:divBdr>
    </w:div>
    <w:div w:id="1260258097">
      <w:bodyDiv w:val="1"/>
      <w:marLeft w:val="0"/>
      <w:marRight w:val="0"/>
      <w:marTop w:val="0"/>
      <w:marBottom w:val="0"/>
      <w:divBdr>
        <w:top w:val="none" w:sz="0" w:space="0" w:color="auto"/>
        <w:left w:val="none" w:sz="0" w:space="0" w:color="auto"/>
        <w:bottom w:val="none" w:sz="0" w:space="0" w:color="auto"/>
        <w:right w:val="none" w:sz="0" w:space="0" w:color="auto"/>
      </w:divBdr>
    </w:div>
    <w:div w:id="1300456066">
      <w:bodyDiv w:val="1"/>
      <w:marLeft w:val="0"/>
      <w:marRight w:val="0"/>
      <w:marTop w:val="0"/>
      <w:marBottom w:val="0"/>
      <w:divBdr>
        <w:top w:val="none" w:sz="0" w:space="0" w:color="auto"/>
        <w:left w:val="none" w:sz="0" w:space="0" w:color="auto"/>
        <w:bottom w:val="none" w:sz="0" w:space="0" w:color="auto"/>
        <w:right w:val="none" w:sz="0" w:space="0" w:color="auto"/>
      </w:divBdr>
    </w:div>
    <w:div w:id="1675456048">
      <w:bodyDiv w:val="1"/>
      <w:marLeft w:val="0"/>
      <w:marRight w:val="0"/>
      <w:marTop w:val="0"/>
      <w:marBottom w:val="0"/>
      <w:divBdr>
        <w:top w:val="none" w:sz="0" w:space="0" w:color="auto"/>
        <w:left w:val="none" w:sz="0" w:space="0" w:color="auto"/>
        <w:bottom w:val="none" w:sz="0" w:space="0" w:color="auto"/>
        <w:right w:val="none" w:sz="0" w:space="0" w:color="auto"/>
      </w:divBdr>
    </w:div>
    <w:div w:id="1758357381">
      <w:bodyDiv w:val="1"/>
      <w:marLeft w:val="0"/>
      <w:marRight w:val="0"/>
      <w:marTop w:val="0"/>
      <w:marBottom w:val="0"/>
      <w:divBdr>
        <w:top w:val="none" w:sz="0" w:space="0" w:color="auto"/>
        <w:left w:val="none" w:sz="0" w:space="0" w:color="auto"/>
        <w:bottom w:val="none" w:sz="0" w:space="0" w:color="auto"/>
        <w:right w:val="none" w:sz="0" w:space="0" w:color="auto"/>
      </w:divBdr>
    </w:div>
    <w:div w:id="2083065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yperlink" Target="https://www.gov.uk/government/publications/acmd-advice-on-consumer-cannabidiol-cbd-products/government-response-to-the-acmds-advice-on-consumer-cbd-products-accessible-version"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acnfp.food.gov.uk/print/pdf/node/1494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6.xml"/></Relationships>
</file>

<file path=word/_rels/footer2.xml.rels><?xml version="1.0" encoding="UTF-8" standalone="yes"?>
<Relationships xmlns="http://schemas.openxmlformats.org/package/2006/relationships"><Relationship Id="rId2" Type="http://schemas.openxmlformats.org/officeDocument/2006/relationships/hyperlink" Target="http://www.efsa.europa.eu" TargetMode="External"/><Relationship Id="rId1" Type="http://schemas.openxmlformats.org/officeDocument/2006/relationships/image" Target="media/image1.emf"/></Relationships>
</file>

<file path=word/_rels/footer3.xml.rels><?xml version="1.0" encoding="UTF-8" standalone="yes"?>
<Relationships xmlns="http://schemas.openxmlformats.org/package/2006/relationships"><Relationship Id="rId1" Type="http://schemas.openxmlformats.org/officeDocument/2006/relationships/image" Target="media/image1.emf"/></Relationships>
</file>

<file path=word/_rels/footer4.xml.rels><?xml version="1.0" encoding="UTF-8" standalone="yes"?>
<Relationships xmlns="http://schemas.openxmlformats.org/package/2006/relationships"><Relationship Id="rId2" Type="http://schemas.openxmlformats.org/officeDocument/2006/relationships/hyperlink" Target="http://www.efsa.europa.eu" TargetMode="External"/><Relationship Id="rId1" Type="http://schemas.openxmlformats.org/officeDocument/2006/relationships/image" Target="media/image1.emf"/></Relationships>
</file>

<file path=word/_rels/footer5.xml.rels><?xml version="1.0" encoding="UTF-8" standalone="yes"?>
<Relationships xmlns="http://schemas.openxmlformats.org/package/2006/relationships"><Relationship Id="rId2" Type="http://schemas.openxmlformats.org/officeDocument/2006/relationships/hyperlink" Target="http://www.efsa.europa.eu" TargetMode="External"/><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ieleUrbani\Downloads\EJ%20Annex%20Outcome%20of%20Public%20Consultation%20template%202023.dotx" TargetMode="External"/></Relationships>
</file>

<file path=word/theme/theme1.xml><?xml version="1.0" encoding="utf-8"?>
<a:theme xmlns:a="http://schemas.openxmlformats.org/drawingml/2006/main" name="Office Theme">
  <a:themeElements>
    <a:clrScheme name="EFSA">
      <a:dk1>
        <a:srgbClr val="22294D"/>
      </a:dk1>
      <a:lt1>
        <a:srgbClr val="FFFFFF"/>
      </a:lt1>
      <a:dk2>
        <a:srgbClr val="455E6F"/>
      </a:dk2>
      <a:lt2>
        <a:srgbClr val="C8C8C8"/>
      </a:lt2>
      <a:accent1>
        <a:srgbClr val="22294D"/>
      </a:accent1>
      <a:accent2>
        <a:srgbClr val="1D3786"/>
      </a:accent2>
      <a:accent3>
        <a:srgbClr val="38B292"/>
      </a:accent3>
      <a:accent4>
        <a:srgbClr val="F9B112"/>
      </a:accent4>
      <a:accent5>
        <a:srgbClr val="DDC4A5"/>
      </a:accent5>
      <a:accent6>
        <a:srgbClr val="9D3140"/>
      </a:accent6>
      <a:hlink>
        <a:srgbClr val="38B292"/>
      </a:hlink>
      <a:folHlink>
        <a:srgbClr val="F9B112"/>
      </a:folHlink>
    </a:clrScheme>
    <a:fontScheme name="EFS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Comments xmlns="b5d1ebbf-8581-40b7-b505-91df72f521fe" xsi:nil="true"/>
    <TaxCatchAll xmlns="cc27a3e6-41e2-4c1d-8df5-5a45e5baf81d" xsi:nil="true"/>
    <lcf76f155ced4ddcb4097134ff3c332f xmlns="b5d1ebbf-8581-40b7-b505-91df72f521fe">
      <Terms xmlns="http://schemas.microsoft.com/office/infopath/2007/PartnerControls"/>
    </lcf76f155ced4ddcb4097134ff3c332f>
    <SharedWithUsers xmlns="cc27a3e6-41e2-4c1d-8df5-5a45e5baf81d">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187B617AAE7044FA0D6058F6DF00CF4" ma:contentTypeVersion="19" ma:contentTypeDescription="Create a new document." ma:contentTypeScope="" ma:versionID="f6b8a652460563e9276b2f74abe6767e">
  <xsd:schema xmlns:xsd="http://www.w3.org/2001/XMLSchema" xmlns:xs="http://www.w3.org/2001/XMLSchema" xmlns:p="http://schemas.microsoft.com/office/2006/metadata/properties" xmlns:ns2="b5d1ebbf-8581-40b7-b505-91df72f521fe" xmlns:ns3="cc27a3e6-41e2-4c1d-8df5-5a45e5baf81d" targetNamespace="http://schemas.microsoft.com/office/2006/metadata/properties" ma:root="true" ma:fieldsID="dfeb41477344305f44df45498e7a2848" ns2:_="" ns3:_="">
    <xsd:import namespace="b5d1ebbf-8581-40b7-b505-91df72f521fe"/>
    <xsd:import namespace="cc27a3e6-41e2-4c1d-8df5-5a45e5baf81d"/>
    <xsd:element name="properties">
      <xsd:complexType>
        <xsd:sequence>
          <xsd:element name="documentManagement">
            <xsd:complexType>
              <xsd:all>
                <xsd:element ref="ns2:MediaServiceMetadata" minOccurs="0"/>
                <xsd:element ref="ns2:MediaServiceFastMetadata" minOccurs="0"/>
                <xsd:element ref="ns2:Comments"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SearchProperties" minOccurs="0"/>
                <xsd:element ref="ns2:MediaLengthInSecond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d1ebbf-8581-40b7-b505-91df72f521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Comments" ma:index="10" nillable="true" ma:displayName="Comments" ma:format="Dropdown" ma:internalName="Comments">
      <xsd:simpleType>
        <xsd:restriction base="dms:Text">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d3d8e85-2482-46d5-b3d8-06dc7993f3cd"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27a3e6-41e2-4c1d-8df5-5a45e5baf81d"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566b033b-1b20-408f-a85a-ad987d4cc42b}" ma:internalName="TaxCatchAll" ma:showField="CatchAllData" ma:web="cc27a3e6-41e2-4c1d-8df5-5a45e5baf8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BE007F-3298-414A-BC19-82C4AF4DF064}">
  <ds:schemaRefs>
    <ds:schemaRef ds:uri="http://schemas.openxmlformats.org/officeDocument/2006/bibliography"/>
  </ds:schemaRefs>
</ds:datastoreItem>
</file>

<file path=customXml/itemProps2.xml><?xml version="1.0" encoding="utf-8"?>
<ds:datastoreItem xmlns:ds="http://schemas.openxmlformats.org/officeDocument/2006/customXml" ds:itemID="{14994009-A526-4E20-A439-241A501D038C}">
  <ds:schemaRefs>
    <ds:schemaRef ds:uri="http://schemas.microsoft.com/office/2006/metadata/properties"/>
    <ds:schemaRef ds:uri="http://schemas.microsoft.com/office/infopath/2007/PartnerControls"/>
    <ds:schemaRef ds:uri="b5d1ebbf-8581-40b7-b505-91df72f521fe"/>
    <ds:schemaRef ds:uri="cc27a3e6-41e2-4c1d-8df5-5a45e5baf81d"/>
  </ds:schemaRefs>
</ds:datastoreItem>
</file>

<file path=customXml/itemProps3.xml><?xml version="1.0" encoding="utf-8"?>
<ds:datastoreItem xmlns:ds="http://schemas.openxmlformats.org/officeDocument/2006/customXml" ds:itemID="{71A07492-BAA8-44D0-8422-38733C0ADADD}">
  <ds:schemaRefs>
    <ds:schemaRef ds:uri="http://schemas.microsoft.com/sharepoint/v3/contenttype/forms"/>
  </ds:schemaRefs>
</ds:datastoreItem>
</file>

<file path=customXml/itemProps4.xml><?xml version="1.0" encoding="utf-8"?>
<ds:datastoreItem xmlns:ds="http://schemas.openxmlformats.org/officeDocument/2006/customXml" ds:itemID="{5C7331CE-1E8C-450E-B882-71A1BAB58F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d1ebbf-8581-40b7-b505-91df72f521fe"/>
    <ds:schemaRef ds:uri="cc27a3e6-41e2-4c1d-8df5-5a45e5baf8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06a174b-e315-48bd-aa0a-cdaddc44250b}" enabled="0" method="" siteId="{406a174b-e315-48bd-aa0a-cdaddc44250b}" removed="1"/>
</clbl:labelList>
</file>

<file path=docProps/app.xml><?xml version="1.0" encoding="utf-8"?>
<Properties xmlns="http://schemas.openxmlformats.org/officeDocument/2006/extended-properties" xmlns:vt="http://schemas.openxmlformats.org/officeDocument/2006/docPropsVTypes">
  <Template>EJ Annex Outcome of Public Consultation template 2023</Template>
  <TotalTime>3</TotalTime>
  <Pages>13</Pages>
  <Words>3106</Words>
  <Characters>17709</Characters>
  <Application>Microsoft Office Word</Application>
  <DocSecurity>0</DocSecurity>
  <Lines>147</Lines>
  <Paragraphs>41</Paragraphs>
  <ScaleCrop>false</ScaleCrop>
  <Manager>GARCIA GOMEZ Matilde</Manager>
  <Company>European Food Safety Authority</Company>
  <LinksUpToDate>false</LinksUpToDate>
  <CharactersWithSpaces>20774</CharactersWithSpaces>
  <SharedDoc>false</SharedDoc>
  <HyperlinkBase/>
  <HLinks>
    <vt:vector size="66" baseType="variant">
      <vt:variant>
        <vt:i4>2818089</vt:i4>
      </vt:variant>
      <vt:variant>
        <vt:i4>45</vt:i4>
      </vt:variant>
      <vt:variant>
        <vt:i4>0</vt:i4>
      </vt:variant>
      <vt:variant>
        <vt:i4>5</vt:i4>
      </vt:variant>
      <vt:variant>
        <vt:lpwstr>https://www.gov.uk/government/publications/acmd-advice-on-consumer-cannabidiol-cbd-products/government-response-to-the-acmds-advice-on-consumer-cbd-products-accessible-version</vt:lpwstr>
      </vt:variant>
      <vt:variant>
        <vt:lpwstr/>
      </vt:variant>
      <vt:variant>
        <vt:i4>3211372</vt:i4>
      </vt:variant>
      <vt:variant>
        <vt:i4>42</vt:i4>
      </vt:variant>
      <vt:variant>
        <vt:i4>0</vt:i4>
      </vt:variant>
      <vt:variant>
        <vt:i4>5</vt:i4>
      </vt:variant>
      <vt:variant>
        <vt:lpwstr>https://acnfp.food.gov.uk/print/pdf/node/14941</vt:lpwstr>
      </vt:variant>
      <vt:variant>
        <vt:lpwstr/>
      </vt:variant>
      <vt:variant>
        <vt:i4>3604542</vt:i4>
      </vt:variant>
      <vt:variant>
        <vt:i4>39</vt:i4>
      </vt:variant>
      <vt:variant>
        <vt:i4>0</vt:i4>
      </vt:variant>
      <vt:variant>
        <vt:i4>5</vt:i4>
      </vt:variant>
      <vt:variant>
        <vt:lpwstr>https://www.efsa.europa.eu/en/efsajournal/pub/4141</vt:lpwstr>
      </vt:variant>
      <vt:variant>
        <vt:lpwstr/>
      </vt:variant>
      <vt:variant>
        <vt:i4>2752518</vt:i4>
      </vt:variant>
      <vt:variant>
        <vt:i4>32</vt:i4>
      </vt:variant>
      <vt:variant>
        <vt:i4>0</vt:i4>
      </vt:variant>
      <vt:variant>
        <vt:i4>5</vt:i4>
      </vt:variant>
      <vt:variant>
        <vt:lpwstr/>
      </vt:variant>
      <vt:variant>
        <vt:lpwstr>_Toc1497982452</vt:lpwstr>
      </vt:variant>
      <vt:variant>
        <vt:i4>1769533</vt:i4>
      </vt:variant>
      <vt:variant>
        <vt:i4>26</vt:i4>
      </vt:variant>
      <vt:variant>
        <vt:i4>0</vt:i4>
      </vt:variant>
      <vt:variant>
        <vt:i4>5</vt:i4>
      </vt:variant>
      <vt:variant>
        <vt:lpwstr/>
      </vt:variant>
      <vt:variant>
        <vt:lpwstr>_Toc85141954</vt:lpwstr>
      </vt:variant>
      <vt:variant>
        <vt:i4>1900596</vt:i4>
      </vt:variant>
      <vt:variant>
        <vt:i4>20</vt:i4>
      </vt:variant>
      <vt:variant>
        <vt:i4>0</vt:i4>
      </vt:variant>
      <vt:variant>
        <vt:i4>5</vt:i4>
      </vt:variant>
      <vt:variant>
        <vt:lpwstr/>
      </vt:variant>
      <vt:variant>
        <vt:lpwstr>_Toc607905562</vt:lpwstr>
      </vt:variant>
      <vt:variant>
        <vt:i4>2949133</vt:i4>
      </vt:variant>
      <vt:variant>
        <vt:i4>14</vt:i4>
      </vt:variant>
      <vt:variant>
        <vt:i4>0</vt:i4>
      </vt:variant>
      <vt:variant>
        <vt:i4>5</vt:i4>
      </vt:variant>
      <vt:variant>
        <vt:lpwstr/>
      </vt:variant>
      <vt:variant>
        <vt:lpwstr>_Toc1187918459</vt:lpwstr>
      </vt:variant>
      <vt:variant>
        <vt:i4>2490373</vt:i4>
      </vt:variant>
      <vt:variant>
        <vt:i4>8</vt:i4>
      </vt:variant>
      <vt:variant>
        <vt:i4>0</vt:i4>
      </vt:variant>
      <vt:variant>
        <vt:i4>5</vt:i4>
      </vt:variant>
      <vt:variant>
        <vt:lpwstr/>
      </vt:variant>
      <vt:variant>
        <vt:lpwstr>_Toc1547375165</vt:lpwstr>
      </vt:variant>
      <vt:variant>
        <vt:i4>1376304</vt:i4>
      </vt:variant>
      <vt:variant>
        <vt:i4>2</vt:i4>
      </vt:variant>
      <vt:variant>
        <vt:i4>0</vt:i4>
      </vt:variant>
      <vt:variant>
        <vt:i4>5</vt:i4>
      </vt:variant>
      <vt:variant>
        <vt:lpwstr/>
      </vt:variant>
      <vt:variant>
        <vt:lpwstr>_Toc362741522</vt:lpwstr>
      </vt:variant>
      <vt:variant>
        <vt:i4>2228331</vt:i4>
      </vt:variant>
      <vt:variant>
        <vt:i4>10</vt:i4>
      </vt:variant>
      <vt:variant>
        <vt:i4>0</vt:i4>
      </vt:variant>
      <vt:variant>
        <vt:i4>5</vt:i4>
      </vt:variant>
      <vt:variant>
        <vt:lpwstr>http://www.efsa.europa.eu/</vt:lpwstr>
      </vt:variant>
      <vt:variant>
        <vt:lpwstr/>
      </vt:variant>
      <vt:variant>
        <vt:i4>2228331</vt:i4>
      </vt:variant>
      <vt:variant>
        <vt:i4>4</vt:i4>
      </vt:variant>
      <vt:variant>
        <vt:i4>0</vt:i4>
      </vt:variant>
      <vt:variant>
        <vt:i4>5</vt:i4>
      </vt:variant>
      <vt:variant>
        <vt:lpwstr>http://www.efsa.europa.eu/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CHRISTODOULIDOU Anna</dc:creator>
  <cp:keywords/>
  <dc:description/>
  <cp:lastModifiedBy>ELZER Bernd</cp:lastModifiedBy>
  <cp:revision>3</cp:revision>
  <cp:lastPrinted>2025-11-04T08:20:00Z</cp:lastPrinted>
  <dcterms:created xsi:type="dcterms:W3CDTF">2025-11-05T16:28:00Z</dcterms:created>
  <dcterms:modified xsi:type="dcterms:W3CDTF">2025-11-06T09:07:00Z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0x010100D187B617AAE7044FA0D6058F6DF00CF4</vt:lpwstr>
  </property>
  <property fmtid="{D5CDD505-2E9C-101B-9397-08002B2CF9AE}" pid="3" name="MediaServiceImageTags">
    <vt:lpwstr/>
  </property>
  <property fmtid="{D5CDD505-2E9C-101B-9397-08002B2CF9AE}" pid="4" name="Order">
    <vt:r8>103800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