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B053" w14:textId="77777777" w:rsidR="005E0B04" w:rsidRPr="00B36133" w:rsidRDefault="005E0B04" w:rsidP="005E0B04">
      <w:pPr>
        <w:rPr>
          <w:rFonts w:ascii="Arial" w:hAnsi="Arial" w:cs="Arial"/>
          <w:b/>
          <w:bCs/>
        </w:rPr>
      </w:pPr>
      <w:r w:rsidRPr="00B36133">
        <w:rPr>
          <w:rFonts w:ascii="Arial" w:hAnsi="Arial" w:cs="Arial"/>
          <w:b/>
          <w:bCs/>
        </w:rPr>
        <w:t>Supplemental</w:t>
      </w:r>
      <w:r>
        <w:rPr>
          <w:rFonts w:ascii="Arial" w:hAnsi="Arial" w:cs="Arial"/>
          <w:b/>
          <w:bCs/>
        </w:rPr>
        <w:t xml:space="preserve"> Tables and</w:t>
      </w:r>
      <w:r w:rsidRPr="00B36133">
        <w:rPr>
          <w:rFonts w:ascii="Arial" w:hAnsi="Arial" w:cs="Arial"/>
          <w:b/>
          <w:bCs/>
        </w:rPr>
        <w:t xml:space="preserve"> Figures</w:t>
      </w:r>
    </w:p>
    <w:p w14:paraId="24D02550" w14:textId="77777777" w:rsidR="005E0B04" w:rsidRPr="00680307" w:rsidRDefault="005E0B04" w:rsidP="005E0B04">
      <w:pPr>
        <w:rPr>
          <w:rFonts w:ascii="Arial" w:hAnsi="Arial" w:cs="Arial"/>
          <w:b/>
          <w:bCs/>
        </w:rPr>
      </w:pPr>
      <w:r w:rsidRPr="00680307">
        <w:rPr>
          <w:rFonts w:ascii="Arial" w:hAnsi="Arial" w:cs="Arial"/>
          <w:b/>
          <w:bCs/>
        </w:rPr>
        <w:t>Supplemental Table 1. Inclusion and Exclusion Criteria</w:t>
      </w:r>
      <w:r>
        <w:rPr>
          <w:rFonts w:ascii="Arial" w:hAnsi="Arial" w:cs="Arial"/>
          <w:b/>
          <w:bCs/>
        </w:rPr>
        <w:t xml:space="preserve">. </w:t>
      </w:r>
      <w:r w:rsidRPr="004C6455">
        <w:rPr>
          <w:rFonts w:ascii="Arial" w:hAnsi="Arial" w:cs="Arial"/>
        </w:rPr>
        <w:t>LHRH = luteinizing hormone-releasing hormone; AI = aromatase inhibitor; HER2 = human epidermal growth factor receptor 2; CDK = cyclin-dependent kinases; ALT = alanine transaminase; AST = aspartate aminotransferase; ULN = upper limit normal; THC = tetrahydrocannabinol; CBD = cannabidiol.</w:t>
      </w:r>
      <w:r>
        <w:rPr>
          <w:rFonts w:ascii="Arial" w:hAnsi="Arial" w:cs="Arial"/>
          <w:b/>
          <w:bCs/>
        </w:rPr>
        <w:t xml:space="preserve"> </w:t>
      </w:r>
    </w:p>
    <w:tbl>
      <w:tblPr>
        <w:tblStyle w:val="TableGrid"/>
        <w:tblW w:w="0" w:type="auto"/>
        <w:tblLook w:val="04A0" w:firstRow="1" w:lastRow="0" w:firstColumn="1" w:lastColumn="0" w:noHBand="0" w:noVBand="1"/>
      </w:tblPr>
      <w:tblGrid>
        <w:gridCol w:w="4675"/>
        <w:gridCol w:w="4675"/>
      </w:tblGrid>
      <w:tr w:rsidR="005E0B04" w14:paraId="61A05599" w14:textId="77777777" w:rsidTr="006307AD">
        <w:tc>
          <w:tcPr>
            <w:tcW w:w="4675" w:type="dxa"/>
          </w:tcPr>
          <w:p w14:paraId="60343AA3" w14:textId="77777777" w:rsidR="005E0B04" w:rsidRPr="00680307" w:rsidRDefault="005E0B04" w:rsidP="006307AD">
            <w:pPr>
              <w:jc w:val="center"/>
              <w:rPr>
                <w:rFonts w:ascii="Arial" w:hAnsi="Arial" w:cs="Arial"/>
                <w:b/>
                <w:bCs/>
              </w:rPr>
            </w:pPr>
            <w:r w:rsidRPr="00680307">
              <w:rPr>
                <w:rFonts w:ascii="Arial" w:hAnsi="Arial" w:cs="Arial"/>
                <w:b/>
                <w:bCs/>
              </w:rPr>
              <w:t>Inclusion Criteria</w:t>
            </w:r>
          </w:p>
        </w:tc>
        <w:tc>
          <w:tcPr>
            <w:tcW w:w="4675" w:type="dxa"/>
          </w:tcPr>
          <w:p w14:paraId="4EBA717B" w14:textId="77777777" w:rsidR="005E0B04" w:rsidRPr="00680307" w:rsidRDefault="005E0B04" w:rsidP="006307AD">
            <w:pPr>
              <w:jc w:val="center"/>
              <w:rPr>
                <w:rFonts w:ascii="Arial" w:hAnsi="Arial" w:cs="Arial"/>
                <w:b/>
                <w:bCs/>
              </w:rPr>
            </w:pPr>
            <w:r w:rsidRPr="00680307">
              <w:rPr>
                <w:rFonts w:ascii="Arial" w:hAnsi="Arial" w:cs="Arial"/>
                <w:b/>
                <w:bCs/>
              </w:rPr>
              <w:t>Exclusion Criteria</w:t>
            </w:r>
          </w:p>
        </w:tc>
      </w:tr>
      <w:tr w:rsidR="005E0B04" w14:paraId="37699D80" w14:textId="77777777" w:rsidTr="006307AD">
        <w:tc>
          <w:tcPr>
            <w:tcW w:w="4675" w:type="dxa"/>
          </w:tcPr>
          <w:p w14:paraId="5F00A738"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Female subject aged ≥ 18 years who are postmenopausal according to standard</w:t>
            </w:r>
            <w:r>
              <w:rPr>
                <w:rFonts w:ascii="Arial" w:hAnsi="Arial" w:cs="Arial"/>
                <w:shd w:val="clear" w:color="auto" w:fill="FFFFFF"/>
              </w:rPr>
              <w:t xml:space="preserve"> </w:t>
            </w:r>
            <w:r w:rsidRPr="00914851">
              <w:rPr>
                <w:rFonts w:ascii="Arial" w:hAnsi="Arial" w:cs="Arial"/>
                <w:shd w:val="clear" w:color="auto" w:fill="FFFFFF"/>
              </w:rPr>
              <w:t>clinical criteria (</w:t>
            </w:r>
            <w:r>
              <w:rPr>
                <w:rFonts w:ascii="Arial" w:hAnsi="Arial" w:cs="Arial"/>
                <w:shd w:val="clear" w:color="auto" w:fill="FFFFFF"/>
              </w:rPr>
              <w:t xml:space="preserve">absence of menses for at least 12 months, prior bilateral </w:t>
            </w:r>
            <w:proofErr w:type="spellStart"/>
            <w:r>
              <w:rPr>
                <w:rFonts w:ascii="Arial" w:hAnsi="Arial" w:cs="Arial"/>
                <w:shd w:val="clear" w:color="auto" w:fill="FFFFFF"/>
              </w:rPr>
              <w:t>salpingo</w:t>
            </w:r>
            <w:proofErr w:type="spellEnd"/>
            <w:r>
              <w:rPr>
                <w:rFonts w:ascii="Arial" w:hAnsi="Arial" w:cs="Arial"/>
                <w:shd w:val="clear" w:color="auto" w:fill="FFFFFF"/>
              </w:rPr>
              <w:t>-oophorectomy, serum or plasma concentrations of estradiol within postmenopausal range according to local lab values</w:t>
            </w:r>
            <w:r w:rsidRPr="00914851">
              <w:rPr>
                <w:rFonts w:ascii="Arial" w:hAnsi="Arial" w:cs="Arial"/>
                <w:shd w:val="clear" w:color="auto" w:fill="FFFFFF"/>
              </w:rPr>
              <w:t>) or who will have been receiving concomitant LHRH</w:t>
            </w:r>
            <w:r>
              <w:rPr>
                <w:rFonts w:ascii="Arial" w:hAnsi="Arial" w:cs="Arial"/>
                <w:shd w:val="clear" w:color="auto" w:fill="FFFFFF"/>
              </w:rPr>
              <w:t xml:space="preserve"> </w:t>
            </w:r>
            <w:r w:rsidRPr="00914851">
              <w:rPr>
                <w:rFonts w:ascii="Arial" w:hAnsi="Arial" w:cs="Arial"/>
                <w:shd w:val="clear" w:color="auto" w:fill="FFFFFF"/>
              </w:rPr>
              <w:t>agonist therapy</w:t>
            </w:r>
            <w:r>
              <w:rPr>
                <w:rFonts w:ascii="Arial" w:hAnsi="Arial" w:cs="Arial"/>
                <w:shd w:val="clear" w:color="auto" w:fill="FFFFFF"/>
              </w:rPr>
              <w:t>.</w:t>
            </w:r>
          </w:p>
          <w:p w14:paraId="371C0AFA"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Taking aromatase inhibitor therapy (anastrozole, exemestane, or letrozole) for</w:t>
            </w:r>
            <w:r>
              <w:rPr>
                <w:rFonts w:ascii="Arial" w:hAnsi="Arial" w:cs="Arial"/>
                <w:shd w:val="clear" w:color="auto" w:fill="FFFFFF"/>
              </w:rPr>
              <w:t xml:space="preserve"> </w:t>
            </w:r>
            <w:r w:rsidRPr="00914851">
              <w:rPr>
                <w:rFonts w:ascii="Arial" w:hAnsi="Arial" w:cs="Arial"/>
                <w:shd w:val="clear" w:color="auto" w:fill="FFFFFF"/>
              </w:rPr>
              <w:t>adjuvant treatment of breast cancer or for chemoprevention for at least 3 weeks and no</w:t>
            </w:r>
            <w:r w:rsidRPr="00914851">
              <w:rPr>
                <w:rFonts w:ascii="Arial" w:hAnsi="Arial" w:cs="Arial"/>
              </w:rPr>
              <w:br/>
            </w:r>
            <w:r w:rsidRPr="00914851">
              <w:rPr>
                <w:rFonts w:ascii="Arial" w:hAnsi="Arial" w:cs="Arial"/>
                <w:shd w:val="clear" w:color="auto" w:fill="FFFFFF"/>
              </w:rPr>
              <w:t>more than 2 years at the time of enrollment.</w:t>
            </w:r>
          </w:p>
          <w:p w14:paraId="49DDE76B"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Planning to take the same AI therapy for at least 15 weeks</w:t>
            </w:r>
            <w:r>
              <w:rPr>
                <w:rFonts w:ascii="Arial" w:hAnsi="Arial" w:cs="Arial"/>
                <w:shd w:val="clear" w:color="auto" w:fill="FFFFFF"/>
              </w:rPr>
              <w:t>.</w:t>
            </w:r>
          </w:p>
          <w:p w14:paraId="6103E277"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New or worsening joint pain since starting the AI therapy, with worst pain score</w:t>
            </w:r>
            <w:r>
              <w:rPr>
                <w:rFonts w:ascii="Arial" w:hAnsi="Arial" w:cs="Arial"/>
                <w:shd w:val="clear" w:color="auto" w:fill="FFFFFF"/>
              </w:rPr>
              <w:t xml:space="preserve"> </w:t>
            </w:r>
            <w:r w:rsidRPr="00914851">
              <w:rPr>
                <w:rFonts w:ascii="Arial" w:hAnsi="Arial" w:cs="Arial"/>
                <w:shd w:val="clear" w:color="auto" w:fill="FFFFFF"/>
              </w:rPr>
              <w:t>of at least 4 out of 10 over the 7 days prior to enrollment</w:t>
            </w:r>
            <w:r>
              <w:rPr>
                <w:rFonts w:ascii="Arial" w:hAnsi="Arial" w:cs="Arial"/>
                <w:shd w:val="clear" w:color="auto" w:fill="FFFFFF"/>
              </w:rPr>
              <w:t>.</w:t>
            </w:r>
          </w:p>
          <w:p w14:paraId="6D13CCF7"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Completion of surgery (mastectomy or lumpectomy/partial mastectomy) for</w:t>
            </w:r>
            <w:r w:rsidRPr="00914851">
              <w:rPr>
                <w:rFonts w:ascii="Arial" w:hAnsi="Arial" w:cs="Arial"/>
              </w:rPr>
              <w:br/>
            </w:r>
            <w:r w:rsidRPr="00914851">
              <w:rPr>
                <w:rFonts w:ascii="Arial" w:hAnsi="Arial" w:cs="Arial"/>
                <w:shd w:val="clear" w:color="auto" w:fill="FFFFFF"/>
              </w:rPr>
              <w:t>treatment of breast cancer at least 3 months prior to enrollment. Completion of axillary</w:t>
            </w:r>
            <w:r>
              <w:rPr>
                <w:rFonts w:ascii="Arial" w:hAnsi="Arial" w:cs="Arial"/>
                <w:shd w:val="clear" w:color="auto" w:fill="FFFFFF"/>
              </w:rPr>
              <w:t xml:space="preserve"> </w:t>
            </w:r>
            <w:r w:rsidRPr="00914851">
              <w:rPr>
                <w:rFonts w:ascii="Arial" w:hAnsi="Arial" w:cs="Arial"/>
                <w:shd w:val="clear" w:color="auto" w:fill="FFFFFF"/>
              </w:rPr>
              <w:t>surgery as indicated (not required)</w:t>
            </w:r>
            <w:r>
              <w:rPr>
                <w:rFonts w:ascii="Arial" w:hAnsi="Arial" w:cs="Arial"/>
                <w:shd w:val="clear" w:color="auto" w:fill="FFFFFF"/>
              </w:rPr>
              <w:t>.</w:t>
            </w:r>
          </w:p>
          <w:p w14:paraId="2BAB027D"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Completion of chemotherapy, if given. Concurrent use of LHRH</w:t>
            </w:r>
            <w:r>
              <w:rPr>
                <w:rFonts w:ascii="Arial" w:hAnsi="Arial" w:cs="Arial"/>
                <w:shd w:val="clear" w:color="auto" w:fill="FFFFFF"/>
              </w:rPr>
              <w:t xml:space="preserve"> agonist</w:t>
            </w:r>
            <w:r w:rsidRPr="00914851">
              <w:rPr>
                <w:rFonts w:ascii="Arial" w:hAnsi="Arial" w:cs="Arial"/>
                <w:shd w:val="clear" w:color="auto" w:fill="FFFFFF"/>
              </w:rPr>
              <w:t xml:space="preserve"> therapy, anti-HER2 therapy, bisphosphonate therapy, and CDK4/6 inhibitor therapy is permitted.</w:t>
            </w:r>
          </w:p>
          <w:p w14:paraId="5A8B3878"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Patients receiving treatment with opioids, duloxetine, gabapentin,</w:t>
            </w:r>
            <w:r>
              <w:rPr>
                <w:rFonts w:ascii="Arial" w:hAnsi="Arial" w:cs="Arial"/>
                <w:shd w:val="clear" w:color="auto" w:fill="FFFFFF"/>
              </w:rPr>
              <w:t xml:space="preserve"> </w:t>
            </w:r>
            <w:r w:rsidRPr="00914851">
              <w:rPr>
                <w:rFonts w:ascii="Arial" w:hAnsi="Arial" w:cs="Arial"/>
                <w:shd w:val="clear" w:color="auto" w:fill="FFFFFF"/>
              </w:rPr>
              <w:t>and/or</w:t>
            </w:r>
            <w:r>
              <w:rPr>
                <w:rFonts w:ascii="Arial" w:hAnsi="Arial" w:cs="Arial"/>
                <w:shd w:val="clear" w:color="auto" w:fill="FFFFFF"/>
              </w:rPr>
              <w:t xml:space="preserve"> </w:t>
            </w:r>
            <w:r w:rsidRPr="00914851">
              <w:rPr>
                <w:rFonts w:ascii="Arial" w:hAnsi="Arial" w:cs="Arial"/>
                <w:shd w:val="clear" w:color="auto" w:fill="FFFFFF"/>
              </w:rPr>
              <w:t>pregabalin must have been taking a stable dose for at least 30 days prior to enrollment.</w:t>
            </w:r>
          </w:p>
          <w:p w14:paraId="2A02433D"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ECOG Performance Status 0-2.</w:t>
            </w:r>
          </w:p>
          <w:p w14:paraId="33DA475D"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Able to self-complete questionnaires in English.</w:t>
            </w:r>
          </w:p>
          <w:p w14:paraId="57F08A35"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lastRenderedPageBreak/>
              <w:t>Able to provide informed consent and willing to sign an approved consent form</w:t>
            </w:r>
            <w:r>
              <w:rPr>
                <w:rFonts w:ascii="Arial" w:hAnsi="Arial" w:cs="Arial"/>
                <w:shd w:val="clear" w:color="auto" w:fill="FFFFFF"/>
              </w:rPr>
              <w:t xml:space="preserve"> </w:t>
            </w:r>
            <w:r w:rsidRPr="00914851">
              <w:rPr>
                <w:rFonts w:ascii="Arial" w:hAnsi="Arial" w:cs="Arial"/>
                <w:shd w:val="clear" w:color="auto" w:fill="FFFFFF"/>
              </w:rPr>
              <w:t>that conforms to federal and institutional guidelines.</w:t>
            </w:r>
          </w:p>
        </w:tc>
        <w:tc>
          <w:tcPr>
            <w:tcW w:w="4675" w:type="dxa"/>
          </w:tcPr>
          <w:p w14:paraId="41F301C6"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lastRenderedPageBreak/>
              <w:t>Metastatic breast cancer.</w:t>
            </w:r>
          </w:p>
          <w:p w14:paraId="2297DFB3"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Planned surgery during the 8-week study period.</w:t>
            </w:r>
          </w:p>
          <w:p w14:paraId="376D968B"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ALT/AST &gt; 3x ULN or bilirubin &gt; 1.5x ULN. If known Gilbert’s syndrome,</w:t>
            </w:r>
            <w:r w:rsidRPr="00914851">
              <w:rPr>
                <w:rFonts w:ascii="Arial" w:hAnsi="Arial" w:cs="Arial"/>
              </w:rPr>
              <w:br/>
            </w:r>
            <w:r w:rsidRPr="00914851">
              <w:rPr>
                <w:rFonts w:ascii="Arial" w:hAnsi="Arial" w:cs="Arial"/>
                <w:shd w:val="clear" w:color="auto" w:fill="FFFFFF"/>
              </w:rPr>
              <w:t>bilirubin may not be &gt; 2x ULN.</w:t>
            </w:r>
          </w:p>
          <w:p w14:paraId="02351509"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eastAsia="Times New Roman" w:hAnsi="Arial" w:cs="Arial"/>
                <w:kern w:val="0"/>
                <w14:ligatures w14:val="none"/>
              </w:rPr>
              <w:t>History of suicide attempt.</w:t>
            </w:r>
          </w:p>
          <w:p w14:paraId="4974B922"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History of seizure other than febrile seizures in childhood.</w:t>
            </w:r>
          </w:p>
          <w:p w14:paraId="1DEF3668"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Current use of valproate or clobazam. If patient takes valproate or clobazam,</w:t>
            </w:r>
            <w:r w:rsidRPr="00914851">
              <w:rPr>
                <w:rFonts w:ascii="Arial" w:hAnsi="Arial" w:cs="Arial"/>
              </w:rPr>
              <w:br/>
            </w:r>
            <w:r w:rsidRPr="00914851">
              <w:rPr>
                <w:rFonts w:ascii="Arial" w:hAnsi="Arial" w:cs="Arial"/>
                <w:shd w:val="clear" w:color="auto" w:fill="FFFFFF"/>
              </w:rPr>
              <w:t>should discontinue 7 days prior to enrollment.</w:t>
            </w:r>
          </w:p>
          <w:p w14:paraId="7D06F138"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Use of cannabidiol, THC, or marijuana (oral, inhaled, or topical) within the 6</w:t>
            </w:r>
            <w:r w:rsidRPr="00914851">
              <w:rPr>
                <w:rFonts w:ascii="Arial" w:hAnsi="Arial" w:cs="Arial"/>
              </w:rPr>
              <w:br/>
            </w:r>
            <w:r w:rsidRPr="00914851">
              <w:rPr>
                <w:rFonts w:ascii="Arial" w:hAnsi="Arial" w:cs="Arial"/>
                <w:shd w:val="clear" w:color="auto" w:fill="FFFFFF"/>
              </w:rPr>
              <w:t>weeks prior to enrollment.</w:t>
            </w:r>
          </w:p>
          <w:p w14:paraId="0E60EF74"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Known allergy or hypersensitivity to CBD or any of the excipients in the</w:t>
            </w:r>
            <w:r w:rsidRPr="00914851">
              <w:rPr>
                <w:rFonts w:ascii="Arial" w:hAnsi="Arial" w:cs="Arial"/>
              </w:rPr>
              <w:br/>
            </w:r>
            <w:r w:rsidRPr="00914851">
              <w:rPr>
                <w:rFonts w:ascii="Arial" w:hAnsi="Arial" w:cs="Arial"/>
                <w:shd w:val="clear" w:color="auto" w:fill="FFFFFF"/>
              </w:rPr>
              <w:t>medication, including sesame.</w:t>
            </w:r>
          </w:p>
          <w:p w14:paraId="37CEDD3A"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Unable to take oral medications.</w:t>
            </w:r>
          </w:p>
          <w:p w14:paraId="1609DABB"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Pregnant or breast feeding.</w:t>
            </w:r>
          </w:p>
          <w:p w14:paraId="1318F78D"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Any medical condition that would interfere with the absorption of study</w:t>
            </w:r>
            <w:r w:rsidRPr="00914851">
              <w:rPr>
                <w:rFonts w:ascii="Arial" w:hAnsi="Arial" w:cs="Arial"/>
              </w:rPr>
              <w:br/>
            </w:r>
            <w:r w:rsidRPr="00914851">
              <w:rPr>
                <w:rFonts w:ascii="Arial" w:hAnsi="Arial" w:cs="Arial"/>
                <w:shd w:val="clear" w:color="auto" w:fill="FFFFFF"/>
              </w:rPr>
              <w:t>medication. Prior gastric bypass is permitted.</w:t>
            </w:r>
          </w:p>
          <w:p w14:paraId="3FDD97DE"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Concurrent medical or arthritis disease such as active rheumatoid arthritis or</w:t>
            </w:r>
            <w:r>
              <w:rPr>
                <w:rFonts w:ascii="Arial" w:hAnsi="Arial" w:cs="Arial"/>
                <w:shd w:val="clear" w:color="auto" w:fill="FFFFFF"/>
              </w:rPr>
              <w:t xml:space="preserve"> </w:t>
            </w:r>
            <w:r w:rsidRPr="00914851">
              <w:rPr>
                <w:rFonts w:ascii="Arial" w:hAnsi="Arial" w:cs="Arial"/>
                <w:shd w:val="clear" w:color="auto" w:fill="FFFFFF"/>
              </w:rPr>
              <w:t>inflammatory arthritis that could confound or interfere with evaluation of pain or</w:t>
            </w:r>
            <w:r>
              <w:rPr>
                <w:rFonts w:ascii="Arial" w:hAnsi="Arial" w:cs="Arial"/>
                <w:shd w:val="clear" w:color="auto" w:fill="FFFFFF"/>
              </w:rPr>
              <w:t xml:space="preserve"> </w:t>
            </w:r>
            <w:r w:rsidRPr="00914851">
              <w:rPr>
                <w:rFonts w:ascii="Arial" w:hAnsi="Arial" w:cs="Arial"/>
                <w:shd w:val="clear" w:color="auto" w:fill="FFFFFF"/>
              </w:rPr>
              <w:t>efficacy. Patients with osteoarthritis are eligible.</w:t>
            </w:r>
          </w:p>
          <w:p w14:paraId="3317E99B" w14:textId="77777777" w:rsidR="005E0B04" w:rsidRPr="00680307" w:rsidRDefault="005E0B04" w:rsidP="005E0B04">
            <w:pPr>
              <w:pStyle w:val="ListParagraph"/>
              <w:numPr>
                <w:ilvl w:val="0"/>
                <w:numId w:val="1"/>
              </w:numPr>
              <w:spacing w:line="240" w:lineRule="auto"/>
              <w:rPr>
                <w:rFonts w:ascii="Arial" w:hAnsi="Arial" w:cs="Arial"/>
              </w:rPr>
            </w:pPr>
            <w:r w:rsidRPr="00914851">
              <w:rPr>
                <w:rFonts w:ascii="Arial" w:hAnsi="Arial" w:cs="Arial"/>
                <w:shd w:val="clear" w:color="auto" w:fill="FFFFFF"/>
              </w:rPr>
              <w:t>Patients with a prior or concurrent malignancy whose natural history or</w:t>
            </w:r>
            <w:r w:rsidRPr="00914851">
              <w:rPr>
                <w:rFonts w:ascii="Arial" w:hAnsi="Arial" w:cs="Arial"/>
              </w:rPr>
              <w:br/>
            </w:r>
            <w:r w:rsidRPr="00914851">
              <w:rPr>
                <w:rFonts w:ascii="Arial" w:hAnsi="Arial" w:cs="Arial"/>
                <w:shd w:val="clear" w:color="auto" w:fill="FFFFFF"/>
              </w:rPr>
              <w:t>treatment, in the opinion of the</w:t>
            </w:r>
            <w:r>
              <w:rPr>
                <w:rFonts w:ascii="Arial" w:hAnsi="Arial" w:cs="Arial"/>
                <w:shd w:val="clear" w:color="auto" w:fill="FFFFFF"/>
              </w:rPr>
              <w:t xml:space="preserve"> </w:t>
            </w:r>
            <w:r w:rsidRPr="00914851">
              <w:rPr>
                <w:rFonts w:ascii="Arial" w:hAnsi="Arial" w:cs="Arial"/>
                <w:shd w:val="clear" w:color="auto" w:fill="FFFFFF"/>
              </w:rPr>
              <w:t>treating investigator, has the potential to interfere with</w:t>
            </w:r>
            <w:r>
              <w:rPr>
                <w:rFonts w:ascii="Arial" w:hAnsi="Arial" w:cs="Arial"/>
                <w:shd w:val="clear" w:color="auto" w:fill="FFFFFF"/>
              </w:rPr>
              <w:t xml:space="preserve"> </w:t>
            </w:r>
            <w:r w:rsidRPr="00914851">
              <w:rPr>
                <w:rFonts w:ascii="Arial" w:hAnsi="Arial" w:cs="Arial"/>
                <w:shd w:val="clear" w:color="auto" w:fill="FFFFFF"/>
              </w:rPr>
              <w:t>the safety or efficacy assessment of the investigational regimen.</w:t>
            </w:r>
          </w:p>
        </w:tc>
      </w:tr>
    </w:tbl>
    <w:p w14:paraId="69CC0832" w14:textId="77777777" w:rsidR="005E0B04" w:rsidRPr="00B36133" w:rsidRDefault="005E0B04" w:rsidP="005E0B04">
      <w:pPr>
        <w:rPr>
          <w:rFonts w:ascii="Arial" w:hAnsi="Arial" w:cs="Arial"/>
        </w:rPr>
      </w:pPr>
    </w:p>
    <w:p w14:paraId="5363580E" w14:textId="77777777" w:rsidR="005E0B04" w:rsidRDefault="005E0B04" w:rsidP="005E0B04">
      <w:pPr>
        <w:rPr>
          <w:rFonts w:ascii="Arial" w:hAnsi="Arial" w:cs="Arial"/>
        </w:rPr>
      </w:pPr>
    </w:p>
    <w:p w14:paraId="2535EE86" w14:textId="77777777" w:rsidR="005E0B04" w:rsidRDefault="005E0B04" w:rsidP="005E0B04">
      <w:pPr>
        <w:rPr>
          <w:rFonts w:ascii="Arial" w:hAnsi="Arial" w:cs="Arial"/>
          <w:b/>
          <w:bCs/>
        </w:rPr>
      </w:pPr>
    </w:p>
    <w:p w14:paraId="210C5190" w14:textId="77777777" w:rsidR="005E0B04" w:rsidRDefault="005E0B04" w:rsidP="005E0B04">
      <w:pPr>
        <w:rPr>
          <w:rFonts w:ascii="Arial" w:hAnsi="Arial" w:cs="Arial"/>
          <w:b/>
          <w:bCs/>
        </w:rPr>
      </w:pPr>
    </w:p>
    <w:p w14:paraId="70A1D4B4" w14:textId="77777777" w:rsidR="005E0B04" w:rsidRDefault="005E0B04" w:rsidP="005E0B04">
      <w:pPr>
        <w:rPr>
          <w:rFonts w:ascii="Arial" w:hAnsi="Arial" w:cs="Arial"/>
          <w:b/>
          <w:bCs/>
        </w:rPr>
      </w:pPr>
    </w:p>
    <w:p w14:paraId="0B6A03F7" w14:textId="77777777" w:rsidR="005E0B04" w:rsidRDefault="005E0B04" w:rsidP="005E0B04">
      <w:pPr>
        <w:rPr>
          <w:rFonts w:ascii="Arial" w:hAnsi="Arial" w:cs="Arial"/>
          <w:b/>
          <w:bCs/>
        </w:rPr>
      </w:pPr>
    </w:p>
    <w:p w14:paraId="7D26D6E5" w14:textId="77777777" w:rsidR="005E0B04" w:rsidRDefault="005E0B04" w:rsidP="005E0B04">
      <w:pPr>
        <w:rPr>
          <w:rFonts w:ascii="Arial" w:hAnsi="Arial" w:cs="Arial"/>
          <w:b/>
          <w:bCs/>
        </w:rPr>
      </w:pPr>
    </w:p>
    <w:p w14:paraId="560F09EC" w14:textId="77777777" w:rsidR="005E0B04" w:rsidRDefault="005E0B04" w:rsidP="005E0B04">
      <w:pPr>
        <w:rPr>
          <w:rFonts w:ascii="Arial" w:hAnsi="Arial" w:cs="Arial"/>
          <w:b/>
          <w:bCs/>
        </w:rPr>
      </w:pPr>
    </w:p>
    <w:p w14:paraId="19FC90F5" w14:textId="77777777" w:rsidR="005E0B04" w:rsidRDefault="005E0B04" w:rsidP="005E0B04">
      <w:pPr>
        <w:rPr>
          <w:rFonts w:ascii="Arial" w:hAnsi="Arial" w:cs="Arial"/>
          <w:b/>
          <w:bCs/>
        </w:rPr>
      </w:pPr>
    </w:p>
    <w:p w14:paraId="0951C1E7" w14:textId="77777777" w:rsidR="005E0B04" w:rsidRDefault="005E0B04" w:rsidP="005E0B04">
      <w:pPr>
        <w:rPr>
          <w:rFonts w:ascii="Arial" w:hAnsi="Arial" w:cs="Arial"/>
          <w:b/>
          <w:bCs/>
        </w:rPr>
      </w:pPr>
    </w:p>
    <w:p w14:paraId="2088658E" w14:textId="77777777" w:rsidR="005E0B04" w:rsidRDefault="005E0B04" w:rsidP="005E0B04">
      <w:pPr>
        <w:rPr>
          <w:rFonts w:ascii="Arial" w:hAnsi="Arial" w:cs="Arial"/>
          <w:b/>
          <w:bCs/>
        </w:rPr>
      </w:pPr>
    </w:p>
    <w:p w14:paraId="2BACB9A0" w14:textId="77777777" w:rsidR="005E0B04" w:rsidRDefault="005E0B04" w:rsidP="005E0B04">
      <w:pPr>
        <w:rPr>
          <w:rFonts w:ascii="Arial" w:hAnsi="Arial" w:cs="Arial"/>
          <w:b/>
          <w:bCs/>
        </w:rPr>
      </w:pPr>
    </w:p>
    <w:p w14:paraId="1C59FC14" w14:textId="77777777" w:rsidR="005E0B04" w:rsidRDefault="005E0B04" w:rsidP="005E0B04">
      <w:pPr>
        <w:rPr>
          <w:rFonts w:ascii="Arial" w:hAnsi="Arial" w:cs="Arial"/>
          <w:b/>
          <w:bCs/>
        </w:rPr>
      </w:pPr>
    </w:p>
    <w:p w14:paraId="432853A6" w14:textId="77777777" w:rsidR="005E0B04" w:rsidRDefault="005E0B04" w:rsidP="005E0B04">
      <w:pPr>
        <w:rPr>
          <w:rFonts w:ascii="Arial" w:hAnsi="Arial" w:cs="Arial"/>
          <w:b/>
          <w:bCs/>
        </w:rPr>
      </w:pPr>
    </w:p>
    <w:p w14:paraId="7D1DCC9C" w14:textId="77777777" w:rsidR="005E0B04" w:rsidRDefault="005E0B04" w:rsidP="005E0B04">
      <w:pPr>
        <w:rPr>
          <w:rFonts w:ascii="Arial" w:hAnsi="Arial" w:cs="Arial"/>
          <w:b/>
          <w:bCs/>
        </w:rPr>
      </w:pPr>
    </w:p>
    <w:p w14:paraId="7B3F7D8C" w14:textId="77777777" w:rsidR="005E0B04" w:rsidRDefault="005E0B04" w:rsidP="005E0B04">
      <w:pPr>
        <w:rPr>
          <w:rFonts w:ascii="Arial" w:hAnsi="Arial" w:cs="Arial"/>
          <w:b/>
          <w:bCs/>
        </w:rPr>
      </w:pPr>
    </w:p>
    <w:p w14:paraId="4DC04DE2" w14:textId="77777777" w:rsidR="005E0B04" w:rsidRDefault="005E0B04" w:rsidP="005E0B04">
      <w:pPr>
        <w:rPr>
          <w:rFonts w:ascii="Arial" w:hAnsi="Arial" w:cs="Arial"/>
          <w:b/>
          <w:bCs/>
        </w:rPr>
      </w:pPr>
    </w:p>
    <w:p w14:paraId="6578B1D6" w14:textId="77777777" w:rsidR="005E0B04" w:rsidRDefault="005E0B04" w:rsidP="005E0B04">
      <w:pPr>
        <w:rPr>
          <w:rFonts w:ascii="Arial" w:hAnsi="Arial" w:cs="Arial"/>
          <w:b/>
          <w:bCs/>
        </w:rPr>
      </w:pPr>
    </w:p>
    <w:p w14:paraId="624B5DAB" w14:textId="77777777" w:rsidR="005E0B04" w:rsidRDefault="005E0B04" w:rsidP="005E0B04">
      <w:pPr>
        <w:rPr>
          <w:rFonts w:ascii="Arial" w:hAnsi="Arial" w:cs="Arial"/>
          <w:b/>
          <w:bCs/>
        </w:rPr>
      </w:pPr>
    </w:p>
    <w:p w14:paraId="00555DCA" w14:textId="77777777" w:rsidR="005E0B04" w:rsidRDefault="005E0B04" w:rsidP="005E0B04">
      <w:pPr>
        <w:rPr>
          <w:rFonts w:ascii="Arial" w:hAnsi="Arial" w:cs="Arial"/>
          <w:b/>
          <w:bCs/>
        </w:rPr>
      </w:pPr>
    </w:p>
    <w:p w14:paraId="65FBBABD" w14:textId="77777777" w:rsidR="005E0B04" w:rsidRDefault="005E0B04" w:rsidP="005E0B04">
      <w:pPr>
        <w:rPr>
          <w:rFonts w:ascii="Arial" w:hAnsi="Arial" w:cs="Arial"/>
          <w:b/>
          <w:bCs/>
        </w:rPr>
      </w:pPr>
    </w:p>
    <w:p w14:paraId="0537D2E3" w14:textId="77777777" w:rsidR="005E0B04" w:rsidRDefault="005E0B04" w:rsidP="005E0B04">
      <w:pPr>
        <w:rPr>
          <w:rFonts w:ascii="Arial" w:hAnsi="Arial" w:cs="Arial"/>
          <w:b/>
          <w:bCs/>
        </w:rPr>
      </w:pPr>
    </w:p>
    <w:p w14:paraId="49A1F162" w14:textId="77777777" w:rsidR="005E0B04" w:rsidRDefault="005E0B04" w:rsidP="005E0B04">
      <w:pPr>
        <w:rPr>
          <w:rFonts w:ascii="Arial" w:hAnsi="Arial" w:cs="Arial"/>
          <w:b/>
          <w:bCs/>
        </w:rPr>
      </w:pPr>
    </w:p>
    <w:p w14:paraId="64B608CD" w14:textId="77777777" w:rsidR="005E0B04" w:rsidRDefault="005E0B04" w:rsidP="005E0B04">
      <w:pPr>
        <w:rPr>
          <w:rFonts w:ascii="Arial" w:hAnsi="Arial" w:cs="Arial"/>
          <w:b/>
          <w:bCs/>
        </w:rPr>
      </w:pPr>
    </w:p>
    <w:p w14:paraId="367C9643" w14:textId="77777777" w:rsidR="005E0B04" w:rsidRDefault="005E0B04" w:rsidP="005E0B04">
      <w:pPr>
        <w:rPr>
          <w:rFonts w:ascii="Arial" w:hAnsi="Arial" w:cs="Arial"/>
          <w:b/>
          <w:bCs/>
        </w:rPr>
      </w:pPr>
    </w:p>
    <w:p w14:paraId="649D507E" w14:textId="77777777" w:rsidR="005E0B04" w:rsidRDefault="005E0B04" w:rsidP="005E0B04">
      <w:pPr>
        <w:rPr>
          <w:rFonts w:ascii="Arial" w:hAnsi="Arial" w:cs="Arial"/>
          <w:b/>
          <w:bCs/>
        </w:rPr>
      </w:pPr>
    </w:p>
    <w:p w14:paraId="0225EEE8" w14:textId="77777777" w:rsidR="005E0B04" w:rsidRDefault="005E0B04" w:rsidP="005E0B04">
      <w:pPr>
        <w:rPr>
          <w:rFonts w:ascii="Arial" w:hAnsi="Arial" w:cs="Arial"/>
          <w:b/>
          <w:bCs/>
        </w:rPr>
      </w:pPr>
    </w:p>
    <w:p w14:paraId="044AFACC" w14:textId="77777777" w:rsidR="005E0B04" w:rsidRDefault="005E0B04" w:rsidP="005E0B04">
      <w:pPr>
        <w:rPr>
          <w:rFonts w:ascii="Arial" w:hAnsi="Arial" w:cs="Arial"/>
          <w:b/>
          <w:bCs/>
        </w:rPr>
      </w:pPr>
      <w:r>
        <w:rPr>
          <w:rFonts w:ascii="Arial" w:hAnsi="Arial" w:cs="Arial"/>
          <w:b/>
          <w:bCs/>
        </w:rPr>
        <w:lastRenderedPageBreak/>
        <w:t>Supplemental Table 2. Description of Validated Questionnaires Collected During the Study Period.</w:t>
      </w:r>
    </w:p>
    <w:tbl>
      <w:tblPr>
        <w:tblStyle w:val="TableGrid"/>
        <w:tblW w:w="0" w:type="auto"/>
        <w:tblLook w:val="04A0" w:firstRow="1" w:lastRow="0" w:firstColumn="1" w:lastColumn="0" w:noHBand="0" w:noVBand="1"/>
      </w:tblPr>
      <w:tblGrid>
        <w:gridCol w:w="4675"/>
        <w:gridCol w:w="4675"/>
      </w:tblGrid>
      <w:tr w:rsidR="005E0B04" w14:paraId="459A0FF5" w14:textId="77777777" w:rsidTr="006307AD">
        <w:tc>
          <w:tcPr>
            <w:tcW w:w="4675" w:type="dxa"/>
          </w:tcPr>
          <w:p w14:paraId="4B8426A6" w14:textId="77777777" w:rsidR="005E0B04" w:rsidRDefault="005E0B04" w:rsidP="006307AD">
            <w:pPr>
              <w:rPr>
                <w:rFonts w:ascii="Arial" w:hAnsi="Arial" w:cs="Arial"/>
                <w:b/>
                <w:bCs/>
              </w:rPr>
            </w:pPr>
            <w:r>
              <w:rPr>
                <w:rFonts w:ascii="Arial" w:hAnsi="Arial" w:cs="Arial"/>
                <w:b/>
                <w:bCs/>
              </w:rPr>
              <w:t>Outcome</w:t>
            </w:r>
          </w:p>
        </w:tc>
        <w:tc>
          <w:tcPr>
            <w:tcW w:w="4675" w:type="dxa"/>
          </w:tcPr>
          <w:p w14:paraId="27CB842A" w14:textId="77777777" w:rsidR="005E0B04" w:rsidRDefault="005E0B04" w:rsidP="006307AD">
            <w:pPr>
              <w:rPr>
                <w:rFonts w:ascii="Arial" w:hAnsi="Arial" w:cs="Arial"/>
                <w:b/>
                <w:bCs/>
              </w:rPr>
            </w:pPr>
            <w:r>
              <w:rPr>
                <w:rFonts w:ascii="Arial" w:hAnsi="Arial" w:cs="Arial"/>
                <w:b/>
                <w:bCs/>
              </w:rPr>
              <w:t>Measure</w:t>
            </w:r>
          </w:p>
        </w:tc>
      </w:tr>
      <w:tr w:rsidR="005E0B04" w14:paraId="5F080859" w14:textId="77777777" w:rsidTr="006307AD">
        <w:tc>
          <w:tcPr>
            <w:tcW w:w="4675" w:type="dxa"/>
          </w:tcPr>
          <w:p w14:paraId="4262F588" w14:textId="77777777" w:rsidR="005E0B04" w:rsidRPr="00C60F37" w:rsidRDefault="005E0B04" w:rsidP="006307AD">
            <w:pPr>
              <w:rPr>
                <w:rFonts w:ascii="Arial" w:hAnsi="Arial" w:cs="Arial"/>
              </w:rPr>
            </w:pPr>
            <w:r w:rsidRPr="00C60F37">
              <w:rPr>
                <w:rFonts w:ascii="Arial" w:hAnsi="Arial" w:cs="Arial"/>
              </w:rPr>
              <w:t>Brief Pain Inventory-Short Form (BPI)</w:t>
            </w:r>
          </w:p>
        </w:tc>
        <w:tc>
          <w:tcPr>
            <w:tcW w:w="4675" w:type="dxa"/>
          </w:tcPr>
          <w:p w14:paraId="69723FD7" w14:textId="77777777" w:rsidR="005E0B04" w:rsidRPr="00C60F37" w:rsidRDefault="005E0B04" w:rsidP="006307AD">
            <w:pPr>
              <w:rPr>
                <w:rFonts w:ascii="Arial" w:hAnsi="Arial" w:cs="Arial"/>
              </w:rPr>
            </w:pPr>
            <w:r w:rsidRPr="00C60F37">
              <w:rPr>
                <w:rFonts w:ascii="Arial" w:hAnsi="Arial" w:cs="Arial"/>
              </w:rPr>
              <w:t>A validated 14-item pain assessment tool to assess pain and symptom burden.</w:t>
            </w:r>
            <w:r>
              <w:rPr>
                <w:rFonts w:ascii="Arial" w:hAnsi="Arial" w:cs="Arial"/>
              </w:rPr>
              <w:t xml:space="preserve"> It uses a numeric rating scale from 0-10 to rate pain from mild to severe.</w:t>
            </w:r>
            <w:r w:rsidRPr="00C60F37">
              <w:rPr>
                <w:rFonts w:ascii="Arial" w:hAnsi="Arial" w:cs="Arial"/>
              </w:rPr>
              <w:t xml:space="preserve"> This scale has been validated for use in patients with cancer pain (reference 25) and has been studied in patients with AIMSS</w:t>
            </w:r>
            <w:r>
              <w:rPr>
                <w:rFonts w:ascii="Arial" w:hAnsi="Arial" w:cs="Arial"/>
              </w:rPr>
              <w:fldChar w:fldCharType="begin">
                <w:fldData xml:space="preserve">PEVuZE5vdGU+PENpdGU+PEF1dGhvcj5KZW5zZW48L0F1dGhvcj48WWVhcj4yMDAzPC9ZZWFyPjxS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PEVuZE5vdGU+PENpdGU+PEF1dGhvcj5KZW5zZW48L0F1dGhvcj48WWVhcj4yMDAzPC9ZZWFyPjxS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34653D">
              <w:rPr>
                <w:rFonts w:ascii="Arial" w:hAnsi="Arial" w:cs="Arial"/>
                <w:noProof/>
                <w:vertAlign w:val="superscript"/>
              </w:rPr>
              <w:t>5,6,18</w:t>
            </w:r>
            <w:r>
              <w:rPr>
                <w:rFonts w:ascii="Arial" w:hAnsi="Arial" w:cs="Arial"/>
              </w:rPr>
              <w:fldChar w:fldCharType="end"/>
            </w:r>
            <w:r>
              <w:rPr>
                <w:rFonts w:ascii="Arial" w:hAnsi="Arial" w:cs="Arial"/>
              </w:rPr>
              <w:t>.</w:t>
            </w:r>
          </w:p>
        </w:tc>
      </w:tr>
      <w:tr w:rsidR="005E0B04" w14:paraId="7A5D38D7" w14:textId="77777777" w:rsidTr="006307AD">
        <w:tc>
          <w:tcPr>
            <w:tcW w:w="4675" w:type="dxa"/>
          </w:tcPr>
          <w:p w14:paraId="52353817" w14:textId="77777777" w:rsidR="005E0B04" w:rsidRPr="00C60F37" w:rsidRDefault="005E0B04" w:rsidP="006307AD">
            <w:pPr>
              <w:rPr>
                <w:rFonts w:ascii="Arial" w:hAnsi="Arial" w:cs="Arial"/>
              </w:rPr>
            </w:pPr>
            <w:r w:rsidRPr="00C60F37">
              <w:rPr>
                <w:rFonts w:ascii="Arial" w:hAnsi="Arial" w:cs="Arial"/>
              </w:rPr>
              <w:t>PROMIS Profile 29+2 v2.1</w:t>
            </w:r>
          </w:p>
        </w:tc>
        <w:tc>
          <w:tcPr>
            <w:tcW w:w="4675" w:type="dxa"/>
          </w:tcPr>
          <w:p w14:paraId="5EB5AA90" w14:textId="77777777" w:rsidR="005E0B04" w:rsidRPr="00C60F37" w:rsidRDefault="005E0B04" w:rsidP="006307AD">
            <w:pPr>
              <w:rPr>
                <w:rFonts w:ascii="Arial" w:hAnsi="Arial" w:cs="Arial"/>
              </w:rPr>
            </w:pPr>
            <w:r>
              <w:rPr>
                <w:rFonts w:ascii="Arial" w:hAnsi="Arial" w:cs="Arial"/>
              </w:rPr>
              <w:t>A validated 26-item questionnaire that assesses patient-reported symptoms over the past 7 days in 9 PROMIS domains (fatigue, sleep disturbance, physical function, depression, anxiety, ability to participate in social roles and activities, and cognitive function). Raw scores for each domain are calculated and converted to a T-score, with a mean of 50 and standard deviation of 10. Higher T scores represent more of the concept being measured</w:t>
            </w:r>
            <w:r>
              <w:rPr>
                <w:rFonts w:ascii="Arial" w:hAnsi="Arial" w:cs="Arial"/>
              </w:rPr>
              <w:fldChar w:fldCharType="begin">
                <w:fldData xml:space="preserve">PEVuZE5vdGU+PENpdGU+PEF1dGhvcj5DZWxsYTwvQXV0aG9yPjxZZWFyPjIwMTA8L1llYXI+PFJl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</w:fldData>
              </w:fldChar>
            </w:r>
            <w:r>
              <w:rPr>
                <w:rFonts w:ascii="Arial" w:hAnsi="Arial" w:cs="Arial"/>
              </w:rPr>
              <w:instrText xml:space="preserve"> ADDIN EN.CITE </w:instrText>
            </w:r>
            <w:r>
              <w:rPr>
                <w:rFonts w:ascii="Arial" w:hAnsi="Arial" w:cs="Arial"/>
              </w:rPr>
              <w:fldChar w:fldCharType="begin">
                <w:fldData xml:space="preserve">PEVuZE5vdGU+PENpdGU+PEF1dGhvcj5DZWxsYTwvQXV0aG9yPjxZZWFyPjIwMTA8L1llYXI+PFJl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34653D">
              <w:rPr>
                <w:rFonts w:ascii="Arial" w:hAnsi="Arial" w:cs="Arial"/>
                <w:noProof/>
                <w:vertAlign w:val="superscript"/>
              </w:rPr>
              <w:t>21</w:t>
            </w:r>
            <w:r>
              <w:rPr>
                <w:rFonts w:ascii="Arial" w:hAnsi="Arial" w:cs="Arial"/>
              </w:rPr>
              <w:fldChar w:fldCharType="end"/>
            </w:r>
            <w:r>
              <w:rPr>
                <w:rFonts w:ascii="Arial" w:hAnsi="Arial" w:cs="Arial"/>
              </w:rPr>
              <w:t xml:space="preserve">. </w:t>
            </w:r>
          </w:p>
        </w:tc>
      </w:tr>
      <w:tr w:rsidR="005E0B04" w14:paraId="0A5CBBA1" w14:textId="77777777" w:rsidTr="006307AD">
        <w:tc>
          <w:tcPr>
            <w:tcW w:w="4675" w:type="dxa"/>
          </w:tcPr>
          <w:p w14:paraId="655A8AD6" w14:textId="77777777" w:rsidR="005E0B04" w:rsidRPr="00C60F37" w:rsidRDefault="005E0B04" w:rsidP="006307AD">
            <w:pPr>
              <w:rPr>
                <w:rFonts w:ascii="Arial" w:hAnsi="Arial" w:cs="Arial"/>
              </w:rPr>
            </w:pPr>
            <w:r w:rsidRPr="00C60F37">
              <w:rPr>
                <w:rFonts w:ascii="Arial" w:hAnsi="Arial" w:cs="Arial"/>
              </w:rPr>
              <w:t>Global Ratings of Change (GRC) Scale</w:t>
            </w:r>
          </w:p>
        </w:tc>
        <w:tc>
          <w:tcPr>
            <w:tcW w:w="4675" w:type="dxa"/>
          </w:tcPr>
          <w:p w14:paraId="5D8D21F6" w14:textId="77777777" w:rsidR="005E0B04" w:rsidRPr="00C60F37" w:rsidRDefault="005E0B04" w:rsidP="006307AD">
            <w:pPr>
              <w:rPr>
                <w:rFonts w:ascii="Arial" w:hAnsi="Arial" w:cs="Arial"/>
              </w:rPr>
            </w:pPr>
            <w:r>
              <w:rPr>
                <w:rFonts w:ascii="Arial" w:hAnsi="Arial" w:cs="Arial"/>
              </w:rPr>
              <w:t>A single-item assessment tool that assesses how a condition has improved, worsened, or stayed the same compared to a previous point in time</w:t>
            </w:r>
            <w:r>
              <w:rPr>
                <w:rFonts w:ascii="Arial" w:hAnsi="Arial" w:cs="Arial"/>
              </w:rPr>
              <w:fldChar w:fldCharType="begin"/>
            </w:r>
            <w:r>
              <w:rPr>
                <w:rFonts w:ascii="Arial" w:hAnsi="Arial" w:cs="Arial"/>
              </w:rPr>
              <w:instrText xml:space="preserve"> ADDIN EN.CITE &lt;EndNote&gt;&lt;Cite&gt;&lt;Author&gt;Kamper&lt;/Author&gt;&lt;Year&gt;2009&lt;/Year&gt;&lt;RecNum&gt;3991&lt;/RecNum&gt;&lt;IDText&gt;Global rating of change scales: a review of strengths and weaknesses and considerations for design&lt;/IDText&gt;&lt;DisplayText&gt;&lt;style face="superscript"&gt;22&lt;/style&gt;&lt;/DisplayText&gt;&lt;record&gt;&lt;rec-number&gt;3991&lt;/rec-number&gt;&lt;foreign-keys&gt;&lt;key app="EN" db-id="aw9ww99z9dvvzweavxm5vavqrzvtrefzsxra" timestamp="1478824424"&gt;3991&lt;/key&gt;&lt;/foreign-keys&gt;&lt;ref-type name="Journal Article"&gt;17&lt;/ref-type&gt;&lt;contributors&gt;&lt;authors&gt;&lt;author&gt;Kamper, S. J.&lt;/author&gt;&lt;author&gt;Maher, C. G.&lt;/author&gt;&lt;author&gt;Mackay, G.&lt;/author&gt;&lt;/authors&gt;&lt;/contributors&gt;&lt;titles&gt;&lt;title&gt;Global rating of change scales: a review of strengths and weaknesses and considerations for design&lt;/title&gt;&lt;secondary-title&gt;J Man Manip Ther&lt;/secondary-title&gt;&lt;/titles&gt;&lt;periodical&gt;&lt;full-title&gt;J Man Manip Ther&lt;/full-title&gt;&lt;/periodical&gt;&lt;pages&gt;163-70&lt;/pages&gt;&lt;volume&gt;17&lt;/volume&gt;&lt;number&gt;3&lt;/number&gt;&lt;keywords&gt;&lt;keyword&gt;Clinimetrics&lt;/keyword&gt;&lt;keyword&gt;Global Rating of Change&lt;/keyword&gt;&lt;keyword&gt;Outcome Measure&lt;/keyword&gt;&lt;/keywords&gt;&lt;dates&gt;&lt;year&gt;2009&lt;/year&gt;&lt;/dates&gt;&lt;isbn&gt;2042-6186 (Electronic)&amp;#xD;1066-9817 (Linking)&lt;/isbn&gt;&lt;accession-num&gt;20046623&lt;/accession-num&gt;&lt;urls&gt;&lt;related-urls&gt;&lt;url&gt;https://www.ncbi.nlm.nih.gov/pubmed/20046623&lt;/url&gt;&lt;/related-urls&gt;&lt;/urls&gt;&lt;custom2&gt;PMC2762832&lt;/custom2&gt;&lt;electronic-resource-num&gt;10.1179/jmt.2009.17.3.163&lt;/electronic-resource-num&gt;&lt;/record&gt;&lt;/Cite&gt;&lt;/EndNote&gt;</w:instrText>
            </w:r>
            <w:r>
              <w:rPr>
                <w:rFonts w:ascii="Arial" w:hAnsi="Arial" w:cs="Arial"/>
              </w:rPr>
              <w:fldChar w:fldCharType="separate"/>
            </w:r>
            <w:r w:rsidRPr="0034653D">
              <w:rPr>
                <w:rFonts w:ascii="Arial" w:hAnsi="Arial" w:cs="Arial"/>
                <w:noProof/>
                <w:vertAlign w:val="superscript"/>
              </w:rPr>
              <w:t>22</w:t>
            </w:r>
            <w:r>
              <w:rPr>
                <w:rFonts w:ascii="Arial" w:hAnsi="Arial" w:cs="Arial"/>
              </w:rPr>
              <w:fldChar w:fldCharType="end"/>
            </w:r>
            <w:r>
              <w:rPr>
                <w:rFonts w:ascii="Arial" w:hAnsi="Arial" w:cs="Arial"/>
              </w:rPr>
              <w:t>. Change is rated on a 7-point Likert scale that ranges from -3 (“a very great deal worse”) to +3 (“a very great deal better”).</w:t>
            </w:r>
          </w:p>
        </w:tc>
      </w:tr>
      <w:tr w:rsidR="005E0B04" w14:paraId="40F82CB6" w14:textId="77777777" w:rsidTr="006307AD">
        <w:tc>
          <w:tcPr>
            <w:tcW w:w="4675" w:type="dxa"/>
          </w:tcPr>
          <w:p w14:paraId="2296BA20" w14:textId="77777777" w:rsidR="005E0B04" w:rsidRPr="00C60F37" w:rsidRDefault="005E0B04" w:rsidP="006307AD">
            <w:pPr>
              <w:rPr>
                <w:rFonts w:ascii="Arial" w:hAnsi="Arial" w:cs="Arial"/>
              </w:rPr>
            </w:pPr>
            <w:r w:rsidRPr="00C60F37">
              <w:rPr>
                <w:rFonts w:ascii="Arial" w:hAnsi="Arial" w:cs="Arial"/>
              </w:rPr>
              <w:t>2011 Fibromyalgia Survey</w:t>
            </w:r>
          </w:p>
        </w:tc>
        <w:tc>
          <w:tcPr>
            <w:tcW w:w="4675" w:type="dxa"/>
          </w:tcPr>
          <w:p w14:paraId="0B6F1EAB" w14:textId="77777777" w:rsidR="005E0B04" w:rsidRPr="00C60F37" w:rsidRDefault="005E0B04" w:rsidP="006307AD">
            <w:pPr>
              <w:rPr>
                <w:rFonts w:ascii="Arial" w:hAnsi="Arial" w:cs="Arial"/>
              </w:rPr>
            </w:pPr>
            <w:r>
              <w:rPr>
                <w:rFonts w:ascii="Arial" w:hAnsi="Arial" w:cs="Arial"/>
              </w:rPr>
              <w:t>A combined measure of widespread pain (body map of painful sites) and symptom severity (i.e. fatigue, cognitive problems, headache, poor mood), as a self-reported proxy of centralized pain</w:t>
            </w:r>
            <w:r>
              <w:rPr>
                <w:rFonts w:ascii="Arial" w:hAnsi="Arial" w:cs="Arial"/>
              </w:rPr>
              <w:fldChar w:fldCharType="begin"/>
            </w:r>
            <w:r>
              <w:rPr>
                <w:rFonts w:ascii="Arial" w:hAnsi="Arial" w:cs="Arial"/>
              </w:rPr>
              <w:instrText xml:space="preserve"> ADDIN EN.CITE &lt;EndNote&gt;&lt;Cite&gt;&lt;Author&gt;Wolfe&lt;/Author&gt;&lt;Year&gt;2011&lt;/Year&gt;&lt;RecNum&gt;2674&lt;/RecNum&gt;&lt;IDText&gt;Fibromyalgia criteria and severity scales for clinical and epidemiological studies: a modification of the ACR Preliminary Diagnostic Criteria for Fibromyalgia&lt;/IDText&gt;&lt;DisplayText&gt;&lt;style face="superscript"&gt;24&lt;/style&gt;&lt;/DisplayText&gt;&lt;record&gt;&lt;rec-number&gt;2674&lt;/rec-number&gt;&lt;foreign-keys&gt;&lt;key app="EN" db-id="aw9ww99z9dvvzweavxm5vavqrzvtrefzsxra" timestamp="0"&gt;2674&lt;/key&gt;&lt;/foreign-keys&gt;&lt;ref-type name="Journal Article"&gt;17&lt;/ref-type&gt;&lt;contributors&gt;&lt;authors&gt;&lt;author&gt;Wolfe, F.&lt;/author&gt;&lt;author&gt;Clauw, D. J.&lt;/author&gt;&lt;author&gt;Fitzcharles, M. A.&lt;/author&gt;&lt;author&gt;Goldenberg, D. L.&lt;/author&gt;&lt;author&gt;Hauser, W.&lt;/author&gt;&lt;author&gt;Katz, R. S.&lt;/author&gt;&lt;author&gt;Mease, P.&lt;/author&gt;&lt;author&gt;Russell, A. S.&lt;/author&gt;&lt;author&gt;Russell, I. J.&lt;/author&gt;&lt;author&gt;Winfield, J. B.&lt;/author&gt;&lt;/authors&gt;&lt;/contributors&gt;&lt;auth-address&gt;National Data Bank for Rheumatic Diseases, 1035 N. Emporia, Suite 288, Wichita, KS 67214, USA. fwolfe@arthritis-research.org&lt;/auth-address&gt;&lt;titles&gt;&lt;title&gt;Fibromyalgia criteria and severity scales for clinical and epidemiological studies: a modification of the ACR Preliminary Diagnostic Criteria for Fibromyalgia&lt;/title&gt;&lt;secondary-title&gt;J Rheumatol&lt;/secondary-title&gt;&lt;/titles&gt;&lt;periodical&gt;&lt;full-title&gt;J Rheumatol&lt;/full-title&gt;&lt;/periodical&gt;&lt;pages&gt;1113-22&lt;/pages&gt;&lt;volume&gt;38&lt;/volume&gt;&lt;number&gt;6&lt;/number&gt;&lt;edition&gt;2011/02/03&lt;/edition&gt;&lt;dates&gt;&lt;year&gt;2011&lt;/year&gt;&lt;pub-dates&gt;&lt;date&gt;Jun&lt;/date&gt;&lt;/pub-dates&gt;&lt;/dates&gt;&lt;isbn&gt;0315-162X (Print)&amp;#xD;0315-162X (Linking)&lt;/isbn&gt;&lt;accession-num&gt;21285161&lt;/accession-num&gt;&lt;urls&gt;&lt;related-urls&gt;&lt;url&gt;http://www.ncbi.nlm.nih.gov/pubmed/21285161&lt;/url&gt;&lt;/related-urls&gt;&lt;/urls&gt;&lt;electronic-resource-num&gt;jrheum.100594 [pii]&amp;#xD;10.3899/jrheum.100594&lt;/electronic-resource-num&gt;&lt;language&gt;eng&lt;/language&gt;&lt;/record&gt;&lt;/Cite&gt;&lt;/EndNote&gt;</w:instrText>
            </w:r>
            <w:r>
              <w:rPr>
                <w:rFonts w:ascii="Arial" w:hAnsi="Arial" w:cs="Arial"/>
              </w:rPr>
              <w:fldChar w:fldCharType="separate"/>
            </w:r>
            <w:r w:rsidRPr="0034653D">
              <w:rPr>
                <w:rFonts w:ascii="Arial" w:hAnsi="Arial" w:cs="Arial"/>
                <w:noProof/>
                <w:vertAlign w:val="superscript"/>
              </w:rPr>
              <w:t>24</w:t>
            </w:r>
            <w:r>
              <w:rPr>
                <w:rFonts w:ascii="Arial" w:hAnsi="Arial" w:cs="Arial"/>
              </w:rPr>
              <w:fldChar w:fldCharType="end"/>
            </w:r>
            <w:r>
              <w:rPr>
                <w:rFonts w:ascii="Arial" w:hAnsi="Arial" w:cs="Arial"/>
              </w:rPr>
              <w:t>. A diagnosis of fibromyalgia is made when symptoms have been present for at least 3 months and when widespread pain index (WPI) is at least 7 and symptom severity score (SS) is at least 5 or when WPI is between 3-6 and SS is at least 9.</w:t>
            </w:r>
          </w:p>
        </w:tc>
      </w:tr>
      <w:tr w:rsidR="005E0B04" w14:paraId="75DB00B6" w14:textId="77777777" w:rsidTr="006307AD">
        <w:tc>
          <w:tcPr>
            <w:tcW w:w="4675" w:type="dxa"/>
          </w:tcPr>
          <w:p w14:paraId="0BD80A80" w14:textId="77777777" w:rsidR="005E0B04" w:rsidRPr="00C60F37" w:rsidRDefault="005E0B04" w:rsidP="006307AD">
            <w:pPr>
              <w:rPr>
                <w:rFonts w:ascii="Arial" w:hAnsi="Arial" w:cs="Arial"/>
              </w:rPr>
            </w:pPr>
            <w:r w:rsidRPr="00C60F37">
              <w:rPr>
                <w:rFonts w:ascii="Arial" w:hAnsi="Arial" w:cs="Arial"/>
              </w:rPr>
              <w:t>Coping Strategies Questionnaire</w:t>
            </w:r>
            <w:r>
              <w:rPr>
                <w:rFonts w:ascii="Arial" w:hAnsi="Arial" w:cs="Arial"/>
              </w:rPr>
              <w:t xml:space="preserve"> Catastrophizing Scale</w:t>
            </w:r>
          </w:p>
        </w:tc>
        <w:tc>
          <w:tcPr>
            <w:tcW w:w="4675" w:type="dxa"/>
          </w:tcPr>
          <w:p w14:paraId="7A1795CE" w14:textId="77777777" w:rsidR="005E0B04" w:rsidRPr="00C60F37" w:rsidRDefault="005E0B04" w:rsidP="006307AD">
            <w:pPr>
              <w:rPr>
                <w:rFonts w:ascii="Arial" w:hAnsi="Arial" w:cs="Arial"/>
              </w:rPr>
            </w:pPr>
            <w:r>
              <w:rPr>
                <w:rFonts w:ascii="Arial" w:hAnsi="Arial" w:cs="Arial"/>
              </w:rPr>
              <w:t>A validated 6-item subscale that assesses pain catastrophizing, a thinking style that has been associated with the progression of acute pain to chronic states, and with poorer outcomes generally</w:t>
            </w:r>
            <w:r>
              <w:rPr>
                <w:rFonts w:ascii="Arial" w:hAnsi="Arial" w:cs="Arial"/>
              </w:rPr>
              <w:fldChar w:fldCharType="begin"/>
            </w:r>
            <w:r>
              <w:rPr>
                <w:rFonts w:ascii="Arial" w:hAnsi="Arial" w:cs="Arial"/>
              </w:rPr>
              <w:instrText xml:space="preserve"> ADDIN EN.CITE &lt;EndNote&gt;&lt;Cite&gt;&lt;Author&gt;Rosenstiel&lt;/Author&gt;&lt;Year&gt;1983&lt;/Year&gt;&lt;RecNum&gt;1440&lt;/RecNum&gt;&lt;IDText&gt;The use of coping strategies in chronic low back pain patients: relationship to patient characteristics and current adjustment&lt;/IDText&gt;&lt;DisplayText&gt;&lt;style face="superscript"&gt;25&lt;/style&gt;&lt;/DisplayText&gt;&lt;record&gt;&lt;rec-number&gt;1440&lt;/rec-number&gt;&lt;foreign-keys&gt;&lt;key app="EN" db-id="aw9ww99z9dvvzweavxm5vavqrzvtrefzsxra" timestamp="0"&gt;1440&lt;/key&gt;&lt;/foreign-keys&gt;&lt;ref-type name="Journal Article"&gt;17&lt;/ref-type&gt;&lt;contributors&gt;&lt;authors&gt;&lt;author&gt;Rosenstiel, A. K.&lt;/author&gt;&lt;author&gt;Keefe, F. J.&lt;/author&gt;&lt;/authors&gt;&lt;/contributors&gt;&lt;titles&gt;&lt;title&gt;The use of coping strategies in chronic low back pain patients: relationship to patient characteristics and current adjustment&lt;/title&gt;&lt;secondary-title&gt;Pain&lt;/secondary-title&gt;&lt;alt-title&gt;Pain&lt;/alt-title&gt;&lt;/titles&gt;&lt;periodical&gt;&lt;full-title&gt;Pain&lt;/full-title&gt;&lt;/periodical&gt;&lt;alt-periodical&gt;&lt;full-title&gt;Pain&lt;/full-title&gt;&lt;/alt-periodical&gt;&lt;pages&gt;33-44&lt;/pages&gt;&lt;volume&gt;17&lt;/volume&gt;&lt;number&gt;1&lt;/number&gt;&lt;keywords&gt;&lt;keyword&gt;*Adaptation, Psychological&lt;/keyword&gt;&lt;keyword&gt;Adult&lt;/keyword&gt;&lt;keyword&gt;Back Pain/*psychology&lt;/keyword&gt;&lt;keyword&gt;Female&lt;/keyword&gt;&lt;keyword&gt;Humans&lt;/keyword&gt;&lt;keyword&gt;Male&lt;/keyword&gt;&lt;keyword&gt;Motor Activity&lt;/keyword&gt;&lt;keyword&gt;Sick Role&lt;/keyword&gt;&lt;keyword&gt;*Social Adjustment&lt;/keyword&gt;&lt;/keywords&gt;&lt;dates&gt;&lt;year&gt;1983&lt;/year&gt;&lt;pub-dates&gt;&lt;date&gt;Sep&lt;/date&gt;&lt;/pub-dates&gt;&lt;/dates&gt;&lt;isbn&gt;0304-3959 (Print)&lt;/isbn&gt;&lt;accession-num&gt;6226916&lt;/accession-num&gt;&lt;urls&gt;&lt;related-urls&gt;&lt;url&gt;http://www.ncbi.nlm.nih.gov/entrez/query.fcgi?cmd=Retrieve&amp;amp;db=PubMed&amp;amp;dopt=Citation&amp;amp;list_uids=6226916 &lt;/url&gt;&lt;/related-urls&gt;&lt;/urls&gt;&lt;language&gt;eng&lt;/language&gt;&lt;/record&gt;&lt;/Cite&gt;&lt;/EndNote&gt;</w:instrText>
            </w:r>
            <w:r>
              <w:rPr>
                <w:rFonts w:ascii="Arial" w:hAnsi="Arial" w:cs="Arial"/>
              </w:rPr>
              <w:fldChar w:fldCharType="separate"/>
            </w:r>
            <w:r w:rsidRPr="0034653D">
              <w:rPr>
                <w:rFonts w:ascii="Arial" w:hAnsi="Arial" w:cs="Arial"/>
                <w:noProof/>
                <w:vertAlign w:val="superscript"/>
              </w:rPr>
              <w:t>25</w:t>
            </w:r>
            <w:r>
              <w:rPr>
                <w:rFonts w:ascii="Arial" w:hAnsi="Arial" w:cs="Arial"/>
              </w:rPr>
              <w:fldChar w:fldCharType="end"/>
            </w:r>
            <w:r>
              <w:rPr>
                <w:rFonts w:ascii="Arial" w:hAnsi="Arial" w:cs="Arial"/>
              </w:rPr>
              <w:t>. Each item is scored from 0 (“never do that”) to 6 (“always do that”)</w:t>
            </w:r>
          </w:p>
        </w:tc>
      </w:tr>
      <w:tr w:rsidR="005E0B04" w14:paraId="596BBD91" w14:textId="77777777" w:rsidTr="006307AD">
        <w:tc>
          <w:tcPr>
            <w:tcW w:w="4675" w:type="dxa"/>
          </w:tcPr>
          <w:p w14:paraId="6DB73023" w14:textId="77777777" w:rsidR="005E0B04" w:rsidRPr="00C60F37" w:rsidRDefault="005E0B04" w:rsidP="006307AD">
            <w:pPr>
              <w:rPr>
                <w:rFonts w:ascii="Arial" w:hAnsi="Arial" w:cs="Arial"/>
              </w:rPr>
            </w:pPr>
            <w:r w:rsidRPr="00C60F37">
              <w:rPr>
                <w:rFonts w:ascii="Arial" w:hAnsi="Arial" w:cs="Arial"/>
              </w:rPr>
              <w:t>Positive and Negative Affect Scale (PANAS)</w:t>
            </w:r>
          </w:p>
        </w:tc>
        <w:tc>
          <w:tcPr>
            <w:tcW w:w="4675" w:type="dxa"/>
          </w:tcPr>
          <w:p w14:paraId="27BEAFD1" w14:textId="77777777" w:rsidR="005E0B04" w:rsidRPr="00C60F37" w:rsidRDefault="005E0B04" w:rsidP="006307AD">
            <w:pPr>
              <w:rPr>
                <w:rFonts w:ascii="Arial" w:hAnsi="Arial" w:cs="Arial"/>
              </w:rPr>
            </w:pPr>
            <w:r>
              <w:rPr>
                <w:rFonts w:ascii="Arial" w:hAnsi="Arial" w:cs="Arial"/>
              </w:rPr>
              <w:t>A validated 20-item instrument that measures positive and negative affect</w:t>
            </w:r>
            <w:r>
              <w:rPr>
                <w:rFonts w:ascii="Arial" w:hAnsi="Arial" w:cs="Arial"/>
              </w:rPr>
              <w:fldChar w:fldCharType="begin"/>
            </w:r>
            <w:r>
              <w:rPr>
                <w:rFonts w:ascii="Arial" w:hAnsi="Arial" w:cs="Arial"/>
              </w:rPr>
              <w:instrText xml:space="preserve"> ADDIN EN.CITE &lt;EndNote&gt;&lt;Cite&gt;&lt;Author&gt;Watson&lt;/Author&gt;&lt;Year&gt;1988&lt;/Year&gt;&lt;RecNum&gt;2676&lt;/RecNum&gt;&lt;IDText&gt;Development and validation of brief measures of positive and negative affect: the PANAS scales&lt;/IDText&gt;&lt;DisplayText&gt;&lt;style face="superscript"&gt;26&lt;/style&gt;&lt;/DisplayText&gt;&lt;record&gt;&lt;rec-number&gt;2676&lt;/rec-number&gt;&lt;foreign-keys&gt;&lt;key app="EN" db-id="aw9ww99z9dvvzweavxm5vavqrzvtrefzsxra" timestamp="0"&gt;2676&lt;/key&gt;&lt;/foreign-keys&gt;&lt;ref-type name="Journal Article"&gt;17&lt;/ref-type&gt;&lt;contributors&gt;&lt;authors&gt;&lt;author&gt;Watson, D.&lt;/author&gt;&lt;author&gt;Clark, L. A.&lt;/author&gt;&lt;author&gt;Tellegen, A.&lt;/author&gt;&lt;/authors&gt;&lt;/contributors&gt;&lt;auth-address&gt;Department of Psychology, Southern Methodist University, Dallas, Texas 75275.&lt;/auth-address&gt;&lt;titles&gt;&lt;title&gt;Development and validation of brief measures of positive and negative affect: the PANAS scales&lt;/title&gt;&lt;secondary-title&gt;J Pers Soc Psychol&lt;/secondary-title&gt;&lt;/titles&gt;&lt;periodical&gt;&lt;full-title&gt;J Pers Soc Psychol&lt;/full-title&gt;&lt;/periodical&gt;&lt;pages&gt;1063-70&lt;/pages&gt;&lt;volume&gt;54&lt;/volume&gt;&lt;number&gt;6&lt;/number&gt;&lt;edition&gt;1988/06/01&lt;/edition&gt;&lt;keywords&gt;&lt;keyword&gt;Arousal&lt;/keyword&gt;&lt;keyword&gt;Humans&lt;/keyword&gt;&lt;keyword&gt;Mood Disorders/*psychology&lt;/keyword&gt;&lt;keyword&gt;*Psychological Tests&lt;/keyword&gt;&lt;keyword&gt;Psychometrics&lt;/keyword&gt;&lt;/keywords&gt;&lt;dates&gt;&lt;year&gt;1988&lt;/year&gt;&lt;pub-dates&gt;&lt;date&gt;Jun&lt;/date&gt;&lt;/pub-dates&gt;&lt;/dates&gt;&lt;isbn&gt;0022-3514 (Print)&amp;#xD;0022-3514 (Linking)&lt;/isbn&gt;&lt;accession-num&gt;3397865&lt;/accession-num&gt;&lt;urls&gt;&lt;related-urls&gt;&lt;url&gt;http://www.ncbi.nlm.nih.gov/pubmed/3397865&lt;/url&gt;&lt;/related-urls&gt;&lt;/urls&gt;&lt;language&gt;eng&lt;/language&gt;&lt;/record&gt;&lt;/Cite&gt;&lt;/EndNote&gt;</w:instrText>
            </w:r>
            <w:r>
              <w:rPr>
                <w:rFonts w:ascii="Arial" w:hAnsi="Arial" w:cs="Arial"/>
              </w:rPr>
              <w:fldChar w:fldCharType="separate"/>
            </w:r>
            <w:r w:rsidRPr="0034653D">
              <w:rPr>
                <w:rFonts w:ascii="Arial" w:hAnsi="Arial" w:cs="Arial"/>
                <w:noProof/>
                <w:vertAlign w:val="superscript"/>
              </w:rPr>
              <w:t>26</w:t>
            </w:r>
            <w:r>
              <w:rPr>
                <w:rFonts w:ascii="Arial" w:hAnsi="Arial" w:cs="Arial"/>
              </w:rPr>
              <w:fldChar w:fldCharType="end"/>
            </w:r>
            <w:r>
              <w:rPr>
                <w:rFonts w:ascii="Arial" w:hAnsi="Arial" w:cs="Arial"/>
              </w:rPr>
              <w:t xml:space="preserve">. It can be </w:t>
            </w:r>
            <w:r>
              <w:rPr>
                <w:rFonts w:ascii="Arial" w:hAnsi="Arial" w:cs="Arial"/>
              </w:rPr>
              <w:lastRenderedPageBreak/>
              <w:t>scored to include a metric of affect balance (i.e. greater negativity over positivity)</w:t>
            </w:r>
            <w:r>
              <w:rPr>
                <w:rFonts w:ascii="Arial" w:hAnsi="Arial" w:cs="Arial"/>
              </w:rPr>
              <w:fldChar w:fldCharType="begin"/>
            </w:r>
            <w:r>
              <w:rPr>
                <w:rFonts w:ascii="Arial" w:hAnsi="Arial" w:cs="Arial"/>
              </w:rPr>
              <w:instrText xml:space="preserve"> ADDIN EN.CITE &lt;EndNote&gt;&lt;Cite&gt;&lt;Author&gt;Hassett&lt;/Author&gt;&lt;Year&gt;2008&lt;/Year&gt;&lt;RecNum&gt;2827&lt;/RecNum&gt;&lt;IDText&gt;The relationship between affect balance style and clinical outcomes in fibromyalgia&lt;/IDText&gt;&lt;DisplayText&gt;&lt;style face="superscript"&gt;60&lt;/style&gt;&lt;/DisplayText&gt;&lt;record&gt;&lt;rec-number&gt;2827&lt;/rec-number&gt;&lt;foreign-keys&gt;&lt;key app="EN" db-id="aw9ww99z9dvvzweavxm5vavqrzvtrefzsxra" timestamp="0"&gt;2827&lt;/key&gt;&lt;/foreign-keys&gt;&lt;ref-type name="Journal Article"&gt;17&lt;/ref-type&gt;&lt;contributors&gt;&lt;authors&gt;&lt;author&gt;Hassett, A. L.&lt;/author&gt;&lt;author&gt;Simonelli, L. E.&lt;/author&gt;&lt;author&gt;Radvanski, D. C.&lt;/author&gt;&lt;author&gt;Buyske, S.&lt;/author&gt;&lt;author&gt;Savage, S. V.&lt;/author&gt;&lt;author&gt;Sigal, L. H.&lt;/author&gt;&lt;/authors&gt;&lt;/contributors&gt;&lt;auth-address&gt;Robert Wood Johnson Medical School, University of Medicine and Dentistry of New Jersey, Division of Rheumatology and Connective Tissue Research, New Brunswick, NJ 80903-0019, USA. a.hassett@umdnj.edu&lt;/auth-address&gt;&lt;titles&gt;&lt;title&gt;The relationship between affect balance style and clinical outcomes in fibromyalgia&lt;/title&gt;&lt;secondary-title&gt;Arthritis Rheum&lt;/secondary-title&gt;&lt;/titles&gt;&lt;periodical&gt;&lt;full-title&gt;Arthritis Rheum&lt;/full-title&gt;&lt;/periodical&gt;&lt;pages&gt;833-40&lt;/pages&gt;&lt;volume&gt;59&lt;/volume&gt;&lt;number&gt;6&lt;/number&gt;&lt;edition&gt;2008/06/03&lt;/edition&gt;&lt;keywords&gt;&lt;keyword&gt;Adolescent&lt;/keyword&gt;&lt;keyword&gt;Adult&lt;/keyword&gt;&lt;keyword&gt;*Affect&lt;/keyword&gt;&lt;keyword&gt;Aged&lt;/keyword&gt;&lt;keyword&gt;Depression/complications&lt;/keyword&gt;&lt;keyword&gt;Female&lt;/keyword&gt;&lt;keyword&gt;Fibromyalgia/complications/physiopathology/*psychology&lt;/keyword&gt;&lt;keyword&gt;Humans&lt;/keyword&gt;&lt;keyword&gt;Interview, Psychological&lt;/keyword&gt;&lt;keyword&gt;Male&lt;/keyword&gt;&lt;keyword&gt;Middle Aged&lt;/keyword&gt;&lt;/keywords&gt;&lt;dates&gt;&lt;year&gt;2008&lt;/year&gt;&lt;pub-dates&gt;&lt;date&gt;Jun 15&lt;/date&gt;&lt;/pub-dates&gt;&lt;/dates&gt;&lt;isbn&gt;0004-3591 (Print)&amp;#xD;0004-3591 (Linking)&lt;/isbn&gt;&lt;accession-num&gt;18512724&lt;/accession-num&gt;&lt;urls&gt;&lt;related-urls&gt;&lt;url&gt;http://www.ncbi.nlm.nih.gov/pubmed/18512724&lt;/url&gt;&lt;/related-urls&gt;&lt;/urls&gt;&lt;electronic-resource-num&gt;10.1002/art.23708&lt;/electronic-resource-num&gt;&lt;language&gt;eng&lt;/language&gt;&lt;/record&gt;&lt;/Cite&gt;&lt;/EndNote&gt;</w:instrText>
            </w:r>
            <w:r>
              <w:rPr>
                <w:rFonts w:ascii="Arial" w:hAnsi="Arial" w:cs="Arial"/>
              </w:rPr>
              <w:fldChar w:fldCharType="separate"/>
            </w:r>
            <w:r w:rsidRPr="0034653D">
              <w:rPr>
                <w:rFonts w:ascii="Arial" w:hAnsi="Arial" w:cs="Arial"/>
                <w:noProof/>
                <w:vertAlign w:val="superscript"/>
              </w:rPr>
              <w:t>60</w:t>
            </w:r>
            <w:r>
              <w:rPr>
                <w:rFonts w:ascii="Arial" w:hAnsi="Arial" w:cs="Arial"/>
              </w:rPr>
              <w:fldChar w:fldCharType="end"/>
            </w:r>
            <w:r>
              <w:rPr>
                <w:rFonts w:ascii="Arial" w:hAnsi="Arial" w:cs="Arial"/>
              </w:rPr>
              <w:t>. Each question is rated on a 5-point Likert scale, where 1 means “very slightly or not at all” and 5 means “extremely.” Scores for both positive and negative affect questions can range from 10 to 50. The higher the score on the positive affect questions, the higher levels of positive affect. Lower scores on the negative affect questions indicated lower levels of negative affect.</w:t>
            </w:r>
          </w:p>
        </w:tc>
      </w:tr>
      <w:tr w:rsidR="005E0B04" w14:paraId="7918122E" w14:textId="77777777" w:rsidTr="006307AD">
        <w:tc>
          <w:tcPr>
            <w:tcW w:w="4675" w:type="dxa"/>
          </w:tcPr>
          <w:p w14:paraId="155438F2" w14:textId="77777777" w:rsidR="005E0B04" w:rsidRPr="00C60F37" w:rsidRDefault="005E0B04" w:rsidP="006307AD">
            <w:pPr>
              <w:rPr>
                <w:rFonts w:ascii="Arial" w:hAnsi="Arial" w:cs="Arial"/>
              </w:rPr>
            </w:pPr>
            <w:r w:rsidRPr="00C60F37">
              <w:rPr>
                <w:rFonts w:ascii="Arial" w:hAnsi="Arial" w:cs="Arial"/>
              </w:rPr>
              <w:lastRenderedPageBreak/>
              <w:t>Mao Expectancy of Treatment Effects (METE)</w:t>
            </w:r>
          </w:p>
        </w:tc>
        <w:tc>
          <w:tcPr>
            <w:tcW w:w="4675" w:type="dxa"/>
          </w:tcPr>
          <w:p w14:paraId="5B196A83" w14:textId="77777777" w:rsidR="005E0B04" w:rsidRPr="00C60F37" w:rsidRDefault="005E0B04" w:rsidP="006307AD">
            <w:pPr>
              <w:rPr>
                <w:rFonts w:ascii="Arial" w:hAnsi="Arial" w:cs="Arial"/>
              </w:rPr>
            </w:pPr>
            <w:r>
              <w:rPr>
                <w:rFonts w:ascii="Arial" w:hAnsi="Arial" w:cs="Arial"/>
              </w:rPr>
              <w:t>A validated 4-item self-report questionnaire rated on a scale of 1-5 (from total disagreement to total agreement), assessing a patient’s expectation that CBD will relieve AIMSS symptoms</w:t>
            </w:r>
            <w:r>
              <w:rPr>
                <w:rFonts w:ascii="Arial" w:hAnsi="Arial" w:cs="Arial"/>
              </w:rPr>
              <w:fldChar w:fldCharType="begin">
                <w:fldData xml:space="preserve">PEVuZE5vdGU+PENpdGU+PEF1dGhvcj5LZWVmZTwvQXV0aG9yPjxZZWFyPjIwMTc8L1llYXI+PFJl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</w:fldData>
              </w:fldChar>
            </w:r>
            <w:r>
              <w:rPr>
                <w:rFonts w:ascii="Arial" w:hAnsi="Arial" w:cs="Arial"/>
              </w:rPr>
              <w:instrText xml:space="preserve"> ADDIN EN.CITE </w:instrText>
            </w:r>
            <w:r>
              <w:rPr>
                <w:rFonts w:ascii="Arial" w:hAnsi="Arial" w:cs="Arial"/>
              </w:rPr>
              <w:fldChar w:fldCharType="begin">
                <w:fldData xml:space="preserve">PEVuZE5vdGU+PENpdGU+PEF1dGhvcj5LZWVmZTwvQXV0aG9yPjxZZWFyPjIwMTc8L1llYXI+PFJl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34653D">
              <w:rPr>
                <w:rFonts w:ascii="Arial" w:hAnsi="Arial" w:cs="Arial"/>
                <w:noProof/>
                <w:vertAlign w:val="superscript"/>
              </w:rPr>
              <w:t>43</w:t>
            </w:r>
            <w:r>
              <w:rPr>
                <w:rFonts w:ascii="Arial" w:hAnsi="Arial" w:cs="Arial"/>
              </w:rPr>
              <w:fldChar w:fldCharType="end"/>
            </w:r>
            <w:r>
              <w:rPr>
                <w:rFonts w:ascii="Arial" w:hAnsi="Arial" w:cs="Arial"/>
              </w:rPr>
              <w:t>. Total score can range from 4-20, with a higher score indicating greater expectation that CBD will improve joint pain. This has good internal consistency in a prior study of acupuncture in patients with cancer</w:t>
            </w:r>
            <w:r>
              <w:rPr>
                <w:rFonts w:ascii="Arial" w:hAnsi="Arial" w:cs="Arial"/>
              </w:rPr>
              <w:fldChar w:fldCharType="begin">
                <w:fldData xml:space="preserve">PEVuZE5vdGU+PENpdGU+PEF1dGhvcj5NYW88L0F1dGhvcj48WWVhcj4yMDEwPC9ZZWFyPjxSZWNO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PEVuZE5vdGU+PENpdGU+PEF1dGhvcj5NYW88L0F1dGhvcj48WWVhcj4yMDEwPC9ZZWFyPjxSZWNO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34653D">
              <w:rPr>
                <w:rFonts w:ascii="Arial" w:hAnsi="Arial" w:cs="Arial"/>
                <w:noProof/>
                <w:vertAlign w:val="superscript"/>
              </w:rPr>
              <w:t>23</w:t>
            </w:r>
            <w:r>
              <w:rPr>
                <w:rFonts w:ascii="Arial" w:hAnsi="Arial" w:cs="Arial"/>
              </w:rPr>
              <w:fldChar w:fldCharType="end"/>
            </w:r>
            <w:r>
              <w:rPr>
                <w:rFonts w:ascii="Arial" w:hAnsi="Arial" w:cs="Arial"/>
              </w:rPr>
              <w:t xml:space="preserve">. </w:t>
            </w:r>
          </w:p>
        </w:tc>
      </w:tr>
    </w:tbl>
    <w:p w14:paraId="2B7E72D0" w14:textId="77777777" w:rsidR="005E0B04" w:rsidRDefault="005E0B04" w:rsidP="005E0B04">
      <w:pPr>
        <w:rPr>
          <w:rFonts w:ascii="Arial" w:hAnsi="Arial" w:cs="Arial"/>
          <w:b/>
          <w:bCs/>
        </w:rPr>
      </w:pPr>
    </w:p>
    <w:p w14:paraId="2D075208" w14:textId="77777777" w:rsidR="005E0B04" w:rsidRDefault="005E0B04" w:rsidP="005E0B04">
      <w:pPr>
        <w:rPr>
          <w:rFonts w:ascii="Arial" w:hAnsi="Arial" w:cs="Arial"/>
          <w:b/>
          <w:bCs/>
        </w:rPr>
      </w:pPr>
      <w:r>
        <w:rPr>
          <w:rFonts w:ascii="Arial" w:hAnsi="Arial" w:cs="Arial"/>
          <w:b/>
          <w:bCs/>
        </w:rPr>
        <w:br w:type="page"/>
      </w:r>
    </w:p>
    <w:p w14:paraId="0CE2C6CA" w14:textId="77777777" w:rsidR="005E0B04" w:rsidRDefault="005E0B04" w:rsidP="005E0B04">
      <w:pPr>
        <w:rPr>
          <w:rFonts w:ascii="Arial" w:hAnsi="Arial" w:cs="Arial"/>
          <w:b/>
          <w:bCs/>
        </w:rPr>
      </w:pPr>
      <w:r>
        <w:rPr>
          <w:rFonts w:ascii="Arial" w:hAnsi="Arial" w:cs="Arial"/>
          <w:b/>
          <w:bCs/>
        </w:rPr>
        <w:lastRenderedPageBreak/>
        <w:t xml:space="preserve">Supplemental Table 3. Comparing Plasma Cytokine Values between Baseline and Week 15. </w:t>
      </w:r>
      <w:r w:rsidRPr="00C15ED3">
        <w:rPr>
          <w:rFonts w:ascii="Arial" w:hAnsi="Arial" w:cs="Arial"/>
        </w:rPr>
        <w:t>All values listed as mean (standard deviation) unless otherwise specified.</w:t>
      </w:r>
      <w:r>
        <w:rPr>
          <w:rFonts w:ascii="Arial" w:hAnsi="Arial" w:cs="Arial"/>
        </w:rPr>
        <w:t xml:space="preserve"> P-values were calculated using the Wilcoxon Signed-Rank test.</w:t>
      </w:r>
      <w:r w:rsidRPr="00C15ED3">
        <w:rPr>
          <w:rFonts w:ascii="Arial" w:hAnsi="Arial" w:cs="Arial"/>
        </w:rPr>
        <w:t xml:space="preserve"> IL = interleukin, MCP = monocyte chemoattractant protein, TNF = tumor necrosis factor, IFN = interferon.  </w:t>
      </w:r>
    </w:p>
    <w:tbl>
      <w:tblPr>
        <w:tblStyle w:val="TableGrid"/>
        <w:tblW w:w="0" w:type="auto"/>
        <w:tblLook w:val="04A0" w:firstRow="1" w:lastRow="0" w:firstColumn="1" w:lastColumn="0" w:noHBand="0" w:noVBand="1"/>
      </w:tblPr>
      <w:tblGrid>
        <w:gridCol w:w="2337"/>
        <w:gridCol w:w="2337"/>
        <w:gridCol w:w="2338"/>
        <w:gridCol w:w="2338"/>
      </w:tblGrid>
      <w:tr w:rsidR="005E0B04" w14:paraId="18CD5CC3" w14:textId="77777777" w:rsidTr="006307AD">
        <w:tc>
          <w:tcPr>
            <w:tcW w:w="2337" w:type="dxa"/>
          </w:tcPr>
          <w:p w14:paraId="72F0EA9A" w14:textId="77777777" w:rsidR="005E0B04" w:rsidRDefault="005E0B04" w:rsidP="006307AD">
            <w:pPr>
              <w:jc w:val="center"/>
              <w:rPr>
                <w:rFonts w:ascii="Arial" w:hAnsi="Arial" w:cs="Arial"/>
                <w:b/>
                <w:bCs/>
              </w:rPr>
            </w:pPr>
            <w:r>
              <w:rPr>
                <w:rFonts w:ascii="Arial" w:hAnsi="Arial" w:cs="Arial"/>
                <w:b/>
                <w:bCs/>
              </w:rPr>
              <w:t>Cytokine</w:t>
            </w:r>
          </w:p>
        </w:tc>
        <w:tc>
          <w:tcPr>
            <w:tcW w:w="2337" w:type="dxa"/>
          </w:tcPr>
          <w:p w14:paraId="1F651121" w14:textId="77777777" w:rsidR="005E0B04" w:rsidRDefault="005E0B04" w:rsidP="006307AD">
            <w:pPr>
              <w:jc w:val="center"/>
              <w:rPr>
                <w:rFonts w:ascii="Arial" w:hAnsi="Arial" w:cs="Arial"/>
                <w:b/>
                <w:bCs/>
              </w:rPr>
            </w:pPr>
            <w:r>
              <w:rPr>
                <w:rFonts w:ascii="Arial" w:hAnsi="Arial" w:cs="Arial"/>
                <w:b/>
                <w:bCs/>
              </w:rPr>
              <w:t>Baseline (n = 19)</w:t>
            </w:r>
          </w:p>
        </w:tc>
        <w:tc>
          <w:tcPr>
            <w:tcW w:w="2338" w:type="dxa"/>
          </w:tcPr>
          <w:p w14:paraId="034EEA25" w14:textId="77777777" w:rsidR="005E0B04" w:rsidRDefault="005E0B04" w:rsidP="006307AD">
            <w:pPr>
              <w:jc w:val="center"/>
              <w:rPr>
                <w:rFonts w:ascii="Arial" w:hAnsi="Arial" w:cs="Arial"/>
                <w:b/>
                <w:bCs/>
              </w:rPr>
            </w:pPr>
            <w:r>
              <w:rPr>
                <w:rFonts w:ascii="Arial" w:hAnsi="Arial" w:cs="Arial"/>
                <w:b/>
                <w:bCs/>
              </w:rPr>
              <w:t>Week 15 (n = 19)</w:t>
            </w:r>
          </w:p>
        </w:tc>
        <w:tc>
          <w:tcPr>
            <w:tcW w:w="2338" w:type="dxa"/>
          </w:tcPr>
          <w:p w14:paraId="0579480A" w14:textId="77777777" w:rsidR="005E0B04" w:rsidRDefault="005E0B04" w:rsidP="006307AD">
            <w:pPr>
              <w:jc w:val="center"/>
              <w:rPr>
                <w:rFonts w:ascii="Arial" w:hAnsi="Arial" w:cs="Arial"/>
                <w:b/>
                <w:bCs/>
              </w:rPr>
            </w:pPr>
            <w:r>
              <w:rPr>
                <w:rFonts w:ascii="Arial" w:hAnsi="Arial" w:cs="Arial"/>
                <w:b/>
                <w:bCs/>
              </w:rPr>
              <w:t>p-value</w:t>
            </w:r>
          </w:p>
        </w:tc>
      </w:tr>
      <w:tr w:rsidR="005E0B04" w14:paraId="46ACC330" w14:textId="77777777" w:rsidTr="006307AD">
        <w:tc>
          <w:tcPr>
            <w:tcW w:w="2337" w:type="dxa"/>
          </w:tcPr>
          <w:p w14:paraId="196C66FF" w14:textId="77777777" w:rsidR="005E0B04" w:rsidRPr="00C15ED3" w:rsidRDefault="005E0B04" w:rsidP="006307AD">
            <w:pPr>
              <w:rPr>
                <w:rFonts w:ascii="Arial" w:hAnsi="Arial" w:cs="Arial"/>
              </w:rPr>
            </w:pPr>
            <w:r w:rsidRPr="00C15ED3">
              <w:rPr>
                <w:rFonts w:ascii="Arial" w:hAnsi="Arial" w:cs="Arial"/>
              </w:rPr>
              <w:t>IL-1b</w:t>
            </w:r>
          </w:p>
        </w:tc>
        <w:tc>
          <w:tcPr>
            <w:tcW w:w="2337" w:type="dxa"/>
          </w:tcPr>
          <w:p w14:paraId="6EB7F7C6" w14:textId="77777777" w:rsidR="005E0B04" w:rsidRPr="00C15ED3" w:rsidRDefault="005E0B04" w:rsidP="006307AD">
            <w:pPr>
              <w:rPr>
                <w:rFonts w:ascii="Arial" w:hAnsi="Arial" w:cs="Arial"/>
              </w:rPr>
            </w:pPr>
            <w:r w:rsidRPr="00C15ED3">
              <w:rPr>
                <w:rFonts w:ascii="Arial" w:hAnsi="Arial" w:cs="Arial"/>
              </w:rPr>
              <w:t>150 (565)</w:t>
            </w:r>
          </w:p>
        </w:tc>
        <w:tc>
          <w:tcPr>
            <w:tcW w:w="2338" w:type="dxa"/>
          </w:tcPr>
          <w:p w14:paraId="22A952CB" w14:textId="77777777" w:rsidR="005E0B04" w:rsidRPr="00C15ED3" w:rsidRDefault="005E0B04" w:rsidP="006307AD">
            <w:pPr>
              <w:rPr>
                <w:rFonts w:ascii="Arial" w:hAnsi="Arial" w:cs="Arial"/>
              </w:rPr>
            </w:pPr>
            <w:r w:rsidRPr="00C15ED3">
              <w:rPr>
                <w:rFonts w:ascii="Arial" w:hAnsi="Arial" w:cs="Arial"/>
              </w:rPr>
              <w:t>15.0 (25.0)</w:t>
            </w:r>
          </w:p>
        </w:tc>
        <w:tc>
          <w:tcPr>
            <w:tcW w:w="2338" w:type="dxa"/>
          </w:tcPr>
          <w:p w14:paraId="54D9E82C" w14:textId="77777777" w:rsidR="005E0B04" w:rsidRPr="00C15ED3" w:rsidRDefault="005E0B04" w:rsidP="006307AD">
            <w:pPr>
              <w:rPr>
                <w:rFonts w:ascii="Arial" w:hAnsi="Arial" w:cs="Arial"/>
              </w:rPr>
            </w:pPr>
            <w:r w:rsidRPr="00C15ED3">
              <w:rPr>
                <w:rFonts w:ascii="Arial" w:hAnsi="Arial" w:cs="Arial"/>
              </w:rPr>
              <w:t>0.0027</w:t>
            </w:r>
          </w:p>
        </w:tc>
      </w:tr>
      <w:tr w:rsidR="005E0B04" w14:paraId="3AA3504D" w14:textId="77777777" w:rsidTr="006307AD">
        <w:tc>
          <w:tcPr>
            <w:tcW w:w="2337" w:type="dxa"/>
          </w:tcPr>
          <w:p w14:paraId="6CC8F528" w14:textId="77777777" w:rsidR="005E0B04" w:rsidRPr="00C15ED3" w:rsidRDefault="005E0B04" w:rsidP="006307AD">
            <w:pPr>
              <w:rPr>
                <w:rFonts w:ascii="Arial" w:hAnsi="Arial" w:cs="Arial"/>
              </w:rPr>
            </w:pPr>
            <w:r w:rsidRPr="00C15ED3">
              <w:rPr>
                <w:rFonts w:ascii="Arial" w:hAnsi="Arial" w:cs="Arial"/>
              </w:rPr>
              <w:t>IL-13</w:t>
            </w:r>
          </w:p>
        </w:tc>
        <w:tc>
          <w:tcPr>
            <w:tcW w:w="2337" w:type="dxa"/>
          </w:tcPr>
          <w:p w14:paraId="7471EEDF" w14:textId="77777777" w:rsidR="005E0B04" w:rsidRPr="00C15ED3" w:rsidRDefault="005E0B04" w:rsidP="006307AD">
            <w:pPr>
              <w:rPr>
                <w:rFonts w:ascii="Arial" w:hAnsi="Arial" w:cs="Arial"/>
              </w:rPr>
            </w:pPr>
            <w:r w:rsidRPr="00C15ED3">
              <w:rPr>
                <w:rFonts w:ascii="Arial" w:hAnsi="Arial" w:cs="Arial"/>
              </w:rPr>
              <w:t>662 (1710)</w:t>
            </w:r>
          </w:p>
        </w:tc>
        <w:tc>
          <w:tcPr>
            <w:tcW w:w="2338" w:type="dxa"/>
          </w:tcPr>
          <w:p w14:paraId="51E5DE37" w14:textId="77777777" w:rsidR="005E0B04" w:rsidRPr="00C15ED3" w:rsidRDefault="005E0B04" w:rsidP="006307AD">
            <w:pPr>
              <w:rPr>
                <w:rFonts w:ascii="Arial" w:hAnsi="Arial" w:cs="Arial"/>
              </w:rPr>
            </w:pPr>
            <w:r w:rsidRPr="00C15ED3">
              <w:rPr>
                <w:rFonts w:ascii="Arial" w:hAnsi="Arial" w:cs="Arial"/>
              </w:rPr>
              <w:t>147 (218)</w:t>
            </w:r>
          </w:p>
        </w:tc>
        <w:tc>
          <w:tcPr>
            <w:tcW w:w="2338" w:type="dxa"/>
          </w:tcPr>
          <w:p w14:paraId="7A8AD1E6" w14:textId="77777777" w:rsidR="005E0B04" w:rsidRPr="00C15ED3" w:rsidRDefault="005E0B04" w:rsidP="006307AD">
            <w:pPr>
              <w:rPr>
                <w:rFonts w:ascii="Arial" w:hAnsi="Arial" w:cs="Arial"/>
              </w:rPr>
            </w:pPr>
            <w:r w:rsidRPr="00C15ED3">
              <w:rPr>
                <w:rFonts w:ascii="Arial" w:hAnsi="Arial" w:cs="Arial"/>
              </w:rPr>
              <w:t>0.0015</w:t>
            </w:r>
          </w:p>
        </w:tc>
      </w:tr>
      <w:tr w:rsidR="005E0B04" w14:paraId="3AAF09E3" w14:textId="77777777" w:rsidTr="006307AD">
        <w:tc>
          <w:tcPr>
            <w:tcW w:w="2337" w:type="dxa"/>
          </w:tcPr>
          <w:p w14:paraId="264C7B9B" w14:textId="77777777" w:rsidR="005E0B04" w:rsidRPr="00C15ED3" w:rsidRDefault="005E0B04" w:rsidP="006307AD">
            <w:pPr>
              <w:rPr>
                <w:rFonts w:ascii="Arial" w:hAnsi="Arial" w:cs="Arial"/>
              </w:rPr>
            </w:pPr>
            <w:r w:rsidRPr="00C15ED3">
              <w:rPr>
                <w:rFonts w:ascii="Arial" w:hAnsi="Arial" w:cs="Arial"/>
              </w:rPr>
              <w:t>IL-15</w:t>
            </w:r>
          </w:p>
        </w:tc>
        <w:tc>
          <w:tcPr>
            <w:tcW w:w="2337" w:type="dxa"/>
          </w:tcPr>
          <w:p w14:paraId="5F2EB6C8" w14:textId="77777777" w:rsidR="005E0B04" w:rsidRPr="00C15ED3" w:rsidRDefault="005E0B04" w:rsidP="006307AD">
            <w:pPr>
              <w:rPr>
                <w:rFonts w:ascii="Arial" w:hAnsi="Arial" w:cs="Arial"/>
              </w:rPr>
            </w:pPr>
            <w:r w:rsidRPr="00C15ED3">
              <w:rPr>
                <w:rFonts w:ascii="Arial" w:hAnsi="Arial" w:cs="Arial"/>
              </w:rPr>
              <w:t>32.6 (82.4)</w:t>
            </w:r>
          </w:p>
        </w:tc>
        <w:tc>
          <w:tcPr>
            <w:tcW w:w="2338" w:type="dxa"/>
          </w:tcPr>
          <w:p w14:paraId="1E270FD1" w14:textId="77777777" w:rsidR="005E0B04" w:rsidRPr="00C15ED3" w:rsidRDefault="005E0B04" w:rsidP="006307AD">
            <w:pPr>
              <w:rPr>
                <w:rFonts w:ascii="Arial" w:hAnsi="Arial" w:cs="Arial"/>
              </w:rPr>
            </w:pPr>
            <w:r w:rsidRPr="00C15ED3">
              <w:rPr>
                <w:rFonts w:ascii="Arial" w:hAnsi="Arial" w:cs="Arial"/>
              </w:rPr>
              <w:t>10.1 (7.64)</w:t>
            </w:r>
          </w:p>
        </w:tc>
        <w:tc>
          <w:tcPr>
            <w:tcW w:w="2338" w:type="dxa"/>
          </w:tcPr>
          <w:p w14:paraId="5B9693C0" w14:textId="77777777" w:rsidR="005E0B04" w:rsidRPr="00C15ED3" w:rsidRDefault="005E0B04" w:rsidP="006307AD">
            <w:pPr>
              <w:rPr>
                <w:rFonts w:ascii="Arial" w:hAnsi="Arial" w:cs="Arial"/>
              </w:rPr>
            </w:pPr>
            <w:r w:rsidRPr="00C15ED3">
              <w:rPr>
                <w:rFonts w:ascii="Arial" w:hAnsi="Arial" w:cs="Arial"/>
              </w:rPr>
              <w:t>0.047</w:t>
            </w:r>
          </w:p>
        </w:tc>
      </w:tr>
      <w:tr w:rsidR="005E0B04" w14:paraId="7D7172AD" w14:textId="77777777" w:rsidTr="006307AD">
        <w:tc>
          <w:tcPr>
            <w:tcW w:w="2337" w:type="dxa"/>
          </w:tcPr>
          <w:p w14:paraId="681B1AD6" w14:textId="77777777" w:rsidR="005E0B04" w:rsidRPr="00C15ED3" w:rsidRDefault="005E0B04" w:rsidP="006307AD">
            <w:pPr>
              <w:rPr>
                <w:rFonts w:ascii="Arial" w:hAnsi="Arial" w:cs="Arial"/>
              </w:rPr>
            </w:pPr>
            <w:r w:rsidRPr="00C15ED3">
              <w:rPr>
                <w:rFonts w:ascii="Arial" w:hAnsi="Arial" w:cs="Arial"/>
              </w:rPr>
              <w:t>IL-17A</w:t>
            </w:r>
          </w:p>
        </w:tc>
        <w:tc>
          <w:tcPr>
            <w:tcW w:w="2337" w:type="dxa"/>
          </w:tcPr>
          <w:p w14:paraId="72E1679E" w14:textId="77777777" w:rsidR="005E0B04" w:rsidRPr="00C15ED3" w:rsidRDefault="005E0B04" w:rsidP="006307AD">
            <w:pPr>
              <w:rPr>
                <w:rFonts w:ascii="Arial" w:hAnsi="Arial" w:cs="Arial"/>
              </w:rPr>
            </w:pPr>
            <w:r w:rsidRPr="00C15ED3">
              <w:rPr>
                <w:rFonts w:ascii="Arial" w:hAnsi="Arial" w:cs="Arial"/>
              </w:rPr>
              <w:t>88.1 (248)</w:t>
            </w:r>
          </w:p>
        </w:tc>
        <w:tc>
          <w:tcPr>
            <w:tcW w:w="2338" w:type="dxa"/>
          </w:tcPr>
          <w:p w14:paraId="4C511D78" w14:textId="77777777" w:rsidR="005E0B04" w:rsidRPr="00C15ED3" w:rsidRDefault="005E0B04" w:rsidP="006307AD">
            <w:pPr>
              <w:rPr>
                <w:rFonts w:ascii="Arial" w:hAnsi="Arial" w:cs="Arial"/>
              </w:rPr>
            </w:pPr>
            <w:r w:rsidRPr="00C15ED3">
              <w:rPr>
                <w:rFonts w:ascii="Arial" w:hAnsi="Arial" w:cs="Arial"/>
              </w:rPr>
              <w:t>15.0 (15.1)</w:t>
            </w:r>
          </w:p>
        </w:tc>
        <w:tc>
          <w:tcPr>
            <w:tcW w:w="2338" w:type="dxa"/>
          </w:tcPr>
          <w:p w14:paraId="5EE47536" w14:textId="77777777" w:rsidR="005E0B04" w:rsidRPr="00C15ED3" w:rsidRDefault="005E0B04" w:rsidP="006307AD">
            <w:pPr>
              <w:rPr>
                <w:rFonts w:ascii="Arial" w:hAnsi="Arial" w:cs="Arial"/>
              </w:rPr>
            </w:pPr>
            <w:r w:rsidRPr="00C15ED3">
              <w:rPr>
                <w:rFonts w:ascii="Arial" w:hAnsi="Arial" w:cs="Arial"/>
              </w:rPr>
              <w:t>0.018</w:t>
            </w:r>
          </w:p>
        </w:tc>
      </w:tr>
      <w:tr w:rsidR="005E0B04" w14:paraId="2C75F03F" w14:textId="77777777" w:rsidTr="006307AD">
        <w:tc>
          <w:tcPr>
            <w:tcW w:w="2337" w:type="dxa"/>
          </w:tcPr>
          <w:p w14:paraId="044963CB" w14:textId="77777777" w:rsidR="005E0B04" w:rsidRPr="00C15ED3" w:rsidRDefault="005E0B04" w:rsidP="006307AD">
            <w:pPr>
              <w:rPr>
                <w:rFonts w:ascii="Arial" w:hAnsi="Arial" w:cs="Arial"/>
              </w:rPr>
            </w:pPr>
            <w:r w:rsidRPr="00C15ED3">
              <w:rPr>
                <w:rFonts w:ascii="Arial" w:hAnsi="Arial" w:cs="Arial"/>
              </w:rPr>
              <w:t>IL-18</w:t>
            </w:r>
          </w:p>
        </w:tc>
        <w:tc>
          <w:tcPr>
            <w:tcW w:w="2337" w:type="dxa"/>
          </w:tcPr>
          <w:p w14:paraId="0E86097D" w14:textId="77777777" w:rsidR="005E0B04" w:rsidRPr="00C15ED3" w:rsidRDefault="005E0B04" w:rsidP="006307AD">
            <w:pPr>
              <w:rPr>
                <w:rFonts w:ascii="Arial" w:hAnsi="Arial" w:cs="Arial"/>
              </w:rPr>
            </w:pPr>
            <w:r w:rsidRPr="00C15ED3">
              <w:rPr>
                <w:rFonts w:ascii="Arial" w:hAnsi="Arial" w:cs="Arial"/>
              </w:rPr>
              <w:t>121 (284)</w:t>
            </w:r>
          </w:p>
        </w:tc>
        <w:tc>
          <w:tcPr>
            <w:tcW w:w="2338" w:type="dxa"/>
          </w:tcPr>
          <w:p w14:paraId="4726B05D" w14:textId="77777777" w:rsidR="005E0B04" w:rsidRPr="00C15ED3" w:rsidRDefault="005E0B04" w:rsidP="006307AD">
            <w:pPr>
              <w:rPr>
                <w:rFonts w:ascii="Arial" w:hAnsi="Arial" w:cs="Arial"/>
              </w:rPr>
            </w:pPr>
            <w:r w:rsidRPr="00C15ED3">
              <w:rPr>
                <w:rFonts w:ascii="Arial" w:hAnsi="Arial" w:cs="Arial"/>
              </w:rPr>
              <w:t>35.2 (22.3)</w:t>
            </w:r>
          </w:p>
        </w:tc>
        <w:tc>
          <w:tcPr>
            <w:tcW w:w="2338" w:type="dxa"/>
          </w:tcPr>
          <w:p w14:paraId="3248C337" w14:textId="77777777" w:rsidR="005E0B04" w:rsidRPr="00C15ED3" w:rsidRDefault="005E0B04" w:rsidP="006307AD">
            <w:pPr>
              <w:rPr>
                <w:rFonts w:ascii="Arial" w:hAnsi="Arial" w:cs="Arial"/>
              </w:rPr>
            </w:pPr>
            <w:r w:rsidRPr="00C15ED3">
              <w:rPr>
                <w:rFonts w:ascii="Arial" w:hAnsi="Arial" w:cs="Arial"/>
              </w:rPr>
              <w:t>0.026</w:t>
            </w:r>
          </w:p>
        </w:tc>
      </w:tr>
      <w:tr w:rsidR="005E0B04" w14:paraId="263F3CA5" w14:textId="77777777" w:rsidTr="006307AD">
        <w:tc>
          <w:tcPr>
            <w:tcW w:w="2337" w:type="dxa"/>
          </w:tcPr>
          <w:p w14:paraId="438E5D81" w14:textId="77777777" w:rsidR="005E0B04" w:rsidRPr="00C15ED3" w:rsidRDefault="005E0B04" w:rsidP="006307AD">
            <w:pPr>
              <w:rPr>
                <w:rFonts w:ascii="Arial" w:hAnsi="Arial" w:cs="Arial"/>
              </w:rPr>
            </w:pPr>
            <w:r w:rsidRPr="00C15ED3">
              <w:rPr>
                <w:rFonts w:ascii="Arial" w:hAnsi="Arial" w:cs="Arial"/>
              </w:rPr>
              <w:t>IL-25</w:t>
            </w:r>
          </w:p>
        </w:tc>
        <w:tc>
          <w:tcPr>
            <w:tcW w:w="2337" w:type="dxa"/>
          </w:tcPr>
          <w:p w14:paraId="47A5F5AE" w14:textId="77777777" w:rsidR="005E0B04" w:rsidRPr="00C15ED3" w:rsidRDefault="005E0B04" w:rsidP="006307AD">
            <w:pPr>
              <w:rPr>
                <w:rFonts w:ascii="Arial" w:hAnsi="Arial" w:cs="Arial"/>
              </w:rPr>
            </w:pPr>
            <w:r w:rsidRPr="00C15ED3">
              <w:rPr>
                <w:rFonts w:ascii="Arial" w:hAnsi="Arial" w:cs="Arial"/>
              </w:rPr>
              <w:t>15300 (50200)</w:t>
            </w:r>
          </w:p>
        </w:tc>
        <w:tc>
          <w:tcPr>
            <w:tcW w:w="2338" w:type="dxa"/>
          </w:tcPr>
          <w:p w14:paraId="44CEE98E" w14:textId="77777777" w:rsidR="005E0B04" w:rsidRPr="00C15ED3" w:rsidRDefault="005E0B04" w:rsidP="006307AD">
            <w:pPr>
              <w:rPr>
                <w:rFonts w:ascii="Arial" w:hAnsi="Arial" w:cs="Arial"/>
              </w:rPr>
            </w:pPr>
            <w:r w:rsidRPr="00C15ED3">
              <w:rPr>
                <w:rFonts w:ascii="Arial" w:hAnsi="Arial" w:cs="Arial"/>
              </w:rPr>
              <w:t>2820 (5250)</w:t>
            </w:r>
          </w:p>
        </w:tc>
        <w:tc>
          <w:tcPr>
            <w:tcW w:w="2338" w:type="dxa"/>
          </w:tcPr>
          <w:p w14:paraId="50E2C227" w14:textId="77777777" w:rsidR="005E0B04" w:rsidRPr="00C15ED3" w:rsidRDefault="005E0B04" w:rsidP="006307AD">
            <w:pPr>
              <w:rPr>
                <w:rFonts w:ascii="Arial" w:hAnsi="Arial" w:cs="Arial"/>
              </w:rPr>
            </w:pPr>
            <w:r w:rsidRPr="00C15ED3">
              <w:rPr>
                <w:rFonts w:ascii="Arial" w:hAnsi="Arial" w:cs="Arial"/>
              </w:rPr>
              <w:t>&lt; 0.001</w:t>
            </w:r>
          </w:p>
        </w:tc>
      </w:tr>
      <w:tr w:rsidR="005E0B04" w14:paraId="5E333B96" w14:textId="77777777" w:rsidTr="006307AD">
        <w:tc>
          <w:tcPr>
            <w:tcW w:w="2337" w:type="dxa"/>
          </w:tcPr>
          <w:p w14:paraId="63063DB0" w14:textId="77777777" w:rsidR="005E0B04" w:rsidRPr="00C15ED3" w:rsidRDefault="005E0B04" w:rsidP="006307AD">
            <w:pPr>
              <w:rPr>
                <w:rFonts w:ascii="Arial" w:hAnsi="Arial" w:cs="Arial"/>
              </w:rPr>
            </w:pPr>
            <w:r w:rsidRPr="00C15ED3">
              <w:rPr>
                <w:rFonts w:ascii="Arial" w:hAnsi="Arial" w:cs="Arial"/>
              </w:rPr>
              <w:t>MCP-1</w:t>
            </w:r>
          </w:p>
        </w:tc>
        <w:tc>
          <w:tcPr>
            <w:tcW w:w="2337" w:type="dxa"/>
          </w:tcPr>
          <w:p w14:paraId="0179682D" w14:textId="77777777" w:rsidR="005E0B04" w:rsidRPr="00C15ED3" w:rsidRDefault="005E0B04" w:rsidP="006307AD">
            <w:pPr>
              <w:rPr>
                <w:rFonts w:ascii="Arial" w:hAnsi="Arial" w:cs="Arial"/>
              </w:rPr>
            </w:pPr>
            <w:r w:rsidRPr="00C15ED3">
              <w:rPr>
                <w:rFonts w:ascii="Arial" w:hAnsi="Arial" w:cs="Arial"/>
              </w:rPr>
              <w:t>330 (377)</w:t>
            </w:r>
          </w:p>
        </w:tc>
        <w:tc>
          <w:tcPr>
            <w:tcW w:w="2338" w:type="dxa"/>
          </w:tcPr>
          <w:p w14:paraId="299E34A8" w14:textId="77777777" w:rsidR="005E0B04" w:rsidRPr="00C15ED3" w:rsidRDefault="005E0B04" w:rsidP="006307AD">
            <w:pPr>
              <w:rPr>
                <w:rFonts w:ascii="Arial" w:hAnsi="Arial" w:cs="Arial"/>
              </w:rPr>
            </w:pPr>
            <w:r w:rsidRPr="00C15ED3">
              <w:rPr>
                <w:rFonts w:ascii="Arial" w:hAnsi="Arial" w:cs="Arial"/>
              </w:rPr>
              <w:t>217 (67.6)</w:t>
            </w:r>
          </w:p>
        </w:tc>
        <w:tc>
          <w:tcPr>
            <w:tcW w:w="2338" w:type="dxa"/>
          </w:tcPr>
          <w:p w14:paraId="3556CE40" w14:textId="77777777" w:rsidR="005E0B04" w:rsidRPr="00C15ED3" w:rsidRDefault="005E0B04" w:rsidP="006307AD">
            <w:pPr>
              <w:rPr>
                <w:rFonts w:ascii="Arial" w:hAnsi="Arial" w:cs="Arial"/>
              </w:rPr>
            </w:pPr>
            <w:r w:rsidRPr="00C15ED3">
              <w:rPr>
                <w:rFonts w:ascii="Arial" w:hAnsi="Arial" w:cs="Arial"/>
              </w:rPr>
              <w:t>0.04</w:t>
            </w:r>
          </w:p>
        </w:tc>
      </w:tr>
      <w:tr w:rsidR="005E0B04" w14:paraId="3C00B343" w14:textId="77777777" w:rsidTr="006307AD">
        <w:tc>
          <w:tcPr>
            <w:tcW w:w="2337" w:type="dxa"/>
          </w:tcPr>
          <w:p w14:paraId="6E81D2E0" w14:textId="77777777" w:rsidR="005E0B04" w:rsidRPr="00C15ED3" w:rsidRDefault="005E0B04" w:rsidP="006307AD">
            <w:pPr>
              <w:rPr>
                <w:rFonts w:ascii="Arial" w:hAnsi="Arial" w:cs="Arial"/>
              </w:rPr>
            </w:pPr>
            <w:r w:rsidRPr="00C15ED3">
              <w:rPr>
                <w:rFonts w:ascii="Arial" w:hAnsi="Arial" w:cs="Arial"/>
              </w:rPr>
              <w:t>TNF-alpha</w:t>
            </w:r>
          </w:p>
        </w:tc>
        <w:tc>
          <w:tcPr>
            <w:tcW w:w="2337" w:type="dxa"/>
          </w:tcPr>
          <w:p w14:paraId="0583DAC2" w14:textId="77777777" w:rsidR="005E0B04" w:rsidRPr="00C15ED3" w:rsidRDefault="005E0B04" w:rsidP="006307AD">
            <w:pPr>
              <w:rPr>
                <w:rFonts w:ascii="Arial" w:hAnsi="Arial" w:cs="Arial"/>
              </w:rPr>
            </w:pPr>
            <w:r w:rsidRPr="00C15ED3">
              <w:rPr>
                <w:rFonts w:ascii="Arial" w:hAnsi="Arial" w:cs="Arial"/>
              </w:rPr>
              <w:t>188 (635)</w:t>
            </w:r>
          </w:p>
        </w:tc>
        <w:tc>
          <w:tcPr>
            <w:tcW w:w="2338" w:type="dxa"/>
          </w:tcPr>
          <w:p w14:paraId="2E6BEFDD" w14:textId="77777777" w:rsidR="005E0B04" w:rsidRPr="00C15ED3" w:rsidRDefault="005E0B04" w:rsidP="006307AD">
            <w:pPr>
              <w:rPr>
                <w:rFonts w:ascii="Arial" w:hAnsi="Arial" w:cs="Arial"/>
              </w:rPr>
            </w:pPr>
            <w:r w:rsidRPr="00C15ED3">
              <w:rPr>
                <w:rFonts w:ascii="Arial" w:hAnsi="Arial" w:cs="Arial"/>
              </w:rPr>
              <w:t>26.0 (34.4)</w:t>
            </w:r>
          </w:p>
        </w:tc>
        <w:tc>
          <w:tcPr>
            <w:tcW w:w="2338" w:type="dxa"/>
          </w:tcPr>
          <w:p w14:paraId="7DDDAB47" w14:textId="77777777" w:rsidR="005E0B04" w:rsidRPr="00C15ED3" w:rsidRDefault="005E0B04" w:rsidP="006307AD">
            <w:pPr>
              <w:rPr>
                <w:rFonts w:ascii="Arial" w:hAnsi="Arial" w:cs="Arial"/>
              </w:rPr>
            </w:pPr>
            <w:r w:rsidRPr="00C15ED3">
              <w:rPr>
                <w:rFonts w:ascii="Arial" w:hAnsi="Arial" w:cs="Arial"/>
              </w:rPr>
              <w:t>0.0017</w:t>
            </w:r>
          </w:p>
        </w:tc>
      </w:tr>
      <w:tr w:rsidR="005E0B04" w14:paraId="67C5D068" w14:textId="77777777" w:rsidTr="006307AD">
        <w:tc>
          <w:tcPr>
            <w:tcW w:w="2337" w:type="dxa"/>
          </w:tcPr>
          <w:p w14:paraId="01E9DD8C" w14:textId="77777777" w:rsidR="005E0B04" w:rsidRPr="00C15ED3" w:rsidRDefault="005E0B04" w:rsidP="006307AD">
            <w:pPr>
              <w:rPr>
                <w:rFonts w:ascii="Arial" w:hAnsi="Arial" w:cs="Arial"/>
              </w:rPr>
            </w:pPr>
            <w:r w:rsidRPr="00C15ED3">
              <w:rPr>
                <w:rFonts w:ascii="Arial" w:hAnsi="Arial" w:cs="Arial"/>
              </w:rPr>
              <w:t>IFN-gamma</w:t>
            </w:r>
          </w:p>
        </w:tc>
        <w:tc>
          <w:tcPr>
            <w:tcW w:w="2337" w:type="dxa"/>
          </w:tcPr>
          <w:p w14:paraId="03E4ECED" w14:textId="77777777" w:rsidR="005E0B04" w:rsidRPr="00C15ED3" w:rsidRDefault="005E0B04" w:rsidP="006307AD">
            <w:pPr>
              <w:rPr>
                <w:rFonts w:ascii="Arial" w:hAnsi="Arial" w:cs="Arial"/>
              </w:rPr>
            </w:pPr>
            <w:r w:rsidRPr="00C15ED3">
              <w:rPr>
                <w:rFonts w:ascii="Arial" w:hAnsi="Arial" w:cs="Arial"/>
              </w:rPr>
              <w:t>155 (319)</w:t>
            </w:r>
          </w:p>
        </w:tc>
        <w:tc>
          <w:tcPr>
            <w:tcW w:w="2338" w:type="dxa"/>
          </w:tcPr>
          <w:p w14:paraId="0061E1E6" w14:textId="77777777" w:rsidR="005E0B04" w:rsidRPr="00C15ED3" w:rsidRDefault="005E0B04" w:rsidP="006307AD">
            <w:pPr>
              <w:rPr>
                <w:rFonts w:ascii="Arial" w:hAnsi="Arial" w:cs="Arial"/>
              </w:rPr>
            </w:pPr>
            <w:r w:rsidRPr="00C15ED3">
              <w:rPr>
                <w:rFonts w:ascii="Arial" w:hAnsi="Arial" w:cs="Arial"/>
              </w:rPr>
              <w:t>54.9 (69.9)</w:t>
            </w:r>
          </w:p>
        </w:tc>
        <w:tc>
          <w:tcPr>
            <w:tcW w:w="2338" w:type="dxa"/>
          </w:tcPr>
          <w:p w14:paraId="4623D597" w14:textId="77777777" w:rsidR="005E0B04" w:rsidRPr="00C15ED3" w:rsidRDefault="005E0B04" w:rsidP="006307AD">
            <w:pPr>
              <w:rPr>
                <w:rFonts w:ascii="Arial" w:hAnsi="Arial" w:cs="Arial"/>
              </w:rPr>
            </w:pPr>
            <w:r w:rsidRPr="00C15ED3">
              <w:rPr>
                <w:rFonts w:ascii="Arial" w:hAnsi="Arial" w:cs="Arial"/>
              </w:rPr>
              <w:t>0.026</w:t>
            </w:r>
          </w:p>
        </w:tc>
      </w:tr>
    </w:tbl>
    <w:p w14:paraId="2AD92336" w14:textId="77777777" w:rsidR="005E0B04" w:rsidRDefault="005E0B04" w:rsidP="005E0B04">
      <w:pPr>
        <w:rPr>
          <w:rFonts w:ascii="Arial" w:hAnsi="Arial" w:cs="Arial"/>
          <w:b/>
          <w:bCs/>
        </w:rPr>
      </w:pPr>
    </w:p>
    <w:p w14:paraId="6728AB00" w14:textId="77777777" w:rsidR="005E0B04" w:rsidRDefault="005E0B04" w:rsidP="005E0B04">
      <w:pPr>
        <w:rPr>
          <w:rFonts w:ascii="Arial" w:hAnsi="Arial" w:cs="Arial"/>
          <w:b/>
          <w:bCs/>
        </w:rPr>
      </w:pPr>
    </w:p>
    <w:p w14:paraId="35D66735" w14:textId="77777777" w:rsidR="00AF58BB" w:rsidRDefault="00AF58BB" w:rsidP="005E0B04">
      <w:pPr>
        <w:rPr>
          <w:rFonts w:ascii="Arial" w:hAnsi="Arial" w:cs="Arial"/>
          <w:b/>
          <w:bCs/>
        </w:rPr>
      </w:pPr>
    </w:p>
    <w:p w14:paraId="6F810FA1" w14:textId="77777777" w:rsidR="00AF58BB" w:rsidRDefault="00AF58BB" w:rsidP="005E0B04">
      <w:pPr>
        <w:rPr>
          <w:rFonts w:ascii="Arial" w:hAnsi="Arial" w:cs="Arial"/>
          <w:b/>
          <w:bCs/>
        </w:rPr>
      </w:pPr>
    </w:p>
    <w:p w14:paraId="7FD73E87" w14:textId="77777777" w:rsidR="00AF58BB" w:rsidRDefault="00AF58BB" w:rsidP="005E0B04">
      <w:pPr>
        <w:rPr>
          <w:rFonts w:ascii="Arial" w:hAnsi="Arial" w:cs="Arial"/>
          <w:b/>
          <w:bCs/>
        </w:rPr>
      </w:pPr>
    </w:p>
    <w:p w14:paraId="6E3210E8" w14:textId="77777777" w:rsidR="00AF58BB" w:rsidRDefault="00AF58BB" w:rsidP="005E0B04">
      <w:pPr>
        <w:rPr>
          <w:rFonts w:ascii="Arial" w:hAnsi="Arial" w:cs="Arial"/>
          <w:b/>
          <w:bCs/>
        </w:rPr>
      </w:pPr>
    </w:p>
    <w:p w14:paraId="7B9F4296" w14:textId="77777777" w:rsidR="00AF58BB" w:rsidRDefault="00AF58BB" w:rsidP="005E0B04">
      <w:pPr>
        <w:rPr>
          <w:rFonts w:ascii="Arial" w:hAnsi="Arial" w:cs="Arial"/>
          <w:b/>
          <w:bCs/>
        </w:rPr>
      </w:pPr>
    </w:p>
    <w:p w14:paraId="1C8CC6C2" w14:textId="77777777" w:rsidR="00AF58BB" w:rsidRDefault="00AF58BB" w:rsidP="005E0B04">
      <w:pPr>
        <w:rPr>
          <w:rFonts w:ascii="Arial" w:hAnsi="Arial" w:cs="Arial"/>
          <w:b/>
          <w:bCs/>
        </w:rPr>
      </w:pPr>
    </w:p>
    <w:p w14:paraId="3EB9102B" w14:textId="77777777" w:rsidR="00AF58BB" w:rsidRDefault="00AF58BB" w:rsidP="005E0B04">
      <w:pPr>
        <w:rPr>
          <w:rFonts w:ascii="Arial" w:hAnsi="Arial" w:cs="Arial"/>
          <w:b/>
          <w:bCs/>
        </w:rPr>
      </w:pPr>
    </w:p>
    <w:p w14:paraId="1C8BC49F" w14:textId="77777777" w:rsidR="00AF58BB" w:rsidRDefault="00AF58BB" w:rsidP="005E0B04">
      <w:pPr>
        <w:rPr>
          <w:rFonts w:ascii="Arial" w:hAnsi="Arial" w:cs="Arial"/>
          <w:b/>
          <w:bCs/>
        </w:rPr>
      </w:pPr>
    </w:p>
    <w:p w14:paraId="3BB2E3DB" w14:textId="77777777" w:rsidR="00AF58BB" w:rsidRDefault="00AF58BB" w:rsidP="005E0B04">
      <w:pPr>
        <w:rPr>
          <w:rFonts w:ascii="Arial" w:hAnsi="Arial" w:cs="Arial"/>
          <w:b/>
          <w:bCs/>
        </w:rPr>
      </w:pPr>
    </w:p>
    <w:p w14:paraId="0DCD6F80" w14:textId="77777777" w:rsidR="00AF58BB" w:rsidRDefault="00AF58BB" w:rsidP="005E0B04">
      <w:pPr>
        <w:rPr>
          <w:rFonts w:ascii="Arial" w:hAnsi="Arial" w:cs="Arial"/>
          <w:b/>
          <w:bCs/>
        </w:rPr>
      </w:pPr>
    </w:p>
    <w:p w14:paraId="04B6BDA0" w14:textId="77777777" w:rsidR="00AF58BB" w:rsidRDefault="00AF58BB" w:rsidP="005E0B04">
      <w:pPr>
        <w:rPr>
          <w:rFonts w:ascii="Arial" w:hAnsi="Arial" w:cs="Arial"/>
          <w:b/>
          <w:bCs/>
        </w:rPr>
      </w:pPr>
    </w:p>
    <w:p w14:paraId="070E9BCE" w14:textId="77777777" w:rsidR="00AF58BB" w:rsidRDefault="00AF58BB" w:rsidP="005E0B04">
      <w:pPr>
        <w:rPr>
          <w:rFonts w:ascii="Arial" w:hAnsi="Arial" w:cs="Arial"/>
          <w:b/>
          <w:bCs/>
        </w:rPr>
      </w:pPr>
    </w:p>
    <w:p w14:paraId="69F2868F" w14:textId="77777777" w:rsidR="00AF58BB" w:rsidRDefault="00AF58BB" w:rsidP="005E0B04">
      <w:pPr>
        <w:rPr>
          <w:rFonts w:ascii="Arial" w:hAnsi="Arial" w:cs="Arial"/>
          <w:b/>
          <w:bCs/>
        </w:rPr>
      </w:pPr>
    </w:p>
    <w:p w14:paraId="477BAA46" w14:textId="77777777" w:rsidR="00AF58BB" w:rsidRDefault="00AF58BB" w:rsidP="005E0B04">
      <w:pPr>
        <w:rPr>
          <w:rFonts w:ascii="Arial" w:hAnsi="Arial" w:cs="Arial"/>
          <w:b/>
          <w:bCs/>
        </w:rPr>
      </w:pPr>
    </w:p>
    <w:p w14:paraId="2BDCC054" w14:textId="77777777" w:rsidR="00AF58BB" w:rsidRDefault="00AF58BB" w:rsidP="005E0B04">
      <w:pPr>
        <w:rPr>
          <w:rFonts w:ascii="Arial" w:hAnsi="Arial" w:cs="Arial"/>
          <w:b/>
          <w:bCs/>
        </w:rPr>
      </w:pPr>
    </w:p>
    <w:p w14:paraId="5F1A1DA2" w14:textId="77777777" w:rsidR="00AF58BB" w:rsidRDefault="00AF58BB" w:rsidP="005E0B04">
      <w:pPr>
        <w:rPr>
          <w:rFonts w:ascii="Arial" w:hAnsi="Arial" w:cs="Arial"/>
          <w:b/>
          <w:bCs/>
        </w:rPr>
      </w:pPr>
    </w:p>
    <w:p w14:paraId="11C36C2A" w14:textId="77777777" w:rsidR="00AF58BB" w:rsidRDefault="00AF58BB" w:rsidP="005E0B04">
      <w:pPr>
        <w:rPr>
          <w:rFonts w:ascii="Arial" w:hAnsi="Arial" w:cs="Arial"/>
          <w:b/>
          <w:bCs/>
        </w:rPr>
      </w:pPr>
    </w:p>
    <w:p w14:paraId="5CEB5454" w14:textId="77777777" w:rsidR="00AF58BB" w:rsidRDefault="00AF58BB" w:rsidP="005E0B04">
      <w:pPr>
        <w:rPr>
          <w:rFonts w:ascii="Arial" w:hAnsi="Arial" w:cs="Arial"/>
          <w:b/>
          <w:bCs/>
        </w:rPr>
      </w:pPr>
    </w:p>
    <w:p w14:paraId="7E9281C6" w14:textId="38CB7BA4" w:rsidR="00AF58BB" w:rsidRPr="00AF58BB" w:rsidRDefault="00AF58BB" w:rsidP="005E0B04">
      <w:pPr>
        <w:rPr>
          <w:rFonts w:ascii="Arial" w:hAnsi="Arial" w:cs="Arial"/>
        </w:rPr>
      </w:pPr>
      <w:r>
        <w:rPr>
          <w:rFonts w:ascii="Arial" w:hAnsi="Arial" w:cs="Arial"/>
          <w:b/>
          <w:bCs/>
        </w:rPr>
        <w:lastRenderedPageBreak/>
        <w:t xml:space="preserve">Supplemental Table 4. Reasons for Study Withdrawal. </w:t>
      </w:r>
      <w:r>
        <w:rPr>
          <w:rFonts w:ascii="Arial" w:hAnsi="Arial" w:cs="Arial"/>
        </w:rPr>
        <w:t xml:space="preserve">A description of the reasons for study withdrawal prior to trial completion (n = 11). </w:t>
      </w:r>
    </w:p>
    <w:tbl>
      <w:tblPr>
        <w:tblStyle w:val="TableGrid"/>
        <w:tblW w:w="0" w:type="auto"/>
        <w:tblLook w:val="04A0" w:firstRow="1" w:lastRow="0" w:firstColumn="1" w:lastColumn="0" w:noHBand="0" w:noVBand="1"/>
      </w:tblPr>
      <w:tblGrid>
        <w:gridCol w:w="1435"/>
        <w:gridCol w:w="2700"/>
        <w:gridCol w:w="5215"/>
      </w:tblGrid>
      <w:tr w:rsidR="00AF58BB" w14:paraId="5BCF1714" w14:textId="77777777" w:rsidTr="00AF58BB">
        <w:tc>
          <w:tcPr>
            <w:tcW w:w="1435" w:type="dxa"/>
          </w:tcPr>
          <w:p w14:paraId="3ED1F644" w14:textId="70F77187" w:rsidR="00AF58BB" w:rsidRDefault="00AF58BB" w:rsidP="005E0B04">
            <w:pPr>
              <w:rPr>
                <w:rFonts w:ascii="Arial" w:hAnsi="Arial" w:cs="Arial"/>
                <w:b/>
                <w:bCs/>
              </w:rPr>
            </w:pPr>
            <w:r>
              <w:rPr>
                <w:rFonts w:ascii="Arial" w:hAnsi="Arial" w:cs="Arial"/>
                <w:b/>
                <w:bCs/>
              </w:rPr>
              <w:t>Patient</w:t>
            </w:r>
          </w:p>
        </w:tc>
        <w:tc>
          <w:tcPr>
            <w:tcW w:w="2700" w:type="dxa"/>
          </w:tcPr>
          <w:p w14:paraId="17E174D5" w14:textId="714EE74D" w:rsidR="00AF58BB" w:rsidRDefault="00AF58BB" w:rsidP="005E0B04">
            <w:pPr>
              <w:rPr>
                <w:rFonts w:ascii="Arial" w:hAnsi="Arial" w:cs="Arial"/>
                <w:b/>
                <w:bCs/>
              </w:rPr>
            </w:pPr>
            <w:r>
              <w:rPr>
                <w:rFonts w:ascii="Arial" w:hAnsi="Arial" w:cs="Arial"/>
                <w:b/>
                <w:bCs/>
              </w:rPr>
              <w:t>Reason</w:t>
            </w:r>
          </w:p>
        </w:tc>
        <w:tc>
          <w:tcPr>
            <w:tcW w:w="5215" w:type="dxa"/>
          </w:tcPr>
          <w:p w14:paraId="3F4BD8F5" w14:textId="7B0186CD" w:rsidR="00AF58BB" w:rsidRDefault="00AF58BB" w:rsidP="005E0B04">
            <w:pPr>
              <w:rPr>
                <w:rFonts w:ascii="Arial" w:hAnsi="Arial" w:cs="Arial"/>
                <w:b/>
                <w:bCs/>
              </w:rPr>
            </w:pPr>
            <w:r>
              <w:rPr>
                <w:rFonts w:ascii="Arial" w:hAnsi="Arial" w:cs="Arial"/>
                <w:b/>
                <w:bCs/>
              </w:rPr>
              <w:t>Details</w:t>
            </w:r>
          </w:p>
        </w:tc>
      </w:tr>
      <w:tr w:rsidR="00AF58BB" w14:paraId="1349474E" w14:textId="77777777" w:rsidTr="00AF58BB">
        <w:tc>
          <w:tcPr>
            <w:tcW w:w="1435" w:type="dxa"/>
          </w:tcPr>
          <w:p w14:paraId="32B53F92" w14:textId="35DF5B8A" w:rsidR="00AF58BB" w:rsidRPr="00AF58BB" w:rsidRDefault="00AF58BB" w:rsidP="005E0B04">
            <w:pPr>
              <w:rPr>
                <w:rFonts w:ascii="Arial" w:hAnsi="Arial" w:cs="Arial"/>
              </w:rPr>
            </w:pPr>
            <w:r w:rsidRPr="00AF58BB">
              <w:rPr>
                <w:rFonts w:ascii="Arial" w:hAnsi="Arial" w:cs="Arial"/>
              </w:rPr>
              <w:t>1</w:t>
            </w:r>
          </w:p>
        </w:tc>
        <w:tc>
          <w:tcPr>
            <w:tcW w:w="2700" w:type="dxa"/>
          </w:tcPr>
          <w:p w14:paraId="6E548DB1" w14:textId="1F90AEF8" w:rsidR="00AF58BB" w:rsidRPr="00AF58BB" w:rsidRDefault="00AF58BB" w:rsidP="005E0B04">
            <w:pPr>
              <w:rPr>
                <w:rFonts w:ascii="Arial" w:hAnsi="Arial" w:cs="Arial"/>
              </w:rPr>
            </w:pPr>
            <w:r w:rsidRPr="00AF58BB">
              <w:rPr>
                <w:rFonts w:ascii="Arial" w:hAnsi="Arial" w:cs="Arial"/>
              </w:rPr>
              <w:t>Patient discretion</w:t>
            </w:r>
          </w:p>
        </w:tc>
        <w:tc>
          <w:tcPr>
            <w:tcW w:w="5215" w:type="dxa"/>
          </w:tcPr>
          <w:p w14:paraId="3CCCAE58" w14:textId="1F2E7278" w:rsidR="00AF58BB" w:rsidRPr="00AF58BB" w:rsidRDefault="00AF58BB" w:rsidP="005E0B04">
            <w:pPr>
              <w:rPr>
                <w:rFonts w:ascii="Arial" w:hAnsi="Arial" w:cs="Arial"/>
              </w:rPr>
            </w:pPr>
            <w:r>
              <w:rPr>
                <w:rFonts w:ascii="Arial" w:hAnsi="Arial" w:cs="Arial"/>
              </w:rPr>
              <w:t>Felt to be ineffective</w:t>
            </w:r>
          </w:p>
        </w:tc>
      </w:tr>
      <w:tr w:rsidR="00AF58BB" w14:paraId="3804B077" w14:textId="77777777" w:rsidTr="00AF58BB">
        <w:tc>
          <w:tcPr>
            <w:tcW w:w="1435" w:type="dxa"/>
          </w:tcPr>
          <w:p w14:paraId="7D412CEF" w14:textId="54C787D6" w:rsidR="00AF58BB" w:rsidRPr="00AF58BB" w:rsidRDefault="00AF58BB" w:rsidP="00AF58BB">
            <w:pPr>
              <w:rPr>
                <w:rFonts w:ascii="Arial" w:hAnsi="Arial" w:cs="Arial"/>
              </w:rPr>
            </w:pPr>
            <w:r w:rsidRPr="00AF58BB">
              <w:rPr>
                <w:rFonts w:ascii="Arial" w:hAnsi="Arial" w:cs="Arial"/>
              </w:rPr>
              <w:t>2</w:t>
            </w:r>
          </w:p>
        </w:tc>
        <w:tc>
          <w:tcPr>
            <w:tcW w:w="2700" w:type="dxa"/>
          </w:tcPr>
          <w:p w14:paraId="4865D678" w14:textId="25EBF50D" w:rsidR="00AF58BB" w:rsidRPr="00AF58BB" w:rsidRDefault="00AF58BB" w:rsidP="00AF58BB">
            <w:pPr>
              <w:rPr>
                <w:rFonts w:ascii="Arial" w:hAnsi="Arial" w:cs="Arial"/>
              </w:rPr>
            </w:pPr>
            <w:r w:rsidRPr="00AF58BB">
              <w:rPr>
                <w:rFonts w:ascii="Arial" w:hAnsi="Arial" w:cs="Arial"/>
              </w:rPr>
              <w:t>Patient discretion</w:t>
            </w:r>
          </w:p>
        </w:tc>
        <w:tc>
          <w:tcPr>
            <w:tcW w:w="5215" w:type="dxa"/>
          </w:tcPr>
          <w:p w14:paraId="05E18700" w14:textId="07D90661" w:rsidR="00AF58BB" w:rsidRPr="00AF58BB" w:rsidRDefault="00AF58BB" w:rsidP="00AF58BB">
            <w:pPr>
              <w:rPr>
                <w:rFonts w:ascii="Arial" w:hAnsi="Arial" w:cs="Arial"/>
              </w:rPr>
            </w:pPr>
            <w:r>
              <w:rPr>
                <w:rFonts w:ascii="Arial" w:hAnsi="Arial" w:cs="Arial"/>
              </w:rPr>
              <w:t>Felt to be ineffective</w:t>
            </w:r>
          </w:p>
        </w:tc>
      </w:tr>
      <w:tr w:rsidR="00AF58BB" w14:paraId="6999944C" w14:textId="77777777" w:rsidTr="00AF58BB">
        <w:tc>
          <w:tcPr>
            <w:tcW w:w="1435" w:type="dxa"/>
          </w:tcPr>
          <w:p w14:paraId="26F2982E" w14:textId="05B2FA42" w:rsidR="00AF58BB" w:rsidRPr="00AF58BB" w:rsidRDefault="00AF58BB" w:rsidP="00AF58BB">
            <w:pPr>
              <w:rPr>
                <w:rFonts w:ascii="Arial" w:hAnsi="Arial" w:cs="Arial"/>
              </w:rPr>
            </w:pPr>
            <w:r w:rsidRPr="00AF58BB">
              <w:rPr>
                <w:rFonts w:ascii="Arial" w:hAnsi="Arial" w:cs="Arial"/>
              </w:rPr>
              <w:t>3</w:t>
            </w:r>
          </w:p>
        </w:tc>
        <w:tc>
          <w:tcPr>
            <w:tcW w:w="2700" w:type="dxa"/>
          </w:tcPr>
          <w:p w14:paraId="43C4D31C" w14:textId="4B360F65" w:rsidR="00AF58BB" w:rsidRPr="00AF58BB" w:rsidRDefault="00AF58BB" w:rsidP="00AF58BB">
            <w:pPr>
              <w:rPr>
                <w:rFonts w:ascii="Arial" w:hAnsi="Arial" w:cs="Arial"/>
              </w:rPr>
            </w:pPr>
            <w:r w:rsidRPr="00AF58BB">
              <w:rPr>
                <w:rFonts w:ascii="Arial" w:hAnsi="Arial" w:cs="Arial"/>
              </w:rPr>
              <w:t>Patient discretion</w:t>
            </w:r>
          </w:p>
        </w:tc>
        <w:tc>
          <w:tcPr>
            <w:tcW w:w="5215" w:type="dxa"/>
          </w:tcPr>
          <w:p w14:paraId="70E3AE10" w14:textId="217F1EA2" w:rsidR="00AF58BB" w:rsidRPr="00AF58BB" w:rsidRDefault="00AF58BB" w:rsidP="00AF58BB">
            <w:pPr>
              <w:rPr>
                <w:rFonts w:ascii="Arial" w:hAnsi="Arial" w:cs="Arial"/>
              </w:rPr>
            </w:pPr>
            <w:r>
              <w:rPr>
                <w:rFonts w:ascii="Arial" w:hAnsi="Arial" w:cs="Arial"/>
              </w:rPr>
              <w:t>Felt to be ineffective</w:t>
            </w:r>
          </w:p>
        </w:tc>
      </w:tr>
      <w:tr w:rsidR="00AF58BB" w14:paraId="5C4BA2F5" w14:textId="77777777" w:rsidTr="00AF58BB">
        <w:tc>
          <w:tcPr>
            <w:tcW w:w="1435" w:type="dxa"/>
          </w:tcPr>
          <w:p w14:paraId="43DB0472" w14:textId="3E375D77" w:rsidR="00AF58BB" w:rsidRPr="00AF58BB" w:rsidRDefault="00AF58BB" w:rsidP="00AF58BB">
            <w:pPr>
              <w:rPr>
                <w:rFonts w:ascii="Arial" w:hAnsi="Arial" w:cs="Arial"/>
              </w:rPr>
            </w:pPr>
            <w:r w:rsidRPr="00AF58BB">
              <w:rPr>
                <w:rFonts w:ascii="Arial" w:hAnsi="Arial" w:cs="Arial"/>
              </w:rPr>
              <w:t>4</w:t>
            </w:r>
          </w:p>
        </w:tc>
        <w:tc>
          <w:tcPr>
            <w:tcW w:w="2700" w:type="dxa"/>
          </w:tcPr>
          <w:p w14:paraId="44466547" w14:textId="73A9CA75" w:rsidR="00AF58BB" w:rsidRPr="00AF58BB" w:rsidRDefault="00AF58BB" w:rsidP="00AF58BB">
            <w:pPr>
              <w:rPr>
                <w:rFonts w:ascii="Arial" w:hAnsi="Arial" w:cs="Arial"/>
              </w:rPr>
            </w:pPr>
            <w:r w:rsidRPr="00AF58BB">
              <w:rPr>
                <w:rFonts w:ascii="Arial" w:hAnsi="Arial" w:cs="Arial"/>
              </w:rPr>
              <w:t>Patient discretion</w:t>
            </w:r>
          </w:p>
        </w:tc>
        <w:tc>
          <w:tcPr>
            <w:tcW w:w="5215" w:type="dxa"/>
          </w:tcPr>
          <w:p w14:paraId="5BA822CB" w14:textId="6DBF6FAD" w:rsidR="00AF58BB" w:rsidRPr="00AF58BB" w:rsidRDefault="00AF58BB" w:rsidP="00AF58BB">
            <w:pPr>
              <w:rPr>
                <w:rFonts w:ascii="Arial" w:hAnsi="Arial" w:cs="Arial"/>
              </w:rPr>
            </w:pPr>
            <w:r>
              <w:rPr>
                <w:rFonts w:ascii="Arial" w:hAnsi="Arial" w:cs="Arial"/>
              </w:rPr>
              <w:t>Felt to be ineffective</w:t>
            </w:r>
          </w:p>
        </w:tc>
      </w:tr>
      <w:tr w:rsidR="00AF58BB" w14:paraId="5F4CCDC4" w14:textId="77777777" w:rsidTr="00AF58BB">
        <w:tc>
          <w:tcPr>
            <w:tcW w:w="1435" w:type="dxa"/>
          </w:tcPr>
          <w:p w14:paraId="5CB76958" w14:textId="6D096D81" w:rsidR="00AF58BB" w:rsidRPr="00AF58BB" w:rsidRDefault="00AF58BB" w:rsidP="00AF58BB">
            <w:pPr>
              <w:rPr>
                <w:rFonts w:ascii="Arial" w:hAnsi="Arial" w:cs="Arial"/>
              </w:rPr>
            </w:pPr>
            <w:r w:rsidRPr="00AF58BB">
              <w:rPr>
                <w:rFonts w:ascii="Arial" w:hAnsi="Arial" w:cs="Arial"/>
              </w:rPr>
              <w:t>5</w:t>
            </w:r>
          </w:p>
        </w:tc>
        <w:tc>
          <w:tcPr>
            <w:tcW w:w="2700" w:type="dxa"/>
          </w:tcPr>
          <w:p w14:paraId="035134BB" w14:textId="0D71A52C" w:rsidR="00AF58BB" w:rsidRPr="00AF58BB" w:rsidRDefault="00AF58BB" w:rsidP="00AF58BB">
            <w:pPr>
              <w:rPr>
                <w:rFonts w:ascii="Arial" w:hAnsi="Arial" w:cs="Arial"/>
              </w:rPr>
            </w:pPr>
            <w:r w:rsidRPr="00AF58BB">
              <w:rPr>
                <w:rFonts w:ascii="Arial" w:hAnsi="Arial" w:cs="Arial"/>
              </w:rPr>
              <w:t>Patient discretion</w:t>
            </w:r>
          </w:p>
        </w:tc>
        <w:tc>
          <w:tcPr>
            <w:tcW w:w="5215" w:type="dxa"/>
          </w:tcPr>
          <w:p w14:paraId="5D60A2A7" w14:textId="2052D9B3" w:rsidR="00AF58BB" w:rsidRPr="00AF58BB" w:rsidRDefault="00AF58BB" w:rsidP="00AF58BB">
            <w:pPr>
              <w:rPr>
                <w:rFonts w:ascii="Arial" w:hAnsi="Arial" w:cs="Arial"/>
              </w:rPr>
            </w:pPr>
            <w:r>
              <w:rPr>
                <w:rFonts w:ascii="Arial" w:hAnsi="Arial" w:cs="Arial"/>
              </w:rPr>
              <w:t>Felt to be ineffective</w:t>
            </w:r>
          </w:p>
        </w:tc>
      </w:tr>
      <w:tr w:rsidR="00AF58BB" w14:paraId="2A3F44EA" w14:textId="77777777" w:rsidTr="00AF58BB">
        <w:tc>
          <w:tcPr>
            <w:tcW w:w="1435" w:type="dxa"/>
          </w:tcPr>
          <w:p w14:paraId="207EB4AB" w14:textId="1DBACE73" w:rsidR="00AF58BB" w:rsidRPr="00AF58BB" w:rsidRDefault="00AF58BB" w:rsidP="00AF58BB">
            <w:pPr>
              <w:rPr>
                <w:rFonts w:ascii="Arial" w:hAnsi="Arial" w:cs="Arial"/>
              </w:rPr>
            </w:pPr>
            <w:r w:rsidRPr="00AF58BB">
              <w:rPr>
                <w:rFonts w:ascii="Arial" w:hAnsi="Arial" w:cs="Arial"/>
              </w:rPr>
              <w:t>6</w:t>
            </w:r>
          </w:p>
        </w:tc>
        <w:tc>
          <w:tcPr>
            <w:tcW w:w="2700" w:type="dxa"/>
          </w:tcPr>
          <w:p w14:paraId="37E5BD24" w14:textId="2DDC5C5A" w:rsidR="00AF58BB" w:rsidRPr="00AF58BB" w:rsidRDefault="00AF58BB" w:rsidP="00AF58BB">
            <w:pPr>
              <w:rPr>
                <w:rFonts w:ascii="Arial" w:hAnsi="Arial" w:cs="Arial"/>
              </w:rPr>
            </w:pPr>
            <w:r w:rsidRPr="00AF58BB">
              <w:rPr>
                <w:rFonts w:ascii="Arial" w:hAnsi="Arial" w:cs="Arial"/>
              </w:rPr>
              <w:t>Patient discretion</w:t>
            </w:r>
          </w:p>
        </w:tc>
        <w:tc>
          <w:tcPr>
            <w:tcW w:w="5215" w:type="dxa"/>
          </w:tcPr>
          <w:p w14:paraId="0395F0B0" w14:textId="3FD00B1A" w:rsidR="00AF58BB" w:rsidRPr="00AF58BB" w:rsidRDefault="00AF58BB" w:rsidP="00AF58BB">
            <w:pPr>
              <w:rPr>
                <w:rFonts w:ascii="Arial" w:hAnsi="Arial" w:cs="Arial"/>
              </w:rPr>
            </w:pPr>
            <w:r>
              <w:rPr>
                <w:rFonts w:ascii="Arial" w:hAnsi="Arial" w:cs="Arial"/>
              </w:rPr>
              <w:t>Worsening of AIMSS symptoms</w:t>
            </w:r>
          </w:p>
        </w:tc>
      </w:tr>
      <w:tr w:rsidR="00AF58BB" w14:paraId="28EAD19E" w14:textId="77777777" w:rsidTr="00AF58BB">
        <w:tc>
          <w:tcPr>
            <w:tcW w:w="1435" w:type="dxa"/>
          </w:tcPr>
          <w:p w14:paraId="58438898" w14:textId="228ECA80" w:rsidR="00AF58BB" w:rsidRPr="00AF58BB" w:rsidRDefault="00AF58BB" w:rsidP="00AF58BB">
            <w:pPr>
              <w:rPr>
                <w:rFonts w:ascii="Arial" w:hAnsi="Arial" w:cs="Arial"/>
              </w:rPr>
            </w:pPr>
            <w:r w:rsidRPr="00AF58BB">
              <w:rPr>
                <w:rFonts w:ascii="Arial" w:hAnsi="Arial" w:cs="Arial"/>
              </w:rPr>
              <w:t>7</w:t>
            </w:r>
          </w:p>
        </w:tc>
        <w:tc>
          <w:tcPr>
            <w:tcW w:w="2700" w:type="dxa"/>
          </w:tcPr>
          <w:p w14:paraId="31DC02EA" w14:textId="0D3E1E61" w:rsidR="00AF58BB" w:rsidRPr="00AF58BB" w:rsidRDefault="00AF58BB" w:rsidP="00AF58BB">
            <w:pPr>
              <w:rPr>
                <w:rFonts w:ascii="Arial" w:hAnsi="Arial" w:cs="Arial"/>
              </w:rPr>
            </w:pPr>
            <w:r w:rsidRPr="00AF58BB">
              <w:rPr>
                <w:rFonts w:ascii="Arial" w:hAnsi="Arial" w:cs="Arial"/>
              </w:rPr>
              <w:t>Adverse event</w:t>
            </w:r>
          </w:p>
        </w:tc>
        <w:tc>
          <w:tcPr>
            <w:tcW w:w="5215" w:type="dxa"/>
          </w:tcPr>
          <w:p w14:paraId="6068A0B9" w14:textId="3F9C4525" w:rsidR="00AF58BB" w:rsidRPr="00AF58BB" w:rsidRDefault="00AF58BB" w:rsidP="00AF58BB">
            <w:pPr>
              <w:rPr>
                <w:rFonts w:ascii="Arial" w:hAnsi="Arial" w:cs="Arial"/>
              </w:rPr>
            </w:pPr>
            <w:r>
              <w:rPr>
                <w:rFonts w:ascii="Arial" w:hAnsi="Arial" w:cs="Arial"/>
              </w:rPr>
              <w:t>Grade 1 fatigue</w:t>
            </w:r>
          </w:p>
        </w:tc>
      </w:tr>
      <w:tr w:rsidR="00AF58BB" w14:paraId="4320B49D" w14:textId="77777777" w:rsidTr="00AF58BB">
        <w:tc>
          <w:tcPr>
            <w:tcW w:w="1435" w:type="dxa"/>
          </w:tcPr>
          <w:p w14:paraId="261202AC" w14:textId="514DEB35" w:rsidR="00AF58BB" w:rsidRPr="00AF58BB" w:rsidRDefault="00AF58BB" w:rsidP="00AF58BB">
            <w:pPr>
              <w:rPr>
                <w:rFonts w:ascii="Arial" w:hAnsi="Arial" w:cs="Arial"/>
              </w:rPr>
            </w:pPr>
            <w:r w:rsidRPr="00AF58BB">
              <w:rPr>
                <w:rFonts w:ascii="Arial" w:hAnsi="Arial" w:cs="Arial"/>
              </w:rPr>
              <w:t>8</w:t>
            </w:r>
          </w:p>
        </w:tc>
        <w:tc>
          <w:tcPr>
            <w:tcW w:w="2700" w:type="dxa"/>
          </w:tcPr>
          <w:p w14:paraId="1BFD4CEA" w14:textId="7E76D170" w:rsidR="00AF58BB" w:rsidRPr="00AF58BB" w:rsidRDefault="00AF58BB" w:rsidP="00AF58BB">
            <w:pPr>
              <w:rPr>
                <w:rFonts w:ascii="Arial" w:hAnsi="Arial" w:cs="Arial"/>
              </w:rPr>
            </w:pPr>
            <w:r w:rsidRPr="00AF58BB">
              <w:rPr>
                <w:rFonts w:ascii="Arial" w:hAnsi="Arial" w:cs="Arial"/>
              </w:rPr>
              <w:t>Adverse event</w:t>
            </w:r>
          </w:p>
        </w:tc>
        <w:tc>
          <w:tcPr>
            <w:tcW w:w="5215" w:type="dxa"/>
          </w:tcPr>
          <w:p w14:paraId="5F7C6AF9" w14:textId="3A665503" w:rsidR="00AF58BB" w:rsidRPr="00AF58BB" w:rsidRDefault="00AF58BB" w:rsidP="00AF58BB">
            <w:pPr>
              <w:rPr>
                <w:rFonts w:ascii="Arial" w:hAnsi="Arial" w:cs="Arial"/>
              </w:rPr>
            </w:pPr>
            <w:r>
              <w:rPr>
                <w:rFonts w:ascii="Arial" w:hAnsi="Arial" w:cs="Arial"/>
              </w:rPr>
              <w:t>Grade 2 neuropathy</w:t>
            </w:r>
          </w:p>
        </w:tc>
      </w:tr>
      <w:tr w:rsidR="00AF58BB" w14:paraId="0D06BA8B" w14:textId="77777777" w:rsidTr="00AF58BB">
        <w:tc>
          <w:tcPr>
            <w:tcW w:w="1435" w:type="dxa"/>
          </w:tcPr>
          <w:p w14:paraId="4290EEB5" w14:textId="35453D47" w:rsidR="00AF58BB" w:rsidRPr="00AF58BB" w:rsidRDefault="00AF58BB" w:rsidP="00AF58BB">
            <w:pPr>
              <w:rPr>
                <w:rFonts w:ascii="Arial" w:hAnsi="Arial" w:cs="Arial"/>
              </w:rPr>
            </w:pPr>
            <w:r w:rsidRPr="00AF58BB">
              <w:rPr>
                <w:rFonts w:ascii="Arial" w:hAnsi="Arial" w:cs="Arial"/>
              </w:rPr>
              <w:t>9</w:t>
            </w:r>
          </w:p>
        </w:tc>
        <w:tc>
          <w:tcPr>
            <w:tcW w:w="2700" w:type="dxa"/>
          </w:tcPr>
          <w:p w14:paraId="4D2260FB" w14:textId="332315BE" w:rsidR="00AF58BB" w:rsidRPr="00AF58BB" w:rsidRDefault="00AF58BB" w:rsidP="00AF58BB">
            <w:pPr>
              <w:rPr>
                <w:rFonts w:ascii="Arial" w:hAnsi="Arial" w:cs="Arial"/>
              </w:rPr>
            </w:pPr>
            <w:r w:rsidRPr="00AF58BB">
              <w:rPr>
                <w:rFonts w:ascii="Arial" w:hAnsi="Arial" w:cs="Arial"/>
              </w:rPr>
              <w:t>Adverse event</w:t>
            </w:r>
          </w:p>
        </w:tc>
        <w:tc>
          <w:tcPr>
            <w:tcW w:w="5215" w:type="dxa"/>
          </w:tcPr>
          <w:p w14:paraId="3AEF651C" w14:textId="13D2FBCE" w:rsidR="00AF58BB" w:rsidRPr="00AF58BB" w:rsidRDefault="00AF58BB" w:rsidP="00AF58BB">
            <w:pPr>
              <w:rPr>
                <w:rFonts w:ascii="Arial" w:hAnsi="Arial" w:cs="Arial"/>
              </w:rPr>
            </w:pPr>
            <w:r>
              <w:rPr>
                <w:rFonts w:ascii="Arial" w:hAnsi="Arial" w:cs="Arial"/>
              </w:rPr>
              <w:t>Grade 2 rash</w:t>
            </w:r>
          </w:p>
        </w:tc>
      </w:tr>
      <w:tr w:rsidR="00AF58BB" w14:paraId="4F4C5130" w14:textId="77777777" w:rsidTr="00AF58BB">
        <w:tc>
          <w:tcPr>
            <w:tcW w:w="1435" w:type="dxa"/>
          </w:tcPr>
          <w:p w14:paraId="08050FF9" w14:textId="5F8835BA" w:rsidR="00AF58BB" w:rsidRPr="00AF58BB" w:rsidRDefault="00AF58BB" w:rsidP="00AF58BB">
            <w:pPr>
              <w:rPr>
                <w:rFonts w:ascii="Arial" w:hAnsi="Arial" w:cs="Arial"/>
              </w:rPr>
            </w:pPr>
            <w:r w:rsidRPr="00AF58BB">
              <w:rPr>
                <w:rFonts w:ascii="Arial" w:hAnsi="Arial" w:cs="Arial"/>
              </w:rPr>
              <w:t>10</w:t>
            </w:r>
          </w:p>
        </w:tc>
        <w:tc>
          <w:tcPr>
            <w:tcW w:w="2700" w:type="dxa"/>
          </w:tcPr>
          <w:p w14:paraId="454284DF" w14:textId="19506D82" w:rsidR="00AF58BB" w:rsidRPr="00AF58BB" w:rsidRDefault="00AF58BB" w:rsidP="00AF58BB">
            <w:pPr>
              <w:rPr>
                <w:rFonts w:ascii="Arial" w:hAnsi="Arial" w:cs="Arial"/>
              </w:rPr>
            </w:pPr>
            <w:r w:rsidRPr="00AF58BB">
              <w:rPr>
                <w:rFonts w:ascii="Arial" w:hAnsi="Arial" w:cs="Arial"/>
              </w:rPr>
              <w:t>Adverse event</w:t>
            </w:r>
          </w:p>
        </w:tc>
        <w:tc>
          <w:tcPr>
            <w:tcW w:w="5215" w:type="dxa"/>
          </w:tcPr>
          <w:p w14:paraId="23F02872" w14:textId="742CC3F1" w:rsidR="00AF58BB" w:rsidRPr="00AF58BB" w:rsidRDefault="00AF58BB" w:rsidP="00AF58BB">
            <w:pPr>
              <w:rPr>
                <w:rFonts w:ascii="Arial" w:hAnsi="Arial" w:cs="Arial"/>
              </w:rPr>
            </w:pPr>
            <w:r>
              <w:rPr>
                <w:rFonts w:ascii="Arial" w:hAnsi="Arial" w:cs="Arial"/>
              </w:rPr>
              <w:t>Grade 2 agitation</w:t>
            </w:r>
          </w:p>
        </w:tc>
      </w:tr>
      <w:tr w:rsidR="00AF58BB" w14:paraId="78AE49B0" w14:textId="77777777" w:rsidTr="00AF58BB">
        <w:tc>
          <w:tcPr>
            <w:tcW w:w="1435" w:type="dxa"/>
          </w:tcPr>
          <w:p w14:paraId="1B317251" w14:textId="2192B2C2" w:rsidR="00AF58BB" w:rsidRPr="00AF58BB" w:rsidRDefault="00AF58BB" w:rsidP="00AF58BB">
            <w:pPr>
              <w:rPr>
                <w:rFonts w:ascii="Arial" w:hAnsi="Arial" w:cs="Arial"/>
              </w:rPr>
            </w:pPr>
            <w:r w:rsidRPr="00AF58BB">
              <w:rPr>
                <w:rFonts w:ascii="Arial" w:hAnsi="Arial" w:cs="Arial"/>
              </w:rPr>
              <w:t>11</w:t>
            </w:r>
          </w:p>
        </w:tc>
        <w:tc>
          <w:tcPr>
            <w:tcW w:w="2700" w:type="dxa"/>
          </w:tcPr>
          <w:p w14:paraId="52FB53C8" w14:textId="6C5096BF" w:rsidR="00AF58BB" w:rsidRPr="00AF58BB" w:rsidRDefault="00AF58BB" w:rsidP="00AF58BB">
            <w:pPr>
              <w:rPr>
                <w:rFonts w:ascii="Arial" w:hAnsi="Arial" w:cs="Arial"/>
              </w:rPr>
            </w:pPr>
            <w:r w:rsidRPr="00AF58BB">
              <w:rPr>
                <w:rFonts w:ascii="Arial" w:hAnsi="Arial" w:cs="Arial"/>
              </w:rPr>
              <w:t>Adverse event</w:t>
            </w:r>
          </w:p>
        </w:tc>
        <w:tc>
          <w:tcPr>
            <w:tcW w:w="5215" w:type="dxa"/>
          </w:tcPr>
          <w:p w14:paraId="0ECA0F01" w14:textId="0986C40A" w:rsidR="00AF58BB" w:rsidRPr="00AF58BB" w:rsidRDefault="00AF58BB" w:rsidP="00AF58BB">
            <w:pPr>
              <w:rPr>
                <w:rFonts w:ascii="Arial" w:hAnsi="Arial" w:cs="Arial"/>
              </w:rPr>
            </w:pPr>
            <w:r>
              <w:rPr>
                <w:rFonts w:ascii="Arial" w:hAnsi="Arial" w:cs="Arial"/>
              </w:rPr>
              <w:t>Grade 1 dizziness, grade 1 stomach pain</w:t>
            </w:r>
          </w:p>
        </w:tc>
      </w:tr>
    </w:tbl>
    <w:p w14:paraId="1E351DC8" w14:textId="1E42AA78" w:rsidR="005E0B04" w:rsidRDefault="005E0B04" w:rsidP="005E0B04">
      <w:pPr>
        <w:rPr>
          <w:rFonts w:ascii="Arial" w:hAnsi="Arial" w:cs="Arial"/>
          <w:b/>
          <w:bCs/>
        </w:rPr>
      </w:pPr>
      <w:r>
        <w:rPr>
          <w:rFonts w:ascii="Arial" w:hAnsi="Arial" w:cs="Arial"/>
          <w:b/>
          <w:bCs/>
        </w:rPr>
        <w:br w:type="page"/>
      </w:r>
    </w:p>
    <w:p w14:paraId="76C44204" w14:textId="77777777" w:rsidR="005E0B04" w:rsidRPr="009E0391" w:rsidRDefault="005E0B04" w:rsidP="005E0B04">
      <w:pPr>
        <w:rPr>
          <w:rFonts w:ascii="Arial" w:hAnsi="Arial" w:cs="Arial"/>
          <w:b/>
          <w:bCs/>
        </w:rPr>
      </w:pPr>
      <w:r w:rsidRPr="009E0391">
        <w:rPr>
          <w:rFonts w:ascii="Arial" w:hAnsi="Arial" w:cs="Arial"/>
          <w:b/>
          <w:bCs/>
        </w:rPr>
        <w:lastRenderedPageBreak/>
        <w:t>Supplemental Figure 1. Study Calendar</w:t>
      </w:r>
    </w:p>
    <w:p w14:paraId="622594C7" w14:textId="77777777" w:rsidR="005E0B04" w:rsidRDefault="005E0B04" w:rsidP="005E0B04">
      <w:pPr>
        <w:rPr>
          <w:rFonts w:ascii="Arial" w:hAnsi="Arial" w:cs="Arial"/>
          <w:b/>
          <w:bCs/>
        </w:rPr>
      </w:pPr>
      <w:r w:rsidRPr="005D1F21">
        <w:rPr>
          <w:rFonts w:ascii="Arial" w:hAnsi="Arial" w:cs="Arial"/>
          <w:b/>
          <w:bCs/>
          <w:noProof/>
        </w:rPr>
        <w:drawing>
          <wp:inline distT="0" distB="0" distL="0" distR="0" wp14:anchorId="589ED9C3" wp14:editId="6114EDD2">
            <wp:extent cx="5943600" cy="3183890"/>
            <wp:effectExtent l="0" t="0" r="0" b="0"/>
            <wp:docPr id="762150962"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50962" name="Picture 1" descr="A white sheet with black text&#10;&#10;Description automatically generated"/>
                    <pic:cNvPicPr/>
                  </pic:nvPicPr>
                  <pic:blipFill>
                    <a:blip r:embed="rId5"/>
                    <a:stretch>
                      <a:fillRect/>
                    </a:stretch>
                  </pic:blipFill>
                  <pic:spPr>
                    <a:xfrm>
                      <a:off x="0" y="0"/>
                      <a:ext cx="5943600" cy="3183890"/>
                    </a:xfrm>
                    <a:prstGeom prst="rect">
                      <a:avLst/>
                    </a:prstGeom>
                  </pic:spPr>
                </pic:pic>
              </a:graphicData>
            </a:graphic>
          </wp:inline>
        </w:drawing>
      </w:r>
      <w:r w:rsidRPr="000535C6">
        <w:rPr>
          <w:rFonts w:ascii="Arial" w:hAnsi="Arial" w:cs="Arial"/>
          <w:b/>
          <w:bCs/>
        </w:rPr>
        <w:t xml:space="preserve"> </w:t>
      </w:r>
      <w:r>
        <w:rPr>
          <w:rFonts w:ascii="Arial" w:hAnsi="Arial" w:cs="Arial"/>
          <w:b/>
          <w:bCs/>
        </w:rPr>
        <w:br w:type="page"/>
      </w:r>
    </w:p>
    <w:p w14:paraId="56C983E9" w14:textId="77777777" w:rsidR="005E0B04" w:rsidRPr="002542D7" w:rsidRDefault="005E0B04" w:rsidP="005E0B04">
      <w:pPr>
        <w:rPr>
          <w:rFonts w:ascii="Arial" w:hAnsi="Arial" w:cs="Arial"/>
          <w:b/>
          <w:bCs/>
        </w:rPr>
      </w:pPr>
      <w:r w:rsidRPr="002542D7">
        <w:rPr>
          <w:rFonts w:ascii="Arial" w:hAnsi="Arial" w:cs="Arial"/>
          <w:b/>
          <w:bCs/>
        </w:rPr>
        <w:lastRenderedPageBreak/>
        <w:t>Supplemental Figure 2. Missing data.</w:t>
      </w:r>
      <w:r>
        <w:rPr>
          <w:rFonts w:ascii="Arial" w:hAnsi="Arial" w:cs="Arial"/>
          <w:b/>
          <w:bCs/>
        </w:rPr>
        <w:t xml:space="preserve"> </w:t>
      </w:r>
      <w:r>
        <w:rPr>
          <w:rFonts w:ascii="Arial" w:hAnsi="Arial" w:cs="Arial"/>
        </w:rPr>
        <w:t>Data should have been collected at 10 time points between baseline and week 15 for the 39 patients (= 390 time points). Across all participants, data were not collected at 46 time points (missing 11.8% of data overall). For participants who completed the study (n = 28, 280 expected time points), data were missing for only 10 time points (3.6%).</w:t>
      </w:r>
    </w:p>
    <w:p w14:paraId="0BD677E3" w14:textId="77777777" w:rsidR="005E0B04" w:rsidRDefault="005E0B04" w:rsidP="005E0B04">
      <w:pPr>
        <w:rPr>
          <w:rFonts w:ascii="Arial" w:hAnsi="Arial" w:cs="Arial"/>
        </w:rPr>
      </w:pPr>
      <w:r w:rsidRPr="00E26657">
        <w:rPr>
          <w:rFonts w:ascii="Arial" w:hAnsi="Arial" w:cs="Arial"/>
          <w:noProof/>
        </w:rPr>
        <w:drawing>
          <wp:inline distT="0" distB="0" distL="0" distR="0" wp14:anchorId="7AF48546" wp14:editId="11A9D587">
            <wp:extent cx="5943600" cy="4891405"/>
            <wp:effectExtent l="0" t="0" r="0" b="4445"/>
            <wp:docPr id="1548452526" name="Picture 6"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52526" name="Picture 6" descr="A graph of a number of patient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4891405"/>
                    </a:xfrm>
                    <a:prstGeom prst="rect">
                      <a:avLst/>
                    </a:prstGeom>
                    <a:noFill/>
                    <a:ln>
                      <a:noFill/>
                    </a:ln>
                  </pic:spPr>
                </pic:pic>
              </a:graphicData>
            </a:graphic>
          </wp:inline>
        </w:drawing>
      </w:r>
    </w:p>
    <w:p w14:paraId="3DC1E4B4" w14:textId="77777777" w:rsidR="005E0B04" w:rsidRDefault="005E0B04" w:rsidP="005E0B04">
      <w:pPr>
        <w:rPr>
          <w:rFonts w:ascii="Arial" w:hAnsi="Arial" w:cs="Arial"/>
          <w:b/>
          <w:bCs/>
        </w:rPr>
      </w:pPr>
    </w:p>
    <w:p w14:paraId="526FB1CB" w14:textId="77777777" w:rsidR="005E0B04" w:rsidRDefault="005E0B04" w:rsidP="005E0B04">
      <w:pPr>
        <w:rPr>
          <w:rFonts w:ascii="Arial" w:hAnsi="Arial" w:cs="Arial"/>
          <w:b/>
          <w:bCs/>
        </w:rPr>
      </w:pPr>
    </w:p>
    <w:p w14:paraId="2204A1DF" w14:textId="77777777" w:rsidR="005E0B04" w:rsidRDefault="005E0B04" w:rsidP="005E0B04">
      <w:pPr>
        <w:rPr>
          <w:rFonts w:ascii="Arial" w:hAnsi="Arial" w:cs="Arial"/>
          <w:b/>
          <w:bCs/>
        </w:rPr>
      </w:pPr>
    </w:p>
    <w:p w14:paraId="26C2BBC9" w14:textId="77777777" w:rsidR="005E0B04" w:rsidRDefault="005E0B04" w:rsidP="005E0B04">
      <w:pPr>
        <w:rPr>
          <w:rFonts w:ascii="Arial" w:hAnsi="Arial" w:cs="Arial"/>
          <w:b/>
          <w:bCs/>
        </w:rPr>
      </w:pPr>
    </w:p>
    <w:p w14:paraId="17AAC458" w14:textId="77777777" w:rsidR="005E0B04" w:rsidRDefault="005E0B04" w:rsidP="005E0B04">
      <w:pPr>
        <w:rPr>
          <w:rFonts w:ascii="Arial" w:hAnsi="Arial" w:cs="Arial"/>
          <w:b/>
          <w:bCs/>
        </w:rPr>
      </w:pPr>
    </w:p>
    <w:p w14:paraId="0D3B31E6" w14:textId="77777777" w:rsidR="005E0B04" w:rsidRDefault="005E0B04" w:rsidP="005E0B04">
      <w:pPr>
        <w:rPr>
          <w:rFonts w:ascii="Arial" w:hAnsi="Arial" w:cs="Arial"/>
          <w:b/>
          <w:bCs/>
        </w:rPr>
      </w:pPr>
    </w:p>
    <w:p w14:paraId="32F5F46F" w14:textId="77777777" w:rsidR="005E0B04" w:rsidRDefault="005E0B04" w:rsidP="005E0B04">
      <w:pPr>
        <w:rPr>
          <w:rFonts w:ascii="Arial" w:hAnsi="Arial" w:cs="Arial"/>
          <w:b/>
          <w:bCs/>
        </w:rPr>
      </w:pPr>
    </w:p>
    <w:p w14:paraId="20AF22CA" w14:textId="77777777" w:rsidR="005E0B04" w:rsidRDefault="005E0B04" w:rsidP="005E0B04">
      <w:pPr>
        <w:rPr>
          <w:rFonts w:ascii="Arial" w:hAnsi="Arial" w:cs="Arial"/>
          <w:b/>
          <w:bCs/>
        </w:rPr>
      </w:pPr>
    </w:p>
    <w:p w14:paraId="79D65866" w14:textId="7338FA1D" w:rsidR="005E0B04" w:rsidRDefault="005E0B04" w:rsidP="005E0B04">
      <w:pPr>
        <w:rPr>
          <w:rFonts w:ascii="Arial" w:hAnsi="Arial" w:cs="Arial"/>
          <w:b/>
          <w:bCs/>
        </w:rPr>
      </w:pPr>
      <w:r>
        <w:rPr>
          <w:rFonts w:ascii="Arial" w:hAnsi="Arial" w:cs="Arial"/>
          <w:b/>
          <w:bCs/>
        </w:rPr>
        <w:lastRenderedPageBreak/>
        <w:t xml:space="preserve">Supplemental Figure </w:t>
      </w:r>
      <w:r w:rsidR="0003478F">
        <w:rPr>
          <w:rFonts w:ascii="Arial" w:hAnsi="Arial" w:cs="Arial"/>
          <w:b/>
          <w:bCs/>
        </w:rPr>
        <w:t>3</w:t>
      </w:r>
      <w:r>
        <w:rPr>
          <w:rFonts w:ascii="Arial" w:hAnsi="Arial" w:cs="Arial"/>
          <w:b/>
          <w:bCs/>
        </w:rPr>
        <w:t>. Correlation Between Difference in Unstimulated Cytokine Concentration from Baseline to Week 15 and Difference in Worst Pain from Baseline to Week 15.</w:t>
      </w:r>
      <w:r w:rsidRPr="0014202F">
        <w:rPr>
          <w:rFonts w:ascii="Arial" w:hAnsi="Arial" w:cs="Arial"/>
        </w:rPr>
        <w:t xml:space="preserve"> </w:t>
      </w:r>
      <w:r>
        <w:rPr>
          <w:rFonts w:ascii="Arial" w:hAnsi="Arial" w:cs="Arial"/>
        </w:rPr>
        <w:t>Y-axis r</w:t>
      </w:r>
      <w:r w:rsidRPr="0014202F">
        <w:rPr>
          <w:rFonts w:ascii="Arial" w:hAnsi="Arial" w:cs="Arial"/>
        </w:rPr>
        <w:t>epresent</w:t>
      </w:r>
      <w:r>
        <w:rPr>
          <w:rFonts w:ascii="Arial" w:hAnsi="Arial" w:cs="Arial"/>
        </w:rPr>
        <w:t>s</w:t>
      </w:r>
      <w:r w:rsidRPr="0014202F">
        <w:rPr>
          <w:rFonts w:ascii="Arial" w:hAnsi="Arial" w:cs="Arial"/>
        </w:rPr>
        <w:t xml:space="preserve"> the change in worst pain </w:t>
      </w:r>
      <w:r>
        <w:rPr>
          <w:rFonts w:ascii="Arial" w:hAnsi="Arial" w:cs="Arial"/>
        </w:rPr>
        <w:t>while X-axis represents the</w:t>
      </w:r>
      <w:r w:rsidRPr="0014202F">
        <w:rPr>
          <w:rFonts w:ascii="Arial" w:hAnsi="Arial" w:cs="Arial"/>
        </w:rPr>
        <w:t xml:space="preserve"> change in</w:t>
      </w:r>
      <w:r>
        <w:rPr>
          <w:rFonts w:ascii="Arial" w:hAnsi="Arial" w:cs="Arial"/>
        </w:rPr>
        <w:t xml:space="preserve"> cytokine concentration for</w:t>
      </w:r>
      <w:r w:rsidRPr="0014202F">
        <w:rPr>
          <w:rFonts w:ascii="Arial" w:hAnsi="Arial" w:cs="Arial"/>
        </w:rPr>
        <w:t xml:space="preserve"> </w:t>
      </w:r>
      <w:r>
        <w:rPr>
          <w:rFonts w:ascii="Arial" w:hAnsi="Arial" w:cs="Arial"/>
        </w:rPr>
        <w:t xml:space="preserve">(A) unstimulated IL-7 and (B) </w:t>
      </w:r>
      <w:r w:rsidRPr="0014202F">
        <w:rPr>
          <w:rFonts w:ascii="Arial" w:hAnsi="Arial" w:cs="Arial"/>
        </w:rPr>
        <w:t xml:space="preserve">unstimulated </w:t>
      </w:r>
      <w:r>
        <w:rPr>
          <w:rFonts w:ascii="Arial" w:hAnsi="Arial" w:cs="Arial"/>
        </w:rPr>
        <w:t xml:space="preserve">IL-25. R is the Spearman Correlation. Dotted red lines are drawn where the difference is 0. </w:t>
      </w:r>
    </w:p>
    <w:p w14:paraId="2F0A4A06" w14:textId="77777777" w:rsidR="005E0B04" w:rsidRPr="0014202F" w:rsidRDefault="005E0B04" w:rsidP="005E0B04">
      <w:pPr>
        <w:rPr>
          <w:rFonts w:ascii="Arial" w:hAnsi="Arial" w:cs="Arial"/>
        </w:rPr>
      </w:pPr>
      <w:r w:rsidRPr="0014202F">
        <w:rPr>
          <w:rFonts w:ascii="Arial" w:hAnsi="Arial" w:cs="Arial"/>
        </w:rPr>
        <w:t>A.</w:t>
      </w:r>
    </w:p>
    <w:p w14:paraId="38C6A385" w14:textId="77777777" w:rsidR="005E0B04" w:rsidRPr="0014202F" w:rsidRDefault="005E0B04" w:rsidP="005E0B04">
      <w:pPr>
        <w:rPr>
          <w:rFonts w:ascii="Arial" w:hAnsi="Arial" w:cs="Arial"/>
        </w:rPr>
      </w:pPr>
      <w:r>
        <w:rPr>
          <w:rFonts w:ascii="Arial" w:hAnsi="Arial" w:cs="Arial"/>
          <w:b/>
          <w:bCs/>
          <w:noProof/>
        </w:rPr>
        <mc:AlternateContent>
          <mc:Choice Requires="wps">
            <w:drawing>
              <wp:anchor distT="0" distB="0" distL="114300" distR="114300" simplePos="0" relativeHeight="251661312" behindDoc="0" locked="0" layoutInCell="1" allowOverlap="1" wp14:anchorId="3B7162B3" wp14:editId="07E451E2">
                <wp:simplePos x="0" y="0"/>
                <wp:positionH relativeFrom="column">
                  <wp:posOffset>2838450</wp:posOffset>
                </wp:positionH>
                <wp:positionV relativeFrom="paragraph">
                  <wp:posOffset>2766695</wp:posOffset>
                </wp:positionV>
                <wp:extent cx="314325" cy="161925"/>
                <wp:effectExtent l="0" t="0" r="9525" b="9525"/>
                <wp:wrapNone/>
                <wp:docPr id="956914525" name="Rectangle 2"/>
                <wp:cNvGraphicFramePr/>
                <a:graphic xmlns:a="http://schemas.openxmlformats.org/drawingml/2006/main">
                  <a:graphicData uri="http://schemas.microsoft.com/office/word/2010/wordprocessingShape">
                    <wps:wsp>
                      <wps:cNvSpPr/>
                      <wps:spPr>
                        <a:xfrm>
                          <a:off x="0" y="0"/>
                          <a:ext cx="314325" cy="1619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59D7144E" id="Rectangle 2" o:spid="_x0000_s1026" style="position:absolute;margin-left:223.5pt;margin-top:217.85pt;width:24.7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" fillcolor="white [3201]" stroked="f" strokeweight="1pt"/>
            </w:pict>
          </mc:Fallback>
        </mc:AlternateContent>
      </w:r>
      <w:r>
        <w:rPr>
          <w:rFonts w:ascii="Arial" w:hAnsi="Arial" w:cs="Arial"/>
          <w:b/>
          <w:bCs/>
        </w:rPr>
        <w:t xml:space="preserve"> </w:t>
      </w:r>
      <w:r w:rsidRPr="0014202F">
        <w:rPr>
          <w:rFonts w:ascii="Arial" w:hAnsi="Arial" w:cs="Arial"/>
          <w:b/>
          <w:bCs/>
          <w:noProof/>
        </w:rPr>
        <w:drawing>
          <wp:inline distT="0" distB="0" distL="0" distR="0" wp14:anchorId="5D26114F" wp14:editId="1872E51C">
            <wp:extent cx="4416551" cy="3000375"/>
            <wp:effectExtent l="0" t="0" r="3175" b="0"/>
            <wp:docPr id="1527085224" name="Picture 1" descr="A graph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85224" name="Picture 1" descr="A graph with a blue line&#10;&#10;Description automatically generated"/>
                    <pic:cNvPicPr/>
                  </pic:nvPicPr>
                  <pic:blipFill>
                    <a:blip r:embed="rId7"/>
                    <a:stretch>
                      <a:fillRect/>
                    </a:stretch>
                  </pic:blipFill>
                  <pic:spPr>
                    <a:xfrm>
                      <a:off x="0" y="0"/>
                      <a:ext cx="4423827" cy="3005318"/>
                    </a:xfrm>
                    <a:prstGeom prst="rect">
                      <a:avLst/>
                    </a:prstGeom>
                  </pic:spPr>
                </pic:pic>
              </a:graphicData>
            </a:graphic>
          </wp:inline>
        </w:drawing>
      </w:r>
    </w:p>
    <w:p w14:paraId="377BE8E7" w14:textId="77777777" w:rsidR="005E0B04" w:rsidRPr="0014202F" w:rsidRDefault="005E0B04" w:rsidP="005E0B04">
      <w:pPr>
        <w:rPr>
          <w:rFonts w:ascii="Arial" w:hAnsi="Arial" w:cs="Arial"/>
        </w:rPr>
      </w:pPr>
      <w:r w:rsidRPr="0014202F">
        <w:rPr>
          <w:rFonts w:ascii="Arial" w:hAnsi="Arial" w:cs="Arial"/>
          <w:noProof/>
        </w:rPr>
        <mc:AlternateContent>
          <mc:Choice Requires="wps">
            <w:drawing>
              <wp:anchor distT="0" distB="0" distL="114300" distR="114300" simplePos="0" relativeHeight="251659264" behindDoc="0" locked="0" layoutInCell="1" allowOverlap="1" wp14:anchorId="0ACC1BBF" wp14:editId="5351272E">
                <wp:simplePos x="0" y="0"/>
                <wp:positionH relativeFrom="column">
                  <wp:posOffset>6076950</wp:posOffset>
                </wp:positionH>
                <wp:positionV relativeFrom="paragraph">
                  <wp:posOffset>2452370</wp:posOffset>
                </wp:positionV>
                <wp:extent cx="361950" cy="161925"/>
                <wp:effectExtent l="0" t="0" r="0" b="9525"/>
                <wp:wrapNone/>
                <wp:docPr id="1072546848" name="Rectangle 1"/>
                <wp:cNvGraphicFramePr/>
                <a:graphic xmlns:a="http://schemas.openxmlformats.org/drawingml/2006/main">
                  <a:graphicData uri="http://schemas.microsoft.com/office/word/2010/wordprocessingShape">
                    <wps:wsp>
                      <wps:cNvSpPr/>
                      <wps:spPr>
                        <a:xfrm>
                          <a:off x="0" y="0"/>
                          <a:ext cx="361950" cy="1619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42E051C1" id="Rectangle 1" o:spid="_x0000_s1026" style="position:absolute;margin-left:478.5pt;margin-top:193.1pt;width:28.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" fillcolor="white [3201]" stroked="f" strokeweight="1pt"/>
            </w:pict>
          </mc:Fallback>
        </mc:AlternateContent>
      </w:r>
      <w:r w:rsidRPr="0014202F">
        <w:rPr>
          <w:rFonts w:ascii="Arial" w:hAnsi="Arial" w:cs="Arial"/>
        </w:rPr>
        <w:t>B.</w:t>
      </w:r>
    </w:p>
    <w:p w14:paraId="27A2B99D" w14:textId="77777777" w:rsidR="005E0B04" w:rsidRDefault="005E0B04" w:rsidP="005E0B04">
      <w:pPr>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6B5903C6" wp14:editId="50F2AAA1">
                <wp:simplePos x="0" y="0"/>
                <wp:positionH relativeFrom="column">
                  <wp:posOffset>3067050</wp:posOffset>
                </wp:positionH>
                <wp:positionV relativeFrom="paragraph">
                  <wp:posOffset>2720340</wp:posOffset>
                </wp:positionV>
                <wp:extent cx="314325" cy="161925"/>
                <wp:effectExtent l="0" t="0" r="9525" b="9525"/>
                <wp:wrapNone/>
                <wp:docPr id="1884987362" name="Rectangle 2"/>
                <wp:cNvGraphicFramePr/>
                <a:graphic xmlns:a="http://schemas.openxmlformats.org/drawingml/2006/main">
                  <a:graphicData uri="http://schemas.microsoft.com/office/word/2010/wordprocessingShape">
                    <wps:wsp>
                      <wps:cNvSpPr/>
                      <wps:spPr>
                        <a:xfrm>
                          <a:off x="0" y="0"/>
                          <a:ext cx="314325" cy="1619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1A70DB6A" id="Rectangle 2" o:spid="_x0000_s1026" style="position:absolute;margin-left:241.5pt;margin-top:214.2pt;width:24.7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" fillcolor="white [3201]" stroked="f" strokeweight="1pt"/>
            </w:pict>
          </mc:Fallback>
        </mc:AlternateContent>
      </w:r>
      <w:r w:rsidRPr="0014202F">
        <w:rPr>
          <w:rFonts w:ascii="Arial" w:hAnsi="Arial" w:cs="Arial"/>
          <w:b/>
          <w:bCs/>
          <w:noProof/>
        </w:rPr>
        <w:drawing>
          <wp:inline distT="0" distB="0" distL="0" distR="0" wp14:anchorId="0888CB51" wp14:editId="02EC9A54">
            <wp:extent cx="4381500" cy="3037732"/>
            <wp:effectExtent l="0" t="0" r="0" b="0"/>
            <wp:docPr id="610193729" name="Picture 1" descr="A graph with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3729" name="Picture 1" descr="A graph with a blue line&#10;&#10;Description automatically generated"/>
                    <pic:cNvPicPr/>
                  </pic:nvPicPr>
                  <pic:blipFill>
                    <a:blip r:embed="rId8"/>
                    <a:stretch>
                      <a:fillRect/>
                    </a:stretch>
                  </pic:blipFill>
                  <pic:spPr>
                    <a:xfrm>
                      <a:off x="0" y="0"/>
                      <a:ext cx="4394204" cy="3046540"/>
                    </a:xfrm>
                    <a:prstGeom prst="rect">
                      <a:avLst/>
                    </a:prstGeom>
                  </pic:spPr>
                </pic:pic>
              </a:graphicData>
            </a:graphic>
          </wp:inline>
        </w:drawing>
      </w:r>
    </w:p>
    <w:p w14:paraId="403A616C" w14:textId="77777777" w:rsidR="005E0B04" w:rsidRDefault="005E0B04"/>
    <w:sectPr w:rsidR="005E0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C05D56"/>
    <w:multiLevelType w:val="hybridMultilevel"/>
    <w:tmpl w:val="407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74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04"/>
    <w:rsid w:val="0003478F"/>
    <w:rsid w:val="000C77D1"/>
    <w:rsid w:val="000F03BF"/>
    <w:rsid w:val="00122C48"/>
    <w:rsid w:val="004B7E3D"/>
    <w:rsid w:val="00501D17"/>
    <w:rsid w:val="005E0B04"/>
    <w:rsid w:val="008321D9"/>
    <w:rsid w:val="008D7BC3"/>
    <w:rsid w:val="00AF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D0B8"/>
  <w15:chartTrackingRefBased/>
  <w15:docId w15:val="{EABDA333-E63B-4FFD-ADF1-D6C6317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04"/>
    <w:pPr>
      <w:spacing w:line="259" w:lineRule="auto"/>
    </w:pPr>
    <w:rPr>
      <w:sz w:val="22"/>
      <w:szCs w:val="22"/>
    </w:rPr>
  </w:style>
  <w:style w:type="paragraph" w:styleId="Heading1">
    <w:name w:val="heading 1"/>
    <w:basedOn w:val="Normal"/>
    <w:next w:val="Normal"/>
    <w:link w:val="Heading1Char"/>
    <w:uiPriority w:val="9"/>
    <w:qFormat/>
    <w:rsid w:val="005E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B04"/>
    <w:rPr>
      <w:rFonts w:eastAsiaTheme="majorEastAsia" w:cstheme="majorBidi"/>
      <w:color w:val="272727" w:themeColor="text1" w:themeTint="D8"/>
    </w:rPr>
  </w:style>
  <w:style w:type="paragraph" w:styleId="Title">
    <w:name w:val="Title"/>
    <w:basedOn w:val="Normal"/>
    <w:next w:val="Normal"/>
    <w:link w:val="TitleChar"/>
    <w:uiPriority w:val="10"/>
    <w:qFormat/>
    <w:rsid w:val="005E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B04"/>
    <w:pPr>
      <w:spacing w:before="160"/>
      <w:jc w:val="center"/>
    </w:pPr>
    <w:rPr>
      <w:i/>
      <w:iCs/>
      <w:color w:val="404040" w:themeColor="text1" w:themeTint="BF"/>
    </w:rPr>
  </w:style>
  <w:style w:type="character" w:customStyle="1" w:styleId="QuoteChar">
    <w:name w:val="Quote Char"/>
    <w:basedOn w:val="DefaultParagraphFont"/>
    <w:link w:val="Quote"/>
    <w:uiPriority w:val="29"/>
    <w:rsid w:val="005E0B04"/>
    <w:rPr>
      <w:i/>
      <w:iCs/>
      <w:color w:val="404040" w:themeColor="text1" w:themeTint="BF"/>
    </w:rPr>
  </w:style>
  <w:style w:type="paragraph" w:styleId="ListParagraph">
    <w:name w:val="List Paragraph"/>
    <w:basedOn w:val="Normal"/>
    <w:uiPriority w:val="34"/>
    <w:qFormat/>
    <w:rsid w:val="005E0B04"/>
    <w:pPr>
      <w:ind w:left="720"/>
      <w:contextualSpacing/>
    </w:pPr>
  </w:style>
  <w:style w:type="character" w:styleId="IntenseEmphasis">
    <w:name w:val="Intense Emphasis"/>
    <w:basedOn w:val="DefaultParagraphFont"/>
    <w:uiPriority w:val="21"/>
    <w:qFormat/>
    <w:rsid w:val="005E0B04"/>
    <w:rPr>
      <w:i/>
      <w:iCs/>
      <w:color w:val="0F4761" w:themeColor="accent1" w:themeShade="BF"/>
    </w:rPr>
  </w:style>
  <w:style w:type="paragraph" w:styleId="IntenseQuote">
    <w:name w:val="Intense Quote"/>
    <w:basedOn w:val="Normal"/>
    <w:next w:val="Normal"/>
    <w:link w:val="IntenseQuoteChar"/>
    <w:uiPriority w:val="30"/>
    <w:qFormat/>
    <w:rsid w:val="005E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B04"/>
    <w:rPr>
      <w:i/>
      <w:iCs/>
      <w:color w:val="0F4761" w:themeColor="accent1" w:themeShade="BF"/>
    </w:rPr>
  </w:style>
  <w:style w:type="character" w:styleId="IntenseReference">
    <w:name w:val="Intense Reference"/>
    <w:basedOn w:val="DefaultParagraphFont"/>
    <w:uiPriority w:val="32"/>
    <w:qFormat/>
    <w:rsid w:val="005E0B04"/>
    <w:rPr>
      <w:b/>
      <w:bCs/>
      <w:smallCaps/>
      <w:color w:val="0F4761" w:themeColor="accent1" w:themeShade="BF"/>
      <w:spacing w:val="5"/>
    </w:rPr>
  </w:style>
  <w:style w:type="table" w:styleId="TableGrid">
    <w:name w:val="Table Grid"/>
    <w:basedOn w:val="TableNormal"/>
    <w:uiPriority w:val="39"/>
    <w:rsid w:val="005E0B0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2540</Words>
  <Characters>14479</Characters>
  <Application>Microsoft Office Word</Application>
  <DocSecurity>0</DocSecurity>
  <Lines>120</Lines>
  <Paragraphs>33</Paragraphs>
  <ScaleCrop>false</ScaleCrop>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Fleege, Nicole M G</dc:creator>
  <cp:keywords/>
  <dc:description/>
  <cp:lastModifiedBy>Fleege, Nicole M</cp:lastModifiedBy>
  <cp:revision>2</cp:revision>
  <dcterms:created xsi:type="dcterms:W3CDTF">2025-06-17T18:54:00Z</dcterms:created>
  <dcterms:modified xsi:type="dcterms:W3CDTF">2025-06-17T18:54:00Z</dcterms:modified>
</cp:coreProperties>
</file>