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0B9A" w14:textId="3EB7AEA0" w:rsidR="00CA138D" w:rsidRDefault="006C2C70" w:rsidP="00CA138D">
      <w:pPr>
        <w:pStyle w:val="Heading1"/>
      </w:pPr>
      <w:r>
        <w:t xml:space="preserve">Supplementary </w:t>
      </w:r>
      <w:r w:rsidR="00226FCC">
        <w:t>materials</w:t>
      </w:r>
    </w:p>
    <w:p w14:paraId="27B2F9C8" w14:textId="36D707E4" w:rsidR="008265C1" w:rsidRDefault="008265C1" w:rsidP="008265C1">
      <w:pPr>
        <w:pStyle w:val="Heading2"/>
      </w:pPr>
      <w:r>
        <w:t>Covariates for multivariable models</w:t>
      </w:r>
    </w:p>
    <w:p w14:paraId="725680D4" w14:textId="1A14D084" w:rsidR="008265C1" w:rsidRDefault="00E41257" w:rsidP="008265C1">
      <w:r>
        <w:t>Covariates for the multivariable Weibull Regression models were selected based on empirical evidence of an association with substance use and</w:t>
      </w:r>
      <w:r w:rsidR="006332F9">
        <w:t>/or</w:t>
      </w:r>
      <w:r>
        <w:t xml:space="preserve"> substance-related outcomes</w:t>
      </w:r>
      <w:r w:rsidR="00332E97">
        <w:t>, such as overdose</w:t>
      </w:r>
      <w:r>
        <w:t xml:space="preserve">. </w:t>
      </w:r>
      <w:r w:rsidR="00332E97">
        <w:t>More specifically, a</w:t>
      </w:r>
      <w:r>
        <w:t>ge</w:t>
      </w:r>
      <w:r w:rsidR="006332F9">
        <w:t xml:space="preserve"> and sex</w:t>
      </w:r>
      <w:r>
        <w:t xml:space="preserve"> </w:t>
      </w:r>
      <w:r w:rsidR="001529AF">
        <w:t>are both</w:t>
      </w:r>
      <w:r w:rsidR="006332F9">
        <w:t xml:space="preserve"> associated with </w:t>
      </w:r>
      <w:r w:rsidR="000B3498">
        <w:t xml:space="preserve">injecting substance use and/or </w:t>
      </w:r>
      <w:r w:rsidR="006332F9">
        <w:t>overdose</w:t>
      </w:r>
      <w:r w:rsidR="001529AF">
        <w:t>,</w:t>
      </w:r>
      <w:r w:rsidR="001529AF" w:rsidRPr="001529AF">
        <w:t xml:space="preserve"> </w:t>
      </w:r>
      <w:r w:rsidR="001529AF">
        <w:fldChar w:fldCharType="begin">
          <w:fldData xml:space="preserve">PEVuZE5vdGU+PENpdGU+PEF1dGhvcj5LcmF3Y3p5azwvQXV0aG9yPjxZZWFyPjIwMjA8L1llYXI+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</w:fldData>
        </w:fldChar>
      </w:r>
      <w:r w:rsidR="000B3498">
        <w:instrText xml:space="preserve"> ADDIN EN.CITE </w:instrText>
      </w:r>
      <w:r w:rsidR="000B3498">
        <w:fldChar w:fldCharType="begin">
          <w:fldData xml:space="preserve">PEVuZE5vdGU+PENpdGU+PEF1dGhvcj5LcmF3Y3p5azwvQXV0aG9yPjxZZWFyPjIwMjA8L1llYXI+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</w:fldData>
        </w:fldChar>
      </w:r>
      <w:r w:rsidR="000B3498">
        <w:instrText xml:space="preserve"> ADDIN EN.CITE.DATA </w:instrText>
      </w:r>
      <w:r w:rsidR="000B3498">
        <w:fldChar w:fldCharType="end"/>
      </w:r>
      <w:r w:rsidR="001529AF">
        <w:fldChar w:fldCharType="separate"/>
      </w:r>
      <w:r w:rsidR="000B3498">
        <w:rPr>
          <w:noProof/>
        </w:rPr>
        <w:t>(1-4)</w:t>
      </w:r>
      <w:r w:rsidR="001529AF">
        <w:fldChar w:fldCharType="end"/>
      </w:r>
      <w:r w:rsidR="001529AF">
        <w:t xml:space="preserve"> </w:t>
      </w:r>
      <w:r w:rsidR="00F61B9B">
        <w:t>and</w:t>
      </w:r>
      <w:r w:rsidR="001529AF">
        <w:t xml:space="preserve"> there is also evidence of elevated rates </w:t>
      </w:r>
      <w:r w:rsidR="00F61B9B">
        <w:t xml:space="preserve">substance use, as well as </w:t>
      </w:r>
      <w:r w:rsidR="001529AF">
        <w:t>overdose</w:t>
      </w:r>
      <w:r w:rsidR="00F61B9B">
        <w:t xml:space="preserve"> and related deaths</w:t>
      </w:r>
      <w:r w:rsidR="001529AF">
        <w:t xml:space="preserve"> among Indigenous populations</w:t>
      </w:r>
      <w:r w:rsidR="00F61B9B">
        <w:t xml:space="preserve"> compared to non-Indigenous populations</w:t>
      </w:r>
      <w:r w:rsidR="001529AF">
        <w:t>.</w:t>
      </w:r>
      <w:r w:rsidR="00F61B9B">
        <w:fldChar w:fldCharType="begin"/>
      </w:r>
      <w:r w:rsidR="000B3498">
        <w:instrText xml:space="preserve"> ADDIN EN.CITE &lt;EndNote&gt;&lt;Cite&gt;&lt;Author&gt;Milloy&lt;/Author&gt;&lt;Year&gt;2010&lt;/Year&gt;&lt;RecNum&gt;1391&lt;/RecNum&gt;&lt;DisplayText&gt;(5, 6)&lt;/DisplayText&gt;&lt;record&gt;&lt;rec-number&gt;1391&lt;/rec-number&gt;&lt;foreign-keys&gt;&lt;key app="EN" db-id="svpdrpfv4wxat7erfen5t2r7w0arer0fedwx" timestamp="1694145377"&gt;1391&lt;/key&gt;&lt;/foreign-keys&gt;&lt;ref-type name="Journal Article"&gt;17&lt;/ref-type&gt;&lt;contributors&gt;&lt;authors&gt;&lt;author&gt;Milloy, M‐J&lt;/author&gt;&lt;author&gt;Wood, Evan&lt;/author&gt;&lt;author&gt;Reading, Charlotte&lt;/author&gt;&lt;author&gt;Kane, Daniel&lt;/author&gt;&lt;author&gt;Montaner, Julio&lt;/author&gt;&lt;author&gt;Kerr, Thomas&lt;/author&gt;&lt;/authors&gt;&lt;/contributors&gt;&lt;titles&gt;&lt;title&gt;Elevated overdose mortality rates among First Nations individuals in a Canadian setting: a population‐based analysis&lt;/title&gt;&lt;secondary-title&gt;Addiction&lt;/secondary-title&gt;&lt;/titles&gt;&lt;periodical&gt;&lt;full-title&gt;Addiction&lt;/full-title&gt;&lt;abbr-1&gt;Addiction&lt;/abbr-1&gt;&lt;abbr-2&gt;Addiction&lt;/abbr-2&gt;&lt;/periodical&gt;&lt;pages&gt;1962-1970&lt;/pages&gt;&lt;volume&gt;105&lt;/volume&gt;&lt;number&gt;11&lt;/number&gt;&lt;dates&gt;&lt;year&gt;2010&lt;/year&gt;&lt;/dates&gt;&lt;isbn&gt;0965-2140&lt;/isbn&gt;&lt;urls&gt;&lt;/urls&gt;&lt;/record&gt;&lt;/Cite&gt;&lt;Cite&gt;&lt;Author&gt;Australian Institute of Health and Welfare&lt;/Author&gt;&lt;Year&gt;2015&lt;/Year&gt;&lt;RecNum&gt;1392&lt;/RecNum&gt;&lt;record&gt;&lt;rec-number&gt;1392&lt;/rec-number&gt;&lt;foreign-keys&gt;&lt;key app="EN" db-id="svpdrpfv4wxat7erfen5t2r7w0arer0fedwx" timestamp="1694145938"&gt;1392&lt;/key&gt;&lt;/foreign-keys&gt;&lt;ref-type name="Report"&gt;27&lt;/ref-type&gt;&lt;contributors&gt;&lt;authors&gt;&lt;author&gt;Australian Institute of Health and Welfare,&lt;/author&gt;&lt;/authors&gt;&lt;/contributors&gt;&lt;titles&gt;&lt;title&gt;The health and welfare of Australia&amp;apos;s Aboriginal and Torres Strait Islander peoples 2015&lt;/title&gt;&lt;/titles&gt;&lt;number&gt;Cat. no. IHW 147&lt;/number&gt;&lt;dates&gt;&lt;year&gt;2015&lt;/year&gt;&lt;/dates&gt;&lt;pub-location&gt;Canberra&lt;/pub-location&gt;&lt;publisher&gt;AIHW&lt;/publisher&gt;&lt;urls&gt;&lt;/urls&gt;&lt;/record&gt;&lt;/Cite&gt;&lt;/EndNote&gt;</w:instrText>
      </w:r>
      <w:r w:rsidR="00F61B9B">
        <w:fldChar w:fldCharType="separate"/>
      </w:r>
      <w:r w:rsidR="000B3498">
        <w:rPr>
          <w:noProof/>
        </w:rPr>
        <w:t>(5, 6)</w:t>
      </w:r>
      <w:r w:rsidR="00F61B9B">
        <w:fldChar w:fldCharType="end"/>
      </w:r>
      <w:r w:rsidR="00332E97">
        <w:t xml:space="preserve"> </w:t>
      </w:r>
      <w:r w:rsidR="00791D9E">
        <w:t xml:space="preserve">People with a history of injecting drug use are also at an increased risk of overdose compared to </w:t>
      </w:r>
      <w:r w:rsidR="001E35C9">
        <w:t>people with no injecting drug use history.</w:t>
      </w:r>
      <w:r w:rsidR="001E35C9">
        <w:fldChar w:fldCharType="begin"/>
      </w:r>
      <w:r w:rsidR="000B3498">
        <w:instrText xml:space="preserve"> ADDIN EN.CITE &lt;EndNote&gt;&lt;Cite&gt;&lt;Author&gt;Fazel&lt;/Author&gt;&lt;Year&gt;2006&lt;/Year&gt;&lt;RecNum&gt;181&lt;/RecNum&gt;&lt;DisplayText&gt;(7)&lt;/DisplayText&gt;&lt;record&gt;&lt;rec-number&gt;181&lt;/rec-number&gt;&lt;foreign-keys&gt;&lt;key app="EN" db-id="svpdrpfv4wxat7erfen5t2r7w0arer0fedwx" timestamp="1590042842"&gt;181&lt;/key&gt;&lt;/foreign-keys&gt;&lt;ref-type name="Journal Article"&gt;17&lt;/ref-type&gt;&lt;contributors&gt;&lt;authors&gt;&lt;author&gt;Fazel, Seena&lt;/author&gt;&lt;author&gt;Bains, Parveen&lt;/author&gt;&lt;author&gt;Doll, Helen&lt;/author&gt;&lt;/authors&gt;&lt;/contributors&gt;&lt;titles&gt;&lt;title&gt;Substance abuse and dependence in prisoners: a systematic review&lt;/title&gt;&lt;secondary-title&gt;Addiction&lt;/secondary-title&gt;&lt;/titles&gt;&lt;periodical&gt;&lt;full-title&gt;Addiction&lt;/full-title&gt;&lt;abbr-1&gt;Addiction&lt;/abbr-1&gt;&lt;abbr-2&gt;Addiction&lt;/abbr-2&gt;&lt;/periodical&gt;&lt;pages&gt;181-191&lt;/pages&gt;&lt;volume&gt;101&lt;/volume&gt;&lt;number&gt;2&lt;/number&gt;&lt;dates&gt;&lt;year&gt;2006&lt;/year&gt;&lt;/dates&gt;&lt;isbn&gt;1360-0443&lt;/isbn&gt;&lt;urls&gt;&lt;/urls&gt;&lt;electronic-resource-num&gt;10.1111/j.1360-0443.2006.01316.x&lt;/electronic-resource-num&gt;&lt;/record&gt;&lt;/Cite&gt;&lt;/EndNote&gt;</w:instrText>
      </w:r>
      <w:r w:rsidR="001E35C9">
        <w:fldChar w:fldCharType="separate"/>
      </w:r>
      <w:r w:rsidR="000B3498">
        <w:rPr>
          <w:noProof/>
        </w:rPr>
        <w:t>(7)</w:t>
      </w:r>
      <w:r w:rsidR="001E35C9">
        <w:fldChar w:fldCharType="end"/>
      </w:r>
      <w:r w:rsidR="00791D9E">
        <w:t xml:space="preserve"> </w:t>
      </w:r>
      <w:r w:rsidR="00332E97">
        <w:t>Among people leaving prison, length of preceding incarceration,</w:t>
      </w:r>
      <w:r w:rsidR="00791D9E">
        <w:fldChar w:fldCharType="begin"/>
      </w:r>
      <w:r w:rsidR="000B3498">
        <w:instrText xml:space="preserve"> ADDIN EN.CITE &lt;EndNote&gt;&lt;Cite&gt;&lt;Author&gt;Winter&lt;/Author&gt;&lt;Year&gt;2016&lt;/Year&gt;&lt;RecNum&gt;902&lt;/RecNum&gt;&lt;DisplayText&gt;(8, 9)&lt;/DisplayText&gt;&lt;record&gt;&lt;rec-number&gt;902&lt;/rec-number&gt;&lt;foreign-keys&gt;&lt;key app="EN" db-id="svpdrpfv4wxat7erfen5t2r7w0arer0fedwx" timestamp="1655101588"&gt;902&lt;/key&gt;&lt;/foreign-keys&gt;&lt;ref-type name="Journal Article"&gt;17&lt;/ref-type&gt;&lt;contributors&gt;&lt;authors&gt;&lt;author&gt;Winter, R. J.&lt;/author&gt;&lt;author&gt;Young, J. T.&lt;/author&gt;&lt;author&gt;Stoove, M.&lt;/author&gt;&lt;author&gt;Agius, P. A.&lt;/author&gt;&lt;author&gt;Hellard, M. E.&lt;/author&gt;&lt;author&gt;Kinner, S. A.&lt;/author&gt;&lt;/authors&gt;&lt;/contributors&gt;&lt;titles&gt;&lt;title&gt;Resumption of injecting drug use following release from prison in Australia&lt;/title&gt;&lt;secondary-title&gt;Drug and Alcohol Dependence&lt;/secondary-title&gt;&lt;/titles&gt;&lt;pages&gt;104-111&lt;/pages&gt;&lt;volume&gt;168&lt;/volume&gt;&lt;dates&gt;&lt;year&gt;2016&lt;/year&gt;&lt;/dates&gt;&lt;isbn&gt;0376-8716&lt;/isbn&gt;&lt;urls&gt;&lt;/urls&gt;&lt;electronic-resource-num&gt;10.1016/j.drugalcdep.2016.08.640&lt;/electronic-resource-num&gt;&lt;/record&gt;&lt;/Cite&gt;&lt;Cite&gt;&lt;Author&gt;Keen&lt;/Author&gt;&lt;Year&gt;2020&lt;/Year&gt;&lt;RecNum&gt;710&lt;/RecNum&gt;&lt;record&gt;&lt;rec-number&gt;710&lt;/rec-number&gt;&lt;foreign-keys&gt;&lt;key app="EN" db-id="svpdrpfv4wxat7erfen5t2r7w0arer0fedwx" timestamp="1634540335"&gt;710&lt;/key&gt;&lt;/foreign-keys&gt;&lt;ref-type name="Journal Article"&gt;17&lt;/ref-type&gt;&lt;contributors&gt;&lt;authors&gt;&lt;author&gt;Keen, Claire&lt;/author&gt;&lt;author&gt;Young, Jesse T.&lt;/author&gt;&lt;author&gt;Borschmann, Rohan&lt;/author&gt;&lt;author&gt;Kinner, Stuart A.&lt;/author&gt;&lt;/authors&gt;&lt;/contributors&gt;&lt;titles&gt;&lt;title&gt;Non-fatal drug overdose after release from prison: a prospective data linkage study&lt;/title&gt;&lt;secondary-title&gt;Drug and Alcohol Dependence&lt;/secondary-title&gt;&lt;/titles&gt;&lt;pages&gt;107707&lt;/pages&gt;&lt;volume&gt;206&lt;/volume&gt;&lt;dates&gt;&lt;year&gt;2020&lt;/year&gt;&lt;/dates&gt;&lt;isbn&gt;0376-8716&lt;/isbn&gt;&lt;urls&gt;&lt;/urls&gt;&lt;electronic-resource-num&gt;10.1016/j.drugalcdep.2019.107707&lt;/electronic-resource-num&gt;&lt;/record&gt;&lt;/Cite&gt;&lt;/EndNote&gt;</w:instrText>
      </w:r>
      <w:r w:rsidR="00791D9E">
        <w:fldChar w:fldCharType="separate"/>
      </w:r>
      <w:r w:rsidR="000B3498">
        <w:rPr>
          <w:noProof/>
        </w:rPr>
        <w:t>(8, 9)</w:t>
      </w:r>
      <w:r w:rsidR="00791D9E">
        <w:fldChar w:fldCharType="end"/>
      </w:r>
      <w:r w:rsidR="00791D9E">
        <w:t xml:space="preserve"> being unemployed before the preceding incarceration,</w:t>
      </w:r>
      <w:r w:rsidR="00791D9E">
        <w:fldChar w:fldCharType="begin"/>
      </w:r>
      <w:r w:rsidR="000B3498">
        <w:instrText xml:space="preserve"> ADDIN EN.CITE &lt;EndNote&gt;&lt;Cite&gt;&lt;Author&gt;Winter&lt;/Author&gt;&lt;Year&gt;2015&lt;/Year&gt;&lt;RecNum&gt;349&lt;/RecNum&gt;&lt;DisplayText&gt;(8, 10)&lt;/DisplayText&gt;&lt;record&gt;&lt;rec-number&gt;349&lt;/rec-number&gt;&lt;foreign-keys&gt;&lt;key app="EN" db-id="svpdrpfv4wxat7erfen5t2r7w0arer0fedwx" timestamp="1590043379"&gt;349&lt;/key&gt;&lt;/foreign-keys&gt;&lt;ref-type name="Journal Article"&gt;17&lt;/ref-type&gt;&lt;contributors&gt;&lt;authors&gt;&lt;author&gt;Winter, R. J.&lt;/author&gt;&lt;author&gt;Stoové, M.&lt;/author&gt;&lt;author&gt;Degenhardt, L.&lt;/author&gt;&lt;author&gt;Hellard, M. E.&lt;/author&gt;&lt;author&gt;Spelman, T.&lt;/author&gt;&lt;author&gt;Jenkinson, R.&lt;/author&gt;&lt;author&gt;McCarthy, D. R.&lt;/author&gt;&lt;author&gt;Kinner, S. A.&lt;/author&gt;&lt;/authors&gt;&lt;/contributors&gt;&lt;titles&gt;&lt;title&gt;Incidence and predictors of non-fatal drug overdose after release from prison among people who inject drugs in Queensland, Australia&lt;/title&gt;&lt;secondary-title&gt;Drug and Alcohol Dependence&lt;/secondary-title&gt;&lt;/titles&gt;&lt;pages&gt;43-49&lt;/pages&gt;&lt;volume&gt;153&lt;/volume&gt;&lt;dates&gt;&lt;year&gt;2015&lt;/year&gt;&lt;/dates&gt;&lt;isbn&gt;0376-8716&lt;/isbn&gt;&lt;urls&gt;&lt;/urls&gt;&lt;electronic-resource-num&gt;10.1016/j.drugalcdep.2015.06.011&lt;/electronic-resource-num&gt;&lt;/record&gt;&lt;/Cite&gt;&lt;Cite&gt;&lt;Author&gt;Winter&lt;/Author&gt;&lt;Year&gt;2016&lt;/Year&gt;&lt;RecNum&gt;902&lt;/RecNum&gt;&lt;record&gt;&lt;rec-number&gt;902&lt;/rec-number&gt;&lt;foreign-keys&gt;&lt;key app="EN" db-id="svpdrpfv4wxat7erfen5t2r7w0arer0fedwx" timestamp="1655101588"&gt;902&lt;/key&gt;&lt;/foreign-keys&gt;&lt;ref-type name="Journal Article"&gt;17&lt;/ref-type&gt;&lt;contributors&gt;&lt;authors&gt;&lt;author&gt;Winter, R. J.&lt;/author&gt;&lt;author&gt;Young, J. T.&lt;/author&gt;&lt;author&gt;Stoove, M.&lt;/author&gt;&lt;author&gt;Agius, P. A.&lt;/author&gt;&lt;author&gt;Hellard, M. E.&lt;/author&gt;&lt;author&gt;Kinner, S. A.&lt;/author&gt;&lt;/authors&gt;&lt;/contributors&gt;&lt;titles&gt;&lt;title&gt;Resumption of injecting drug use following release from prison in Australia&lt;/title&gt;&lt;secondary-title&gt;Drug and Alcohol Dependence&lt;/secondary-title&gt;&lt;/titles&gt;&lt;pages&gt;104-111&lt;/pages&gt;&lt;volume&gt;168&lt;/volume&gt;&lt;dates&gt;&lt;year&gt;2016&lt;/year&gt;&lt;/dates&gt;&lt;isbn&gt;0376-8716&lt;/isbn&gt;&lt;urls&gt;&lt;/urls&gt;&lt;electronic-resource-num&gt;10.1016/j.drugalcdep.2016.08.640&lt;/electronic-resource-num&gt;&lt;/record&gt;&lt;/Cite&gt;&lt;/EndNote&gt;</w:instrText>
      </w:r>
      <w:r w:rsidR="00791D9E">
        <w:fldChar w:fldCharType="separate"/>
      </w:r>
      <w:r w:rsidR="000B3498">
        <w:rPr>
          <w:noProof/>
        </w:rPr>
        <w:t>(8, 10)</w:t>
      </w:r>
      <w:r w:rsidR="00791D9E">
        <w:fldChar w:fldCharType="end"/>
      </w:r>
      <w:r w:rsidR="00791D9E">
        <w:t xml:space="preserve"> a history of being removed from family during childhood,</w:t>
      </w:r>
      <w:r w:rsidR="00791D9E">
        <w:fldChar w:fldCharType="begin"/>
      </w:r>
      <w:r w:rsidR="000B3498">
        <w:instrText xml:space="preserve"> ADDIN EN.CITE &lt;EndNote&gt;&lt;Cite&gt;&lt;Author&gt;Winter&lt;/Author&gt;&lt;Year&gt;2015&lt;/Year&gt;&lt;RecNum&gt;349&lt;/RecNum&gt;&lt;DisplayText&gt;(9, 10)&lt;/DisplayText&gt;&lt;record&gt;&lt;rec-number&gt;349&lt;/rec-number&gt;&lt;foreign-keys&gt;&lt;key app="EN" db-id="svpdrpfv4wxat7erfen5t2r7w0arer0fedwx" timestamp="1590043379"&gt;349&lt;/key&gt;&lt;/foreign-keys&gt;&lt;ref-type name="Journal Article"&gt;17&lt;/ref-type&gt;&lt;contributors&gt;&lt;authors&gt;&lt;author&gt;Winter, R. J.&lt;/author&gt;&lt;author&gt;Stoové, M.&lt;/author&gt;&lt;author&gt;Degenhardt, L.&lt;/author&gt;&lt;author&gt;Hellard, M. E.&lt;/author&gt;&lt;author&gt;Spelman, T.&lt;/author&gt;&lt;author&gt;Jenkinson, R.&lt;/author&gt;&lt;author&gt;McCarthy, D. R.&lt;/author&gt;&lt;author&gt;Kinner, S. A.&lt;/author&gt;&lt;/authors&gt;&lt;/contributors&gt;&lt;titles&gt;&lt;title&gt;Incidence and predictors of non-fatal drug overdose after release from prison among people who inject drugs in Queensland, Australia&lt;/title&gt;&lt;secondary-title&gt;Drug and Alcohol Dependence&lt;/secondary-title&gt;&lt;/titles&gt;&lt;pages&gt;43-49&lt;/pages&gt;&lt;volume&gt;153&lt;/volume&gt;&lt;dates&gt;&lt;year&gt;2015&lt;/year&gt;&lt;/dates&gt;&lt;isbn&gt;0376-8716&lt;/isbn&gt;&lt;urls&gt;&lt;/urls&gt;&lt;electronic-resource-num&gt;10.1016/j.drugalcdep.2015.06.011&lt;/electronic-resource-num&gt;&lt;/record&gt;&lt;/Cite&gt;&lt;Cite&gt;&lt;Author&gt;Keen&lt;/Author&gt;&lt;Year&gt;2020&lt;/Year&gt;&lt;RecNum&gt;710&lt;/RecNum&gt;&lt;record&gt;&lt;rec-number&gt;710&lt;/rec-number&gt;&lt;foreign-keys&gt;&lt;key app="EN" db-id="svpdrpfv4wxat7erfen5t2r7w0arer0fedwx" timestamp="1634540335"&gt;710&lt;/key&gt;&lt;/foreign-keys&gt;&lt;ref-type name="Journal Article"&gt;17&lt;/ref-type&gt;&lt;contributors&gt;&lt;authors&gt;&lt;author&gt;Keen, Claire&lt;/author&gt;&lt;author&gt;Young, Jesse T.&lt;/author&gt;&lt;author&gt;Borschmann, Rohan&lt;/author&gt;&lt;author&gt;Kinner, Stuart A.&lt;/author&gt;&lt;/authors&gt;&lt;/contributors&gt;&lt;titles&gt;&lt;title&gt;Non-fatal drug overdose after release from prison: a prospective data linkage study&lt;/title&gt;&lt;secondary-title&gt;Drug and Alcohol Dependence&lt;/secondary-title&gt;&lt;/titles&gt;&lt;pages&gt;107707&lt;/pages&gt;&lt;volume&gt;206&lt;/volume&gt;&lt;dates&gt;&lt;year&gt;2020&lt;/year&gt;&lt;/dates&gt;&lt;isbn&gt;0376-8716&lt;/isbn&gt;&lt;urls&gt;&lt;/urls&gt;&lt;electronic-resource-num&gt;10.1016/j.drugalcdep.2019.107707&lt;/electronic-resource-num&gt;&lt;/record&gt;&lt;/Cite&gt;&lt;/EndNote&gt;</w:instrText>
      </w:r>
      <w:r w:rsidR="00791D9E">
        <w:fldChar w:fldCharType="separate"/>
      </w:r>
      <w:r w:rsidR="000B3498">
        <w:rPr>
          <w:noProof/>
        </w:rPr>
        <w:t>(9, 10)</w:t>
      </w:r>
      <w:r w:rsidR="00791D9E">
        <w:fldChar w:fldCharType="end"/>
      </w:r>
      <w:r w:rsidR="00791D9E">
        <w:t xml:space="preserve"> </w:t>
      </w:r>
      <w:r w:rsidR="00965899">
        <w:t>perceived low social support assessed by the Enrichd Social Support Inventory</w:t>
      </w:r>
      <w:r w:rsidR="00323EC1">
        <w:t xml:space="preserve"> (ESSI)</w:t>
      </w:r>
      <w:r w:rsidR="00965899">
        <w:t>,</w:t>
      </w:r>
      <w:r w:rsidR="00965899">
        <w:fldChar w:fldCharType="begin">
          <w:fldData xml:space="preserve">PEVuZE5vdGU+PENpdGU+PEF1dGhvcj5NaXRjaGVsbDwvQXV0aG9yPjxZZWFyPjIwMDM8L1llYXI+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=
</w:fldData>
        </w:fldChar>
      </w:r>
      <w:r w:rsidR="000B3498">
        <w:instrText xml:space="preserve"> ADDIN EN.CITE </w:instrText>
      </w:r>
      <w:r w:rsidR="000B3498">
        <w:fldChar w:fldCharType="begin">
          <w:fldData xml:space="preserve">PEVuZE5vdGU+PENpdGU+PEF1dGhvcj5NaXRjaGVsbDwvQXV0aG9yPjxZZWFyPjIwMDM8L1llYXI+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=
</w:fldData>
        </w:fldChar>
      </w:r>
      <w:r w:rsidR="000B3498">
        <w:instrText xml:space="preserve"> ADDIN EN.CITE.DATA </w:instrText>
      </w:r>
      <w:r w:rsidR="000B3498">
        <w:fldChar w:fldCharType="end"/>
      </w:r>
      <w:r w:rsidR="00965899">
        <w:fldChar w:fldCharType="separate"/>
      </w:r>
      <w:r w:rsidR="000B3498">
        <w:rPr>
          <w:noProof/>
        </w:rPr>
        <w:t>(9, 11)</w:t>
      </w:r>
      <w:r w:rsidR="00965899">
        <w:fldChar w:fldCharType="end"/>
      </w:r>
      <w:r w:rsidR="00791D9E">
        <w:t xml:space="preserve"> previous diagnosis of mental illness,</w:t>
      </w:r>
      <w:r w:rsidR="00791D9E">
        <w:fldChar w:fldCharType="begin"/>
      </w:r>
      <w:r w:rsidR="000B3498">
        <w:instrText xml:space="preserve"> ADDIN EN.CITE &lt;EndNote&gt;&lt;Cite&gt;&lt;Author&gt;Winter&lt;/Author&gt;&lt;Year&gt;2015&lt;/Year&gt;&lt;RecNum&gt;349&lt;/RecNum&gt;&lt;DisplayText&gt;(10)&lt;/DisplayText&gt;&lt;record&gt;&lt;rec-number&gt;349&lt;/rec-number&gt;&lt;foreign-keys&gt;&lt;key app="EN" db-id="svpdrpfv4wxat7erfen5t2r7w0arer0fedwx" timestamp="1590043379"&gt;349&lt;/key&gt;&lt;/foreign-keys&gt;&lt;ref-type name="Journal Article"&gt;17&lt;/ref-type&gt;&lt;contributors&gt;&lt;authors&gt;&lt;author&gt;Winter, R. J.&lt;/author&gt;&lt;author&gt;Stoové, M.&lt;/author&gt;&lt;author&gt;Degenhardt, L.&lt;/author&gt;&lt;author&gt;Hellard, M. E.&lt;/author&gt;&lt;author&gt;Spelman, T.&lt;/author&gt;&lt;author&gt;Jenkinson, R.&lt;/author&gt;&lt;author&gt;McCarthy, D. R.&lt;/author&gt;&lt;author&gt;Kinner, S. A.&lt;/author&gt;&lt;/authors&gt;&lt;/contributors&gt;&lt;titles&gt;&lt;title&gt;Incidence and predictors of non-fatal drug overdose after release from prison among people who inject drugs in Queensland, Australia&lt;/title&gt;&lt;secondary-title&gt;Drug and Alcohol Dependence&lt;/secondary-title&gt;&lt;/titles&gt;&lt;pages&gt;43-49&lt;/pages&gt;&lt;volume&gt;153&lt;/volume&gt;&lt;dates&gt;&lt;year&gt;2015&lt;/year&gt;&lt;/dates&gt;&lt;isbn&gt;0376-8716&lt;/isbn&gt;&lt;urls&gt;&lt;/urls&gt;&lt;electronic-resource-num&gt;10.1016/j.drugalcdep.2015.06.011&lt;/electronic-resource-num&gt;&lt;/record&gt;&lt;/Cite&gt;&lt;/EndNote&gt;</w:instrText>
      </w:r>
      <w:r w:rsidR="00791D9E">
        <w:fldChar w:fldCharType="separate"/>
      </w:r>
      <w:r w:rsidR="000B3498">
        <w:rPr>
          <w:noProof/>
        </w:rPr>
        <w:t>(10)</w:t>
      </w:r>
      <w:r w:rsidR="00791D9E">
        <w:fldChar w:fldCharType="end"/>
      </w:r>
      <w:r w:rsidR="00791D9E">
        <w:t xml:space="preserve"> experiencing high psychological distress prior to release from prison</w:t>
      </w:r>
      <w:r w:rsidR="00965899">
        <w:t xml:space="preserve"> as measured by the Kessler Psychological Distress Scale</w:t>
      </w:r>
      <w:r w:rsidR="00323EC1">
        <w:t xml:space="preserve"> (K10)</w:t>
      </w:r>
      <w:r w:rsidR="00791D9E">
        <w:t>,</w:t>
      </w:r>
      <w:r w:rsidR="00791D9E">
        <w:fldChar w:fldCharType="begin">
          <w:fldData xml:space="preserve">PEVuZE5vdGU+PENpdGU+PEF1dGhvcj5XaW50ZXI8L0F1dGhvcj48WWVhcj4yMDE1PC9ZZWFyPjxS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=
</w:fldData>
        </w:fldChar>
      </w:r>
      <w:r w:rsidR="000B3498">
        <w:instrText xml:space="preserve"> ADDIN EN.CITE </w:instrText>
      </w:r>
      <w:r w:rsidR="000B3498">
        <w:fldChar w:fldCharType="begin">
          <w:fldData xml:space="preserve">PEVuZE5vdGU+PENpdGU+PEF1dGhvcj5XaW50ZXI8L0F1dGhvcj48WWVhcj4yMDE1PC9ZZWFyPjxS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=
</w:fldData>
        </w:fldChar>
      </w:r>
      <w:r w:rsidR="000B3498">
        <w:instrText xml:space="preserve"> ADDIN EN.CITE.DATA </w:instrText>
      </w:r>
      <w:r w:rsidR="000B3498">
        <w:fldChar w:fldCharType="end"/>
      </w:r>
      <w:r w:rsidR="00791D9E">
        <w:fldChar w:fldCharType="separate"/>
      </w:r>
      <w:r w:rsidR="000B3498">
        <w:rPr>
          <w:noProof/>
        </w:rPr>
        <w:t>(10, 12)</w:t>
      </w:r>
      <w:r w:rsidR="00791D9E">
        <w:fldChar w:fldCharType="end"/>
      </w:r>
      <w:r w:rsidR="001E35C9">
        <w:t xml:space="preserve"> and a history of non-fatal overdose </w:t>
      </w:r>
      <w:r w:rsidR="001E35C9">
        <w:fldChar w:fldCharType="begin"/>
      </w:r>
      <w:r w:rsidR="000B3498">
        <w:instrText xml:space="preserve"> ADDIN EN.CITE &lt;EndNote&gt;&lt;Cite&gt;&lt;Author&gt;Keen&lt;/Author&gt;&lt;Year&gt;2020&lt;/Year&gt;&lt;RecNum&gt;710&lt;/RecNum&gt;&lt;DisplayText&gt;(9)&lt;/DisplayText&gt;&lt;record&gt;&lt;rec-number&gt;710&lt;/rec-number&gt;&lt;foreign-keys&gt;&lt;key app="EN" db-id="svpdrpfv4wxat7erfen5t2r7w0arer0fedwx" timestamp="1634540335"&gt;710&lt;/key&gt;&lt;/foreign-keys&gt;&lt;ref-type name="Journal Article"&gt;17&lt;/ref-type&gt;&lt;contributors&gt;&lt;authors&gt;&lt;author&gt;Keen, Claire&lt;/author&gt;&lt;author&gt;Young, Jesse T.&lt;/author&gt;&lt;author&gt;Borschmann, Rohan&lt;/author&gt;&lt;author&gt;Kinner, Stuart A.&lt;/author&gt;&lt;/authors&gt;&lt;/contributors&gt;&lt;titles&gt;&lt;title&gt;Non-fatal drug overdose after release from prison: a prospective data linkage study&lt;/title&gt;&lt;secondary-title&gt;Drug and Alcohol Dependence&lt;/secondary-title&gt;&lt;/titles&gt;&lt;pages&gt;107707&lt;/pages&gt;&lt;volume&gt;206&lt;/volume&gt;&lt;dates&gt;&lt;year&gt;2020&lt;/year&gt;&lt;/dates&gt;&lt;isbn&gt;0376-8716&lt;/isbn&gt;&lt;urls&gt;&lt;/urls&gt;&lt;electronic-resource-num&gt;10.1016/j.drugalcdep.2019.107707&lt;/electronic-resource-num&gt;&lt;/record&gt;&lt;/Cite&gt;&lt;/EndNote&gt;</w:instrText>
      </w:r>
      <w:r w:rsidR="001E35C9">
        <w:fldChar w:fldCharType="separate"/>
      </w:r>
      <w:r w:rsidR="000B3498">
        <w:rPr>
          <w:noProof/>
        </w:rPr>
        <w:t>(9)</w:t>
      </w:r>
      <w:r w:rsidR="001E35C9">
        <w:fldChar w:fldCharType="end"/>
      </w:r>
      <w:r w:rsidR="001E35C9">
        <w:t xml:space="preserve"> are all associated with overdose after leaving prison.</w:t>
      </w:r>
      <w:r w:rsidR="00965899">
        <w:t xml:space="preserve"> Based on this evidence, these variables were included as covariates in the multivariable model.</w:t>
      </w:r>
    </w:p>
    <w:p w14:paraId="494B632A" w14:textId="77777777" w:rsidR="001302C6" w:rsidRPr="008265C1" w:rsidRDefault="001302C6" w:rsidP="00143DDA"/>
    <w:p w14:paraId="51C4F05C" w14:textId="2B9018FE" w:rsidR="001302C6" w:rsidRDefault="00E93718" w:rsidP="001302C6">
      <w:pPr>
        <w:pStyle w:val="Heading3"/>
      </w:pPr>
      <w:r>
        <w:t>Selection bias</w:t>
      </w:r>
      <w:r w:rsidR="001302C6">
        <w:t xml:space="preserve"> analysis</w:t>
      </w:r>
    </w:p>
    <w:p w14:paraId="0B45DCA1" w14:textId="475D5283" w:rsidR="001302C6" w:rsidRDefault="001302C6" w:rsidP="001302C6">
      <w:r>
        <w:t xml:space="preserve">We used items from the baseline survey to investigate possible </w:t>
      </w:r>
      <w:r w:rsidR="00323EC1">
        <w:t>selection bias</w:t>
      </w:r>
      <w:r>
        <w:t>. Sociodemographic and health variables included sex (male/female), Indigeneity (yes/no), age (&lt;25/25+ years at baseline), employed in the six months prior to index incarceration (yes/no), taken from family as a child (yes/no), low/no vs moderate/high/very high levels of psychological distress at baseline as measured by the K10,</w:t>
      </w:r>
      <w:r>
        <w:fldChar w:fldCharType="begin"/>
      </w:r>
      <w:r>
        <w:instrText xml:space="preserve"> ADDIN EN.CITE &lt;EndNote&gt;&lt;Cite&gt;&lt;Author&gt;Andrews&lt;/Author&gt;&lt;Year&gt;2001&lt;/Year&gt;&lt;RecNum&gt;234&lt;/RecNum&gt;&lt;DisplayText&gt;(13)&lt;/DisplayText&gt;&lt;record&gt;&lt;rec-number&gt;234&lt;/rec-number&gt;&lt;foreign-keys&gt;&lt;key app="EN" db-id="svpdrpfv4wxat7erfen5t2r7w0arer0fedwx" timestamp="1590043141"&gt;234&lt;/key&gt;&lt;/foreign-keys&gt;&lt;ref-type name="Journal Article"&gt;17&lt;/ref-type&gt;&lt;contributors&gt;&lt;authors&gt;&lt;author&gt;Andrews, Gavin&lt;/author&gt;&lt;author&gt;Slade, Tim&lt;/author&gt;&lt;/authors&gt;&lt;/contributors&gt;&lt;titles&gt;&lt;title&gt;Interpreting scores on the Kessler psychological distress scale (K10)&lt;/title&gt;&lt;secondary-title&gt;Australian and New Zealand Journal of Public Health&lt;/secondary-title&gt;&lt;/titles&gt;&lt;periodical&gt;&lt;full-title&gt;Australian and New Zealand Journal of Public Health&lt;/full-title&gt;&lt;abbr-1&gt;Aust. N. Z. J. Public Health&lt;/abbr-1&gt;&lt;abbr-2&gt;Aust N Z J Public Health&lt;/abbr-2&gt;&lt;abbr-3&gt;Australian &amp;amp; New Zealand Journal of Public Health&lt;/abbr-3&gt;&lt;/periodical&gt;&lt;pages&gt;494-497&lt;/pages&gt;&lt;volume&gt;25&lt;/volume&gt;&lt;number&gt;6&lt;/number&gt;&lt;dates&gt;&lt;year&gt;2001&lt;/year&gt;&lt;/dates&gt;&lt;isbn&gt;1753-6405&lt;/isbn&gt;&lt;urls&gt;&lt;/urls&gt;&lt;electronic-resource-num&gt;10.1111/j.1467-842x.2001.tb00310.x&lt;/electronic-resource-num&gt;&lt;/record&gt;&lt;/Cite&gt;&lt;/EndNote&gt;</w:instrText>
      </w:r>
      <w:r>
        <w:fldChar w:fldCharType="separate"/>
      </w:r>
      <w:r>
        <w:rPr>
          <w:noProof/>
        </w:rPr>
        <w:t>(13)</w:t>
      </w:r>
      <w:r>
        <w:fldChar w:fldCharType="end"/>
      </w:r>
      <w:r>
        <w:t xml:space="preserve"> previous diagnosis of a mental illness (yes/no), a history of injecting drugs (yes/no), a history of drug overdose (yes/no), level of social support as measured by the ESSI </w:t>
      </w:r>
      <w:r>
        <w:fldChar w:fldCharType="begin"/>
      </w:r>
      <w:r>
        <w:instrText xml:space="preserve"> ADDIN EN.CITE &lt;EndNote&gt;&lt;Cite&gt;&lt;Author&gt;Mitchell&lt;/Author&gt;&lt;Year&gt;2003&lt;/Year&gt;&lt;RecNum&gt;197&lt;/RecNum&gt;&lt;DisplayText&gt;(11)&lt;/DisplayText&gt;&lt;record&gt;&lt;rec-number&gt;197&lt;/rec-number&gt;&lt;foreign-keys&gt;&lt;key app="EN" db-id="svpdrpfv4wxat7erfen5t2r7w0arer0fedwx" timestamp="1590042912"&gt;197&lt;/key&gt;&lt;/foreign-keys&gt;&lt;ref-type name="Journal Article"&gt;17&lt;/ref-type&gt;&lt;contributors&gt;&lt;authors&gt;&lt;author&gt;Mitchell, Pamela H.&lt;/author&gt;&lt;author&gt;Powell, Lynda&lt;/author&gt;&lt;author&gt;Blumenthal, James&lt;/author&gt;&lt;author&gt;Norten, Jennifer&lt;/author&gt;&lt;author&gt;Ironson, Gail&lt;/author&gt;&lt;author&gt;Pitula, Carol Rogers&lt;/author&gt;&lt;author&gt;Froelicher, Erika Sivarajan&lt;/author&gt;&lt;author&gt;Czajkowski, Susan&lt;/author&gt;&lt;author&gt;Youngblood, Marston&lt;/author&gt;&lt;author&gt;Huber, Marc&lt;/author&gt;&lt;/authors&gt;&lt;/contributors&gt;&lt;titles&gt;&lt;title&gt;A short social support measure for patients recovering from myocardial infarction: the ENRICHD Social Support Inventory&lt;/title&gt;&lt;secondary-title&gt;Journal of Cardiopulmonary Rehabilitation and Prevention&lt;/secondary-title&gt;&lt;/titles&gt;&lt;periodical&gt;&lt;full-title&gt;Journal of Cardiopulmonary Rehabilitation and Prevention&lt;/full-title&gt;&lt;abbr-1&gt;J. Cardiopulm. Rehabil. Prev.&lt;/abbr-1&gt;&lt;abbr-2&gt;J Cardiopulm Rehabil Prev&lt;/abbr-2&gt;&lt;abbr-3&gt;Journal of Cardiopulmonary Rehabilitation &amp;amp; Prevention&lt;/abbr-3&gt;&lt;/periodical&gt;&lt;pages&gt;398-403&lt;/pages&gt;&lt;volume&gt;23&lt;/volume&gt;&lt;number&gt;6&lt;/number&gt;&lt;dates&gt;&lt;year&gt;2003&lt;/year&gt;&lt;/dates&gt;&lt;isbn&gt;1932-7501&lt;/isbn&gt;&lt;urls&gt;&lt;/urls&gt;&lt;electronic-resource-num&gt;10.1097/00008483-200311000-00001&lt;/electronic-resource-num&gt;&lt;/record&gt;&lt;/Cite&gt;&lt;/EndNote&gt;</w:instrText>
      </w:r>
      <w:r>
        <w:fldChar w:fldCharType="separate"/>
      </w:r>
      <w:r>
        <w:rPr>
          <w:noProof/>
        </w:rPr>
        <w:t>(11)</w:t>
      </w:r>
      <w:r>
        <w:fldChar w:fldCharType="end"/>
      </w:r>
      <w:r>
        <w:t xml:space="preserve"> dichotomised at the median (&lt;2</w:t>
      </w:r>
      <w:r w:rsidR="00323EC1">
        <w:t>8</w:t>
      </w:r>
      <w:r>
        <w:t>/2</w:t>
      </w:r>
      <w:r w:rsidR="00323EC1">
        <w:t>8</w:t>
      </w:r>
      <w:r>
        <w:t>+).</w:t>
      </w:r>
      <w:r>
        <w:fldChar w:fldCharType="begin"/>
      </w:r>
      <w:r>
        <w:instrText xml:space="preserve"> ADDIN EN.CITE &lt;EndNote&gt;&lt;Cite&gt;&lt;Author&gt;Cumming&lt;/Author&gt;&lt;Year&gt;2023&lt;/Year&gt;&lt;RecNum&gt;1039&lt;/RecNum&gt;&lt;DisplayText&gt;(14)&lt;/DisplayText&gt;&lt;record&gt;&lt;rec-number&gt;1039&lt;/rec-number&gt;&lt;foreign-keys&gt;&lt;key app="EN" db-id="svpdrpfv4wxat7erfen5t2r7w0arer0fedwx" timestamp="1678174109"&gt;1039&lt;/key&gt;&lt;/foreign-keys&gt;&lt;ref-type name="Journal Article"&gt;17&lt;/ref-type&gt;&lt;contributors&gt;&lt;authors&gt;&lt;author&gt;Cumming, Craig&lt;/author&gt;&lt;author&gt;Kinner, Stuart A.&lt;/author&gt;&lt;author&gt;McKetin, Rebecca&lt;/author&gt;&lt;author&gt;Young, Jesse T.&lt;/author&gt;&lt;author&gt;Li, Ian&lt;/author&gt;&lt;author&gt;Preen, David B.&lt;/author&gt;&lt;/authors&gt;&lt;/contributors&gt;&lt;titles&gt;&lt;title&gt;The predictive validity of the Alcohol Smoking and Substance Involvement Screening Test (ASSIST) for moderate‐to‐high risk cannabis, methamphetamine and opioid use after release from prison&lt;/title&gt;&lt;secondary-title&gt;Addiction&lt;/secondary-title&gt;&lt;/titles&gt;&lt;periodical&gt;&lt;full-title&gt;Addiction&lt;/full-title&gt;&lt;abbr-1&gt;Addiction&lt;/abbr-1&gt;&lt;abbr-2&gt;Addiction&lt;/abbr-2&gt;&lt;/periodical&gt;&lt;pages&gt;1107-1115&lt;/pages&gt;&lt;volume&gt;118&lt;/volume&gt;&lt;number&gt;6&lt;/number&gt;&lt;dates&gt;&lt;year&gt;2023&lt;/year&gt;&lt;/dates&gt;&lt;isbn&gt;0965-2140&lt;/isbn&gt;&lt;urls&gt;&lt;/urls&gt;&lt;electronic-resource-num&gt;10.1111/add.16138&lt;/electronic-resource-num&gt;&lt;/record&gt;&lt;/Cite&gt;&lt;/EndNote&gt;</w:instrText>
      </w:r>
      <w:r>
        <w:fldChar w:fldCharType="separate"/>
      </w:r>
      <w:r>
        <w:rPr>
          <w:noProof/>
        </w:rPr>
        <w:t>(14)</w:t>
      </w:r>
      <w:r>
        <w:fldChar w:fldCharType="end"/>
      </w:r>
      <w:r>
        <w:t xml:space="preserve"> To investigate whether screening as moderate/high risk for the use of any of the three substances being investigated was associated with being excluded from the study, we generated a binary variable (moderate/high risk vs low/no risk) and assigned participants to the moderate/high risk group if they screen as moderate/high risk on the ASSIST at baseline for any of the three substances. For each variable we used univariable modified log-linked Poisson regression to estimate the relative risk of being excluded.</w:t>
      </w:r>
    </w:p>
    <w:p w14:paraId="4C182C66" w14:textId="62333E02" w:rsidR="001302C6" w:rsidRDefault="001302C6" w:rsidP="00143DDA"/>
    <w:p w14:paraId="2F6E2F77" w14:textId="2FDB18A3" w:rsidR="006C2C70" w:rsidRPr="006C2C70" w:rsidRDefault="006C2C70" w:rsidP="006C2C70">
      <w:pPr>
        <w:pStyle w:val="Heading3"/>
      </w:pPr>
      <w:r>
        <w:t>Sensitivity analysis</w:t>
      </w:r>
    </w:p>
    <w:p w14:paraId="4E054CA5" w14:textId="77777777" w:rsidR="00CA138D" w:rsidRDefault="00CA138D" w:rsidP="00B17BC9"/>
    <w:p w14:paraId="21AAEB39" w14:textId="0A71EE98" w:rsidR="00CA138D" w:rsidRDefault="001302C6" w:rsidP="00B17BC9">
      <w:r>
        <w:t>We conducted</w:t>
      </w:r>
      <w:r w:rsidR="00CA138D">
        <w:t xml:space="preserve"> sensitivity analysis to investigate </w:t>
      </w:r>
      <w:r>
        <w:t>our assumption that multiple</w:t>
      </w:r>
      <w:r w:rsidR="00CA138D">
        <w:t xml:space="preserve"> specific-substance-related hospital contacts that occurred within 24 hours of each other</w:t>
      </w:r>
      <w:r w:rsidR="00D06F68">
        <w:t xml:space="preserve"> </w:t>
      </w:r>
      <w:r>
        <w:t>for the same participant related to the same substance use event (resulting in us combining all hospital contacts</w:t>
      </w:r>
      <w:r w:rsidR="00323EC1">
        <w:t xml:space="preserve"> occurring on the same day for the same individual</w:t>
      </w:r>
      <w:r>
        <w:t xml:space="preserve"> into one event for our main analyses).</w:t>
      </w:r>
      <w:r w:rsidR="00CA138D">
        <w:t xml:space="preserve"> </w:t>
      </w:r>
      <w:r>
        <w:t>To conduct the sensitivity analysis, w</w:t>
      </w:r>
      <w:r w:rsidR="00CA138D">
        <w:t xml:space="preserve">e repeated our </w:t>
      </w:r>
      <w:r w:rsidR="00377273">
        <w:t xml:space="preserve">unadjusted and adjusted </w:t>
      </w:r>
      <w:r>
        <w:t xml:space="preserve">Weibull </w:t>
      </w:r>
      <w:r w:rsidR="00377273">
        <w:t xml:space="preserve">regression </w:t>
      </w:r>
      <w:r>
        <w:t xml:space="preserve">survival analyses across the entire follow-up period, however we left all hospital contact events as separate events to see how this impacted the </w:t>
      </w:r>
      <w:r w:rsidR="000D31F3">
        <w:t xml:space="preserve">unadjusted and adjusted </w:t>
      </w:r>
      <w:r>
        <w:t>hazard ratio estimates</w:t>
      </w:r>
      <w:r w:rsidR="00A5759B">
        <w:t>.</w:t>
      </w:r>
    </w:p>
    <w:p w14:paraId="70871E43" w14:textId="77777777" w:rsidR="006C2C70" w:rsidRDefault="006C2C70" w:rsidP="00B17BC9"/>
    <w:p w14:paraId="26C51214" w14:textId="166D3A77" w:rsidR="006C2C70" w:rsidRDefault="006C2C70" w:rsidP="006C2C70"/>
    <w:p w14:paraId="671ACE11" w14:textId="77777777" w:rsidR="007914BB" w:rsidRDefault="006C2C70">
      <w:pPr>
        <w:sectPr w:rsidR="007914BB" w:rsidSect="00143DDA">
          <w:footerReference w:type="even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 w:type="page"/>
      </w:r>
    </w:p>
    <w:p w14:paraId="3C316C31" w14:textId="4F380EE6" w:rsidR="00D06F68" w:rsidRPr="00D06F68" w:rsidRDefault="006C2C70" w:rsidP="00D06F68">
      <w:pPr>
        <w:pStyle w:val="Heading2"/>
        <w:rPr>
          <w:rFonts w:cstheme="minorHAnsi"/>
        </w:rPr>
      </w:pPr>
      <w:r>
        <w:lastRenderedPageBreak/>
        <w:t>R</w:t>
      </w:r>
      <w:r w:rsidR="004E66DF">
        <w:t>esults</w:t>
      </w:r>
    </w:p>
    <w:p w14:paraId="14BA6694" w14:textId="77777777" w:rsidR="00E93718" w:rsidRDefault="00E93718"/>
    <w:p w14:paraId="2AA34701" w14:textId="3396FBDE" w:rsidR="00E93718" w:rsidRDefault="00E93718" w:rsidP="00143DDA">
      <w:pPr>
        <w:pStyle w:val="Heading3"/>
      </w:pPr>
      <w:r>
        <w:t>Selection bias analysis</w:t>
      </w:r>
    </w:p>
    <w:p w14:paraId="2DF92BA3" w14:textId="77777777" w:rsidR="00CA138D" w:rsidRDefault="00CA138D"/>
    <w:p w14:paraId="49526C7F" w14:textId="07B592B6" w:rsidR="00B17BC9" w:rsidRDefault="00B17BC9" w:rsidP="00B17BC9">
      <w:r>
        <w:t>Table S</w:t>
      </w:r>
      <w:r w:rsidR="007914BB">
        <w:t>1</w:t>
      </w:r>
      <w:r>
        <w:t xml:space="preserve">. </w:t>
      </w:r>
      <w:r w:rsidR="00EE745F">
        <w:t>Baseline predictors of being excluded from the study estimated using univariable modified Poisson log-linked regression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3"/>
        <w:gridCol w:w="1542"/>
        <w:gridCol w:w="772"/>
      </w:tblGrid>
      <w:tr w:rsidR="00B17BC9" w:rsidRPr="007B18A9" w14:paraId="7A145D63" w14:textId="77777777" w:rsidTr="00360C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910A3" w14:textId="692503AE" w:rsidR="00B17BC9" w:rsidRPr="007B18A9" w:rsidRDefault="009E2B73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Excluded from analysis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02883" w14:textId="26CC082E" w:rsidR="00B17BC9" w:rsidRPr="007B18A9" w:rsidRDefault="00B17BC9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RR (95%CI)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F07A0" w14:textId="5869E1D0" w:rsidR="00B17BC9" w:rsidRPr="007B18A9" w:rsidRDefault="00B17BC9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P</w:t>
            </w:r>
          </w:p>
        </w:tc>
      </w:tr>
      <w:tr w:rsidR="00B17BC9" w:rsidRPr="007B18A9" w14:paraId="62A2D65C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4F9E1D" w14:textId="58902366" w:rsidR="00B17BC9" w:rsidRPr="007B18A9" w:rsidRDefault="007B18A9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1C82D" w14:textId="60D857E8" w:rsidR="00B17BC9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0.53 (0.30, 0.94</w:t>
            </w:r>
            <w:r w:rsidR="00AE39E6" w:rsidRPr="007B18A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195A1D" w14:textId="52DA3063" w:rsidR="00B17BC9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0.030</w:t>
            </w:r>
          </w:p>
        </w:tc>
      </w:tr>
      <w:tr w:rsidR="00562398" w:rsidRPr="007B18A9" w14:paraId="7AA82133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7A41379C" w14:textId="01937772" w:rsidR="00562398" w:rsidRPr="007B18A9" w:rsidRDefault="00562398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Indigenous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FF5C40" w14:textId="40339B76" w:rsidR="00562398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2.22 (1.54, 3.19)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82D167" w14:textId="0A562B69" w:rsidR="00562398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&lt;0.001</w:t>
            </w:r>
          </w:p>
        </w:tc>
      </w:tr>
      <w:tr w:rsidR="00562398" w:rsidRPr="007B18A9" w14:paraId="69AC7255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32772BC9" w14:textId="62EB1447" w:rsidR="00562398" w:rsidRPr="007B18A9" w:rsidRDefault="00562398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&lt; 25 years old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7879A" w14:textId="0F75A309" w:rsidR="00562398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1.20 (0.82, 1.76)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79E0A9" w14:textId="7E844286" w:rsidR="00562398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0.335</w:t>
            </w:r>
          </w:p>
        </w:tc>
      </w:tr>
      <w:tr w:rsidR="00562398" w:rsidRPr="007B18A9" w14:paraId="3BB4A7CE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6CF8BB36" w14:textId="15BF2FCD" w:rsidR="00562398" w:rsidRPr="007B18A9" w:rsidRDefault="00562398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Employed 6 months pre-incarceration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32F224" w14:textId="6297A99D" w:rsidR="00562398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0.76 (0.52, 1.12)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01BBB" w14:textId="5725BF62" w:rsidR="00562398" w:rsidRPr="007B18A9" w:rsidRDefault="00562398" w:rsidP="00E93718">
            <w:pPr>
              <w:rPr>
                <w:rFonts w:cstheme="minorHAnsi"/>
                <w:sz w:val="20"/>
                <w:szCs w:val="20"/>
              </w:rPr>
            </w:pPr>
            <w:r w:rsidRPr="007B18A9">
              <w:rPr>
                <w:rFonts w:cstheme="minorHAnsi"/>
                <w:sz w:val="20"/>
                <w:szCs w:val="20"/>
              </w:rPr>
              <w:t>0.166</w:t>
            </w:r>
          </w:p>
        </w:tc>
      </w:tr>
      <w:tr w:rsidR="00B17BC9" w:rsidRPr="007B18A9" w14:paraId="15B60F13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680BC" w14:textId="77777777" w:rsidR="00B17BC9" w:rsidRPr="007B18A9" w:rsidRDefault="00B17BC9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Taken into care as a child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8562B2" w14:textId="3622236F" w:rsidR="00B17BC9" w:rsidRPr="007B18A9" w:rsidRDefault="00B17BC9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0.6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6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 xml:space="preserve"> (0.3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>, 1.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17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81B8F" w14:textId="4D83DA35" w:rsidR="00B17BC9" w:rsidRPr="007B18A9" w:rsidRDefault="00B17BC9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157</w:t>
            </w:r>
          </w:p>
        </w:tc>
      </w:tr>
      <w:tr w:rsidR="00AE5C16" w:rsidRPr="007B18A9" w14:paraId="2058B9B9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390F055D" w14:textId="6ECA2B9C" w:rsidR="00AE5C16" w:rsidRPr="007B18A9" w:rsidRDefault="00AE5C16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Moderate/high distress (K10)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D9F46" w14:textId="5DCD8DE7" w:rsidR="00AE5C16" w:rsidRPr="007B18A9" w:rsidRDefault="00F64BB0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1.23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 xml:space="preserve"> (0.</w:t>
            </w:r>
            <w:r>
              <w:rPr>
                <w:rFonts w:cstheme="minorHAnsi"/>
                <w:color w:val="000000"/>
                <w:sz w:val="20"/>
                <w:szCs w:val="20"/>
              </w:rPr>
              <w:t>80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, 1.</w:t>
            </w:r>
            <w:r>
              <w:rPr>
                <w:rFonts w:cstheme="minorHAnsi"/>
                <w:color w:val="000000"/>
                <w:sz w:val="20"/>
                <w:szCs w:val="20"/>
              </w:rPr>
              <w:t>90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3F5C8" w14:textId="31C9D014" w:rsidR="00AE5C16" w:rsidRPr="007B18A9" w:rsidRDefault="00AE5C16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</w:t>
            </w:r>
            <w:r w:rsidR="00F64BB0">
              <w:rPr>
                <w:rFonts w:cstheme="minorHAnsi"/>
                <w:color w:val="000000"/>
                <w:sz w:val="20"/>
                <w:szCs w:val="20"/>
              </w:rPr>
              <w:t>344</w:t>
            </w:r>
          </w:p>
        </w:tc>
      </w:tr>
      <w:tr w:rsidR="00AE5C16" w:rsidRPr="007B18A9" w14:paraId="623B46E7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238ECCB1" w14:textId="1E85D2AE" w:rsidR="00AE5C16" w:rsidRPr="007B18A9" w:rsidRDefault="00AE5C16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Ever diagnosed with mental illness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4F5C5E" w14:textId="678BD64A" w:rsidR="00AE5C16" w:rsidRPr="007B18A9" w:rsidRDefault="00AE5C16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1.01 (0.66, 1.54)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974B94" w14:textId="3D9EE27F" w:rsidR="00AE5C16" w:rsidRPr="007B18A9" w:rsidRDefault="00AE5C16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0.978</w:t>
            </w:r>
          </w:p>
        </w:tc>
      </w:tr>
      <w:tr w:rsidR="00AE5C16" w:rsidRPr="007B18A9" w14:paraId="2D35AB8C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0915533C" w14:textId="2B0C0869" w:rsidR="00AE5C16" w:rsidRPr="007B18A9" w:rsidRDefault="00AE5C16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Injected drugs ever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6E371" w14:textId="201145F0" w:rsidR="00AE5C16" w:rsidRPr="007B18A9" w:rsidRDefault="00AE5C16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0.68 (0.43, 1.07)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013D4" w14:textId="0BDCEEF9" w:rsidR="00AE5C16" w:rsidRPr="007B18A9" w:rsidRDefault="00AE5C16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0.095</w:t>
            </w:r>
          </w:p>
        </w:tc>
      </w:tr>
      <w:tr w:rsidR="00B17BC9" w:rsidRPr="007B18A9" w14:paraId="20B1889C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D0261" w14:textId="77777777" w:rsidR="00B17BC9" w:rsidRPr="007B18A9" w:rsidRDefault="00B17BC9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Previously overdosed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00F8BC" w14:textId="21E70C57" w:rsidR="00B17BC9" w:rsidRPr="007B18A9" w:rsidRDefault="00B17BC9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1.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33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0.81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2.17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5338A8" w14:textId="55775A6A" w:rsidR="00B17BC9" w:rsidRPr="007B18A9" w:rsidRDefault="00B17BC9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</w:t>
            </w:r>
            <w:r w:rsidR="00AE5C16" w:rsidRPr="007B18A9">
              <w:rPr>
                <w:rFonts w:cstheme="minorHAnsi"/>
                <w:color w:val="000000"/>
                <w:sz w:val="20"/>
                <w:szCs w:val="20"/>
              </w:rPr>
              <w:t>259</w:t>
            </w:r>
          </w:p>
        </w:tc>
      </w:tr>
      <w:tr w:rsidR="00562398" w:rsidRPr="007B18A9" w14:paraId="2718E52D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5568F12C" w14:textId="690D0695" w:rsidR="00562398" w:rsidRPr="007B18A9" w:rsidRDefault="00AE5C16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Low social support (ESSI &lt; 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90B6A" w14:textId="0BB63426" w:rsidR="00562398" w:rsidRPr="007B18A9" w:rsidRDefault="00AE5C16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1.0</w:t>
            </w:r>
            <w:r w:rsidR="00F64BB0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 xml:space="preserve"> (0.</w:t>
            </w:r>
            <w:r w:rsidR="00F64BB0">
              <w:rPr>
                <w:rFonts w:cstheme="minorHAnsi"/>
                <w:color w:val="000000"/>
                <w:sz w:val="20"/>
                <w:szCs w:val="20"/>
              </w:rPr>
              <w:t>75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>, 1.</w:t>
            </w:r>
            <w:r w:rsidR="00F64BB0">
              <w:rPr>
                <w:rFonts w:cstheme="minorHAnsi"/>
                <w:color w:val="000000"/>
                <w:sz w:val="20"/>
                <w:szCs w:val="20"/>
              </w:rPr>
              <w:t>58</w:t>
            </w:r>
            <w:r w:rsidRPr="007B18A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7A099" w14:textId="67FB5352" w:rsidR="00562398" w:rsidRPr="007B18A9" w:rsidRDefault="00AE5C16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</w:t>
            </w:r>
            <w:r w:rsidR="00F64BB0">
              <w:rPr>
                <w:rFonts w:cstheme="minorHAnsi"/>
                <w:color w:val="000000"/>
                <w:sz w:val="20"/>
                <w:szCs w:val="20"/>
              </w:rPr>
              <w:t>658</w:t>
            </w:r>
          </w:p>
        </w:tc>
      </w:tr>
      <w:tr w:rsidR="0023313E" w:rsidRPr="007B18A9" w14:paraId="743FE8CC" w14:textId="77777777" w:rsidTr="00143DDA">
        <w:trPr>
          <w:trHeight w:val="320"/>
        </w:trPr>
        <w:tc>
          <w:tcPr>
            <w:tcW w:w="0" w:type="auto"/>
            <w:shd w:val="clear" w:color="auto" w:fill="auto"/>
            <w:noWrap/>
            <w:vAlign w:val="bottom"/>
          </w:tcPr>
          <w:p w14:paraId="50F4B8DB" w14:textId="4BE6F7B3" w:rsidR="0023313E" w:rsidRPr="007B18A9" w:rsidRDefault="0023313E" w:rsidP="00360C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Moderate/high risk use of any substance (ASSIST)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6498C0" w14:textId="1766F8A5" w:rsidR="0023313E" w:rsidRPr="007B18A9" w:rsidRDefault="0023313E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1.01 (0.61, 1.68)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44ECDE" w14:textId="5F8E5AF9" w:rsidR="0023313E" w:rsidRPr="007B18A9" w:rsidRDefault="00F45433" w:rsidP="00143DD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B18A9">
              <w:rPr>
                <w:rFonts w:cstheme="minorHAnsi"/>
                <w:color w:val="000000"/>
                <w:sz w:val="20"/>
                <w:szCs w:val="20"/>
              </w:rPr>
              <w:t>0.967</w:t>
            </w:r>
          </w:p>
        </w:tc>
      </w:tr>
    </w:tbl>
    <w:p w14:paraId="2F5CCEA2" w14:textId="66B675A3" w:rsidR="000C5CDB" w:rsidRDefault="00562398" w:rsidP="00285C3E">
      <w:r w:rsidRPr="007B18A9">
        <w:rPr>
          <w:sz w:val="18"/>
          <w:szCs w:val="20"/>
        </w:rPr>
        <w:t>RR: relative risk</w:t>
      </w:r>
      <w:r w:rsidR="00AE5C16" w:rsidRPr="007B18A9">
        <w:rPr>
          <w:sz w:val="18"/>
          <w:szCs w:val="20"/>
        </w:rPr>
        <w:t>; K10: 10-item Kessler Psychological Distress Scale; ESSI: Enrichd Social Support Inventory</w:t>
      </w:r>
      <w:r w:rsidR="0023313E" w:rsidRPr="007B18A9">
        <w:rPr>
          <w:sz w:val="18"/>
          <w:szCs w:val="20"/>
        </w:rPr>
        <w:t>; ASSIST: Alcohol Smoking and Substance Involvement Screening Test</w:t>
      </w:r>
    </w:p>
    <w:p w14:paraId="5BB4908E" w14:textId="5CD7D7D4" w:rsidR="000C5CDB" w:rsidRDefault="000C5CDB">
      <w:r>
        <w:br w:type="page"/>
      </w:r>
    </w:p>
    <w:p w14:paraId="5AED8A77" w14:textId="1296D478" w:rsidR="000B7597" w:rsidRDefault="000B7597" w:rsidP="000B7597">
      <w:pPr>
        <w:pStyle w:val="Heading3"/>
      </w:pPr>
      <w:r>
        <w:lastRenderedPageBreak/>
        <w:t>Sensitivity analysis</w:t>
      </w:r>
    </w:p>
    <w:p w14:paraId="61A64177" w14:textId="77777777" w:rsidR="000B7597" w:rsidRPr="000B7597" w:rsidRDefault="000B7597" w:rsidP="000B7597"/>
    <w:p w14:paraId="5F7FBCED" w14:textId="5374E1FB" w:rsidR="000C5CDB" w:rsidRDefault="000C5CDB">
      <w:r>
        <w:t>Table S</w:t>
      </w:r>
      <w:r w:rsidR="007914BB">
        <w:t>2</w:t>
      </w:r>
      <w:r>
        <w:t>. Sensitivity analysis including all substance-related hospitalisations occurring on the same day as separate failure events</w:t>
      </w:r>
    </w:p>
    <w:tbl>
      <w:tblPr>
        <w:tblW w:w="12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7"/>
        <w:gridCol w:w="1355"/>
        <w:gridCol w:w="1356"/>
        <w:gridCol w:w="1369"/>
        <w:gridCol w:w="1356"/>
        <w:gridCol w:w="1356"/>
        <w:gridCol w:w="1356"/>
        <w:gridCol w:w="1356"/>
        <w:gridCol w:w="1349"/>
      </w:tblGrid>
      <w:tr w:rsidR="000C5CDB" w:rsidRPr="006B2A6B" w14:paraId="4E64AE05" w14:textId="77777777" w:rsidTr="00143DDA"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707B8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20BE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Cannabis-related</w:t>
            </w:r>
          </w:p>
        </w:tc>
        <w:tc>
          <w:tcPr>
            <w:tcW w:w="27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4FF74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Meth</w:t>
            </w:r>
            <w:r>
              <w:rPr>
                <w:sz w:val="20"/>
                <w:szCs w:val="20"/>
              </w:rPr>
              <w:t>amphetamine</w:t>
            </w:r>
            <w:r w:rsidRPr="006B2A6B">
              <w:rPr>
                <w:sz w:val="20"/>
                <w:szCs w:val="20"/>
              </w:rPr>
              <w:t>-related</w:t>
            </w:r>
          </w:p>
        </w:tc>
        <w:tc>
          <w:tcPr>
            <w:tcW w:w="2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C44D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Opioid-related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FC2E5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Any substance-related</w:t>
            </w:r>
          </w:p>
        </w:tc>
      </w:tr>
      <w:tr w:rsidR="000C5CDB" w:rsidRPr="006B2A6B" w14:paraId="70622F3D" w14:textId="77777777" w:rsidTr="00143DDA"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E610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AAB09" w14:textId="7FEECA03" w:rsidR="000C5CDB" w:rsidRPr="006B2A6B" w:rsidRDefault="0056343F" w:rsidP="00C6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(95%CI)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4D16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H</w:t>
            </w:r>
            <w:r w:rsidRPr="006B2A6B">
              <w:rPr>
                <w:sz w:val="20"/>
                <w:szCs w:val="20"/>
              </w:rPr>
              <w:t>R</w:t>
            </w:r>
            <w:r w:rsidRPr="00A97327">
              <w:rPr>
                <w:sz w:val="20"/>
                <w:szCs w:val="20"/>
                <w:vertAlign w:val="superscript"/>
              </w:rPr>
              <w:t>a</w:t>
            </w:r>
            <w:r w:rsidRPr="006B2A6B">
              <w:rPr>
                <w:sz w:val="20"/>
                <w:szCs w:val="20"/>
              </w:rPr>
              <w:t xml:space="preserve"> (95%CI)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3683" w14:textId="0FD43CE1" w:rsidR="000C5CDB" w:rsidRPr="006B2A6B" w:rsidRDefault="0056343F" w:rsidP="00C6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(95%CI)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FA41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H</w:t>
            </w:r>
            <w:r w:rsidRPr="006B2A6B">
              <w:rPr>
                <w:sz w:val="20"/>
                <w:szCs w:val="20"/>
              </w:rPr>
              <w:t>R</w:t>
            </w:r>
            <w:r w:rsidRPr="00A97327">
              <w:rPr>
                <w:sz w:val="20"/>
                <w:szCs w:val="20"/>
                <w:vertAlign w:val="superscript"/>
              </w:rPr>
              <w:t>a</w:t>
            </w:r>
            <w:r w:rsidRPr="006B2A6B">
              <w:rPr>
                <w:sz w:val="20"/>
                <w:szCs w:val="20"/>
              </w:rPr>
              <w:t xml:space="preserve"> (9%CI)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986E" w14:textId="03FEDD4B" w:rsidR="000C5CDB" w:rsidRPr="006B2A6B" w:rsidRDefault="0056343F" w:rsidP="00C6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(95%CI)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A7E0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H</w:t>
            </w:r>
            <w:r w:rsidRPr="006B2A6B">
              <w:rPr>
                <w:sz w:val="20"/>
                <w:szCs w:val="20"/>
              </w:rPr>
              <w:t>R</w:t>
            </w:r>
            <w:r w:rsidRPr="00A97327">
              <w:rPr>
                <w:sz w:val="20"/>
                <w:szCs w:val="20"/>
                <w:vertAlign w:val="superscript"/>
              </w:rPr>
              <w:t>a</w:t>
            </w:r>
            <w:r w:rsidRPr="006B2A6B">
              <w:rPr>
                <w:sz w:val="20"/>
                <w:szCs w:val="20"/>
              </w:rPr>
              <w:t xml:space="preserve"> (9%CI)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1623" w14:textId="5DC28063" w:rsidR="000C5CDB" w:rsidRPr="006B2A6B" w:rsidRDefault="0056343F" w:rsidP="00C6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 (95%CI)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2DC9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HR</w:t>
            </w:r>
            <w:r w:rsidRPr="00A97327">
              <w:rPr>
                <w:sz w:val="20"/>
                <w:szCs w:val="20"/>
                <w:vertAlign w:val="superscript"/>
              </w:rPr>
              <w:t>a</w:t>
            </w:r>
            <w:r w:rsidRPr="006B2A6B">
              <w:rPr>
                <w:sz w:val="20"/>
                <w:szCs w:val="20"/>
              </w:rPr>
              <w:t xml:space="preserve"> (9%CI)</w:t>
            </w:r>
          </w:p>
        </w:tc>
      </w:tr>
      <w:tr w:rsidR="000C5CDB" w:rsidRPr="006B2A6B" w14:paraId="0ED0B1FA" w14:textId="77777777" w:rsidTr="00143DDA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3163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Entire follow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851F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CE27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8A7C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6222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76D6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CA55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0082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6F11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</w:tr>
      <w:tr w:rsidR="000C5CDB" w:rsidRPr="006B2A6B" w14:paraId="2C72F7D3" w14:textId="77777777" w:rsidTr="00143DDA">
        <w:tc>
          <w:tcPr>
            <w:tcW w:w="1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6C47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Cannabis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E34B" w14:textId="547DDB85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47</w:t>
            </w:r>
            <w:r w:rsidRPr="006B2A6B">
              <w:rPr>
                <w:sz w:val="20"/>
                <w:szCs w:val="20"/>
              </w:rPr>
              <w:t xml:space="preserve"> (2.</w:t>
            </w:r>
            <w:r>
              <w:rPr>
                <w:sz w:val="20"/>
                <w:szCs w:val="20"/>
              </w:rPr>
              <w:t>59</w:t>
            </w:r>
            <w:r w:rsidRPr="006B2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</w:t>
            </w:r>
            <w:r w:rsidRPr="006B2A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65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285B2" w14:textId="0C90197D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34</w:t>
            </w:r>
            <w:r w:rsidRPr="006B2A6B">
              <w:rPr>
                <w:sz w:val="20"/>
                <w:szCs w:val="20"/>
              </w:rPr>
              <w:t xml:space="preserve"> (1.</w:t>
            </w:r>
            <w:r>
              <w:rPr>
                <w:sz w:val="20"/>
                <w:szCs w:val="20"/>
              </w:rPr>
              <w:t>72</w:t>
            </w:r>
            <w:r w:rsidRPr="006B2A6B">
              <w:rPr>
                <w:sz w:val="20"/>
                <w:szCs w:val="20"/>
              </w:rPr>
              <w:t>, 3.</w:t>
            </w:r>
            <w:r>
              <w:rPr>
                <w:sz w:val="20"/>
                <w:szCs w:val="20"/>
              </w:rPr>
              <w:t>19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FC226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0664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1B52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EF56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61DB" w14:textId="0E6A1F8E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.86</w:t>
            </w:r>
            <w:r w:rsidRPr="006B2A6B">
              <w:rPr>
                <w:sz w:val="20"/>
                <w:szCs w:val="20"/>
              </w:rPr>
              <w:t xml:space="preserve"> (1.</w:t>
            </w:r>
            <w:r>
              <w:rPr>
                <w:sz w:val="20"/>
                <w:szCs w:val="20"/>
              </w:rPr>
              <w:t>71</w:t>
            </w:r>
            <w:r w:rsidRPr="006B2A6B">
              <w:rPr>
                <w:sz w:val="20"/>
                <w:szCs w:val="20"/>
              </w:rPr>
              <w:t>, 2.</w:t>
            </w:r>
            <w:r>
              <w:rPr>
                <w:sz w:val="20"/>
                <w:szCs w:val="20"/>
              </w:rPr>
              <w:t>02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B718" w14:textId="454F44F3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</w:rPr>
              <w:t>3</w:t>
            </w:r>
            <w:r w:rsidRPr="006B2A6B">
              <w:rPr>
                <w:sz w:val="20"/>
                <w:szCs w:val="20"/>
              </w:rPr>
              <w:t xml:space="preserve"> (1.</w:t>
            </w:r>
            <w:r>
              <w:rPr>
                <w:sz w:val="20"/>
                <w:szCs w:val="20"/>
              </w:rPr>
              <w:t>22</w:t>
            </w:r>
            <w:r w:rsidRPr="006B2A6B">
              <w:rPr>
                <w:sz w:val="20"/>
                <w:szCs w:val="20"/>
              </w:rPr>
              <w:t>, 1.</w:t>
            </w:r>
            <w:r>
              <w:rPr>
                <w:sz w:val="20"/>
                <w:szCs w:val="20"/>
              </w:rPr>
              <w:t>45</w:t>
            </w:r>
            <w:r w:rsidRPr="006B2A6B">
              <w:rPr>
                <w:sz w:val="20"/>
                <w:szCs w:val="20"/>
              </w:rPr>
              <w:t>)</w:t>
            </w:r>
          </w:p>
        </w:tc>
      </w:tr>
      <w:tr w:rsidR="000C5CDB" w:rsidRPr="006B2A6B" w14:paraId="748C4F39" w14:textId="77777777" w:rsidTr="00143DDA">
        <w:tc>
          <w:tcPr>
            <w:tcW w:w="1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A348A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Meth</w:t>
            </w:r>
            <w:r>
              <w:rPr>
                <w:sz w:val="20"/>
                <w:szCs w:val="20"/>
              </w:rPr>
              <w:t>amphetamine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78A3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CB46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10FE6" w14:textId="735D6EEC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60</w:t>
            </w:r>
            <w:r w:rsidRPr="006B2A6B">
              <w:rPr>
                <w:sz w:val="20"/>
                <w:szCs w:val="20"/>
              </w:rPr>
              <w:t xml:space="preserve"> (3.</w:t>
            </w:r>
            <w:r>
              <w:rPr>
                <w:sz w:val="20"/>
                <w:szCs w:val="20"/>
              </w:rPr>
              <w:t>73</w:t>
            </w:r>
            <w:r w:rsidRPr="006B2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5.67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D1BC" w14:textId="6A152AA9" w:rsidR="000C5CDB" w:rsidRPr="006B2A6B" w:rsidRDefault="000C5CDB" w:rsidP="00C6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2.26</w:t>
            </w:r>
            <w:r w:rsidRPr="006B2A6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1.78</w:t>
            </w:r>
            <w:r w:rsidRPr="006B2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2.87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D16C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3D195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278F" w14:textId="4792AB25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1.4</w:t>
            </w:r>
            <w:r>
              <w:rPr>
                <w:sz w:val="20"/>
                <w:szCs w:val="20"/>
              </w:rPr>
              <w:t>2</w:t>
            </w:r>
            <w:r w:rsidRPr="006B2A6B">
              <w:rPr>
                <w:sz w:val="20"/>
                <w:szCs w:val="20"/>
              </w:rPr>
              <w:t xml:space="preserve"> (1.</w:t>
            </w:r>
            <w:r>
              <w:rPr>
                <w:sz w:val="20"/>
                <w:szCs w:val="20"/>
              </w:rPr>
              <w:t>32</w:t>
            </w:r>
            <w:r w:rsidRPr="006B2A6B">
              <w:rPr>
                <w:sz w:val="20"/>
                <w:szCs w:val="20"/>
              </w:rPr>
              <w:t>, 1.</w:t>
            </w:r>
            <w:r>
              <w:rPr>
                <w:sz w:val="20"/>
                <w:szCs w:val="20"/>
              </w:rPr>
              <w:t>55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580A" w14:textId="755FDBA4" w:rsidR="000C5CDB" w:rsidRPr="006B2A6B" w:rsidRDefault="000C5CDB" w:rsidP="00C6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</w:t>
            </w:r>
            <w:r w:rsidRPr="006B2A6B">
              <w:rPr>
                <w:sz w:val="20"/>
                <w:szCs w:val="20"/>
              </w:rPr>
              <w:t xml:space="preserve"> (0.</w:t>
            </w:r>
            <w:r>
              <w:rPr>
                <w:sz w:val="20"/>
                <w:szCs w:val="20"/>
              </w:rPr>
              <w:t>75</w:t>
            </w:r>
            <w:r w:rsidRPr="006B2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</w:t>
            </w:r>
            <w:r w:rsidRPr="006B2A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90</w:t>
            </w:r>
            <w:r w:rsidRPr="006B2A6B">
              <w:rPr>
                <w:sz w:val="20"/>
                <w:szCs w:val="20"/>
              </w:rPr>
              <w:t>)</w:t>
            </w:r>
          </w:p>
        </w:tc>
      </w:tr>
      <w:tr w:rsidR="000C5CDB" w:rsidRPr="006B2A6B" w14:paraId="25A6727C" w14:textId="77777777" w:rsidTr="00143DDA">
        <w:tc>
          <w:tcPr>
            <w:tcW w:w="17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2482" w14:textId="77777777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Heroin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7129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F4E2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46A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66D4" w14:textId="77777777" w:rsidR="000C5CDB" w:rsidRPr="006B2A6B" w:rsidRDefault="000C5CDB" w:rsidP="00C672F8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C86D" w14:textId="2B2D761A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25</w:t>
            </w:r>
            <w:r w:rsidRPr="006B2A6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9</w:t>
            </w:r>
            <w:r w:rsidRPr="006B2A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74</w:t>
            </w:r>
            <w:r w:rsidRPr="006B2A6B">
              <w:rPr>
                <w:sz w:val="20"/>
                <w:szCs w:val="20"/>
              </w:rPr>
              <w:t>, 1</w:t>
            </w:r>
            <w:r>
              <w:rPr>
                <w:sz w:val="20"/>
                <w:szCs w:val="20"/>
              </w:rPr>
              <w:t>5</w:t>
            </w:r>
            <w:r w:rsidRPr="006B2A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EFB8" w14:textId="3AB3FF2F" w:rsidR="000C5CDB" w:rsidRPr="006B2A6B" w:rsidRDefault="000C5CDB" w:rsidP="00C67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</w:t>
            </w:r>
            <w:r w:rsidRPr="006B2A6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</w:t>
            </w:r>
            <w:r w:rsidRPr="006B2A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27</w:t>
            </w:r>
            <w:r w:rsidRPr="006B2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7</w:t>
            </w:r>
            <w:r w:rsidRPr="006B2A6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21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0B75" w14:textId="43446089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63</w:t>
            </w:r>
            <w:r w:rsidRPr="006B2A6B">
              <w:rPr>
                <w:sz w:val="20"/>
                <w:szCs w:val="20"/>
              </w:rPr>
              <w:t xml:space="preserve"> (1.</w:t>
            </w:r>
            <w:r>
              <w:rPr>
                <w:sz w:val="20"/>
                <w:szCs w:val="20"/>
              </w:rPr>
              <w:t>48</w:t>
            </w:r>
            <w:r w:rsidRPr="006B2A6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1.80</w:t>
            </w:r>
            <w:r w:rsidRPr="006B2A6B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6863" w14:textId="0A05E986" w:rsidR="000C5CDB" w:rsidRPr="006B2A6B" w:rsidRDefault="000C5CDB" w:rsidP="00C672F8">
            <w:pPr>
              <w:rPr>
                <w:sz w:val="20"/>
                <w:szCs w:val="20"/>
              </w:rPr>
            </w:pPr>
            <w:r w:rsidRPr="006B2A6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12</w:t>
            </w:r>
            <w:r w:rsidRPr="006B2A6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1.00</w:t>
            </w:r>
            <w:r w:rsidRPr="006B2A6B">
              <w:rPr>
                <w:sz w:val="20"/>
                <w:szCs w:val="20"/>
              </w:rPr>
              <w:t>, 1.</w:t>
            </w:r>
            <w:r>
              <w:rPr>
                <w:sz w:val="20"/>
                <w:szCs w:val="20"/>
              </w:rPr>
              <w:t>24</w:t>
            </w:r>
            <w:r w:rsidRPr="006B2A6B">
              <w:rPr>
                <w:sz w:val="20"/>
                <w:szCs w:val="20"/>
              </w:rPr>
              <w:t>)</w:t>
            </w:r>
          </w:p>
        </w:tc>
      </w:tr>
    </w:tbl>
    <w:p w14:paraId="14ED8A86" w14:textId="00CBD58C" w:rsidR="00DE6C1F" w:rsidRDefault="00DE6C1F" w:rsidP="00285C3E">
      <w:pPr>
        <w:sectPr w:rsidR="00DE6C1F" w:rsidSect="00B44CA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B78DC96" w14:textId="62C1FEE4" w:rsidR="00EC7C8F" w:rsidRDefault="00EC7C8F"/>
    <w:p w14:paraId="17BC8696" w14:textId="37A2736E" w:rsidR="00B91DD6" w:rsidRDefault="00B91DD6" w:rsidP="00143DDA">
      <w:pPr>
        <w:pStyle w:val="Heading2"/>
      </w:pPr>
      <w:r>
        <w:t>Full multivariable Poisson regression models</w:t>
      </w:r>
    </w:p>
    <w:p w14:paraId="6E330592" w14:textId="0E26973E" w:rsidR="006B7503" w:rsidRDefault="006B7503" w:rsidP="006B7503"/>
    <w:p w14:paraId="7984D6AC" w14:textId="12AE2D7B" w:rsidR="00FE1F90" w:rsidRDefault="00FE1F90" w:rsidP="00143DDA">
      <w:pPr>
        <w:pStyle w:val="Heading3"/>
      </w:pPr>
      <w:r>
        <w:t>Specific substance-related hospitalisation</w:t>
      </w:r>
    </w:p>
    <w:p w14:paraId="0F2D2F39" w14:textId="77777777" w:rsidR="00FE1F90" w:rsidRDefault="00FE1F90" w:rsidP="006B7503"/>
    <w:p w14:paraId="1E448E71" w14:textId="462D52BB" w:rsidR="006E32F7" w:rsidRDefault="006E32F7" w:rsidP="006B7503">
      <w:r>
        <w:t>Table S</w:t>
      </w:r>
      <w:r w:rsidR="000B7597">
        <w:t>3</w:t>
      </w:r>
      <w:r>
        <w:t>. Multivariable Weibull regression comparing hazard rates of opioid-related hospitalisation between low/no and moderate/high risk heroin groups for 3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E32F7" w:rsidRPr="006E32F7" w14:paraId="7599A94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D58961C" w14:textId="14D42F4E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Opioid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A839DB7" w14:textId="38FA6056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4664E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00A88C2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3005EA4" w14:textId="5AF7459B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03B7CA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19.95 (8.2, 48.54)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2968DB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2D15FB0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D14770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527F5E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1.54 (0.77, 3.08)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109AF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0.218</w:t>
            </w:r>
          </w:p>
        </w:tc>
      </w:tr>
      <w:tr w:rsidR="006E32F7" w:rsidRPr="006E32F7" w14:paraId="254E74E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F4C1AB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A9391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1.53 (0.75, 3.09)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000F0F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0.241</w:t>
            </w:r>
          </w:p>
        </w:tc>
      </w:tr>
      <w:tr w:rsidR="006E32F7" w:rsidRPr="006E32F7" w14:paraId="3A2021F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DE7ECE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578471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1.01 (0.98, 1.05)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4C09C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0.443</w:t>
            </w:r>
          </w:p>
        </w:tc>
      </w:tr>
      <w:tr w:rsidR="006E32F7" w:rsidRPr="006E32F7" w14:paraId="73C25A8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DC4A2B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BA2C24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0.67 (0.31, 1.46)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043DC4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0.313</w:t>
            </w:r>
          </w:p>
        </w:tc>
      </w:tr>
      <w:tr w:rsidR="006E32F7" w:rsidRPr="006E32F7" w14:paraId="6C11908D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2189E9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589499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D92947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3069E95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8E3676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70205A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0.99 (0.43, 2.27)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A0870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0.982</w:t>
            </w:r>
          </w:p>
        </w:tc>
      </w:tr>
      <w:tr w:rsidR="006E32F7" w:rsidRPr="006E32F7" w14:paraId="195F9DB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A28C25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8B4250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0.55 (0.27, 1.14)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FD317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0.109</w:t>
            </w:r>
          </w:p>
        </w:tc>
      </w:tr>
      <w:tr w:rsidR="006E32F7" w:rsidRPr="006E32F7" w14:paraId="1D8D941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432362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553F9E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1.27 (0.63, 2.54)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A762F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0.507</w:t>
            </w:r>
          </w:p>
        </w:tc>
      </w:tr>
      <w:tr w:rsidR="006E32F7" w:rsidRPr="006E32F7" w14:paraId="7EF806F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B7662A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7B3CB5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1.03 (0.52, 2.02)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8D335A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0.941</w:t>
            </w:r>
          </w:p>
        </w:tc>
      </w:tr>
      <w:tr w:rsidR="006E32F7" w:rsidRPr="006E32F7" w14:paraId="1029EF7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C303AE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151600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0.69 (0.35, 1.34)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DEB74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0.270</w:t>
            </w:r>
          </w:p>
        </w:tc>
      </w:tr>
      <w:tr w:rsidR="006E32F7" w:rsidRPr="006E32F7" w14:paraId="223AD5F1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3D5804D" w14:textId="532B4798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  <w:r w:rsidR="00684BB5">
              <w:rPr>
                <w:rFonts w:ascii="Calibri" w:hAnsi="Calibri" w:cs="Calibri"/>
                <w:color w:val="000000"/>
                <w:szCs w:val="22"/>
                <w:lang w:eastAsia="en-AU"/>
              </w:rPr>
              <w:t>*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0A7E769" w14:textId="76932B31" w:rsidR="006E32F7" w:rsidRPr="00143DDA" w:rsidRDefault="00684BB5" w:rsidP="00684BB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-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656E06" w14:textId="6C2C7C55" w:rsidR="006E32F7" w:rsidRPr="006E32F7" w:rsidRDefault="00684BB5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-</w:t>
            </w:r>
          </w:p>
        </w:tc>
      </w:tr>
      <w:tr w:rsidR="006E32F7" w:rsidRPr="006E32F7" w14:paraId="74454F1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62E386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6365D3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1.83 (0.91, 3.67)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A32814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0.090</w:t>
            </w:r>
          </w:p>
        </w:tc>
      </w:tr>
      <w:tr w:rsidR="006E32F7" w:rsidRPr="006E32F7" w14:paraId="55AD5E1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1F9398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120747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2.61 (1.3, 5.27)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20C83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0.007</w:t>
            </w:r>
          </w:p>
        </w:tc>
      </w:tr>
    </w:tbl>
    <w:p w14:paraId="73C430B8" w14:textId="330284F1" w:rsidR="0056343F" w:rsidRPr="00EC7C8F" w:rsidRDefault="0056343F" w:rsidP="0056343F">
      <w:pPr>
        <w:rPr>
          <w:sz w:val="18"/>
          <w:szCs w:val="18"/>
        </w:rPr>
      </w:pPr>
      <w:bookmarkStart w:id="0" w:name="OLE_LINK1"/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bookmarkEnd w:id="0"/>
    <w:p w14:paraId="4BF8841A" w14:textId="08B17408" w:rsidR="006E32F7" w:rsidRDefault="006E32F7" w:rsidP="006B7503"/>
    <w:p w14:paraId="789D7579" w14:textId="301EA0F6" w:rsidR="006E32F7" w:rsidRDefault="006E32F7" w:rsidP="006B7503"/>
    <w:p w14:paraId="2211D33D" w14:textId="522BB1A9" w:rsidR="006E32F7" w:rsidRDefault="006E32F7" w:rsidP="006B7503">
      <w:r>
        <w:t>Table S</w:t>
      </w:r>
      <w:r w:rsidR="000B7597">
        <w:t>4</w:t>
      </w:r>
      <w:r>
        <w:t>. Multivariable Weibull regression comparing hazard rates of methamphetamine-related hospitalisation between low/no and moderate/high risk methamphetamine groups for 3 months after release from prison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1674"/>
        <w:gridCol w:w="878"/>
      </w:tblGrid>
      <w:tr w:rsidR="006E32F7" w:rsidRPr="006E32F7" w14:paraId="377ECEB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8737F9" w14:textId="1D8EC901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Methamphetamine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7B1411" w14:textId="701AD089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BD840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1BFEC925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CC4773" w14:textId="4BE3588A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DD6E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3.14 (1.24, 7.95)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92FE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0.016</w:t>
            </w:r>
          </w:p>
        </w:tc>
      </w:tr>
      <w:tr w:rsidR="006E32F7" w:rsidRPr="006E32F7" w14:paraId="4E8AC398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7545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EAE3B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1.95 (1.05, 3.61)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EF57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0.034</w:t>
            </w:r>
          </w:p>
        </w:tc>
      </w:tr>
      <w:tr w:rsidR="006E32F7" w:rsidRPr="006E32F7" w14:paraId="789732D7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E8C5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DBA61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1.38 (0.71, 2.68)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EFC0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0.348</w:t>
            </w:r>
          </w:p>
        </w:tc>
      </w:tr>
      <w:tr w:rsidR="006E32F7" w:rsidRPr="006E32F7" w14:paraId="18018995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8658F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EF2B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0.99 (0.95, 1.03)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811B4F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0.528</w:t>
            </w:r>
          </w:p>
        </w:tc>
      </w:tr>
      <w:tr w:rsidR="006E32F7" w:rsidRPr="006E32F7" w14:paraId="759B000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07D18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EDF7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0.79 (0.39, 1.61)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EEE5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0.511</w:t>
            </w:r>
          </w:p>
        </w:tc>
      </w:tr>
      <w:tr w:rsidR="006E32F7" w:rsidRPr="006E32F7" w14:paraId="5188C9EF" w14:textId="77777777" w:rsidTr="00143DDA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C3C9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D746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75D72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1347BE0E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B7C8D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A0B2F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0.69 (0.26, 1.81)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FEF69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0.450</w:t>
            </w:r>
          </w:p>
        </w:tc>
      </w:tr>
      <w:tr w:rsidR="006E32F7" w:rsidRPr="006E32F7" w14:paraId="3ECA0297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52CA7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E3DF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 (0.48, 1.69)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0B83B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0.744</w:t>
            </w:r>
          </w:p>
        </w:tc>
      </w:tr>
      <w:tr w:rsidR="006E32F7" w:rsidRPr="006E32F7" w14:paraId="11061719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D22A5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AFB42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0.54 (0.23, 1.3)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A041B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0.170</w:t>
            </w:r>
          </w:p>
        </w:tc>
      </w:tr>
      <w:tr w:rsidR="006E32F7" w:rsidRPr="006E32F7" w14:paraId="0BFE369F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0D91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8564B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0.88 (0.48, 1.62)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53850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0.688</w:t>
            </w:r>
          </w:p>
        </w:tc>
      </w:tr>
      <w:tr w:rsidR="006E32F7" w:rsidRPr="006E32F7" w14:paraId="52CE314B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2384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585F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1.68 (0.87, 3.23)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E1E2F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0.122</w:t>
            </w:r>
          </w:p>
        </w:tc>
      </w:tr>
      <w:tr w:rsidR="006E32F7" w:rsidRPr="006E32F7" w14:paraId="0BC14149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45F05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35C7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4.3 (1.21, 15.31)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EB63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0.024</w:t>
            </w:r>
          </w:p>
        </w:tc>
      </w:tr>
      <w:tr w:rsidR="006E32F7" w:rsidRPr="006E32F7" w14:paraId="3F19749A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F2572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07220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1.39 (0.76, 2.57)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147BA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0.287</w:t>
            </w:r>
          </w:p>
        </w:tc>
      </w:tr>
      <w:tr w:rsidR="006E32F7" w:rsidRPr="006E32F7" w14:paraId="0B7E2491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AFD1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ECC16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1.18 (0.66, 2.12)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C3BED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0.578</w:t>
            </w:r>
          </w:p>
        </w:tc>
      </w:tr>
    </w:tbl>
    <w:p w14:paraId="55A5F45D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7ACBF409" w14:textId="6691E7D0" w:rsidR="0056343F" w:rsidRDefault="0056343F">
      <w:r>
        <w:br w:type="page"/>
      </w:r>
    </w:p>
    <w:p w14:paraId="06770AA1" w14:textId="77777777" w:rsidR="006E32F7" w:rsidRDefault="006E32F7" w:rsidP="006B7503"/>
    <w:p w14:paraId="50D24C47" w14:textId="77777777" w:rsidR="006E32F7" w:rsidRDefault="006E32F7" w:rsidP="006B7503"/>
    <w:p w14:paraId="723BF245" w14:textId="058FD3E1" w:rsidR="006E32F7" w:rsidRDefault="006E32F7" w:rsidP="006B7503">
      <w:r>
        <w:t>Table S</w:t>
      </w:r>
      <w:r w:rsidR="000B7597">
        <w:t>5</w:t>
      </w:r>
      <w:r>
        <w:t>. Multivariable Weibull regression comparing hazard rates of cannabis-related hospitalisation between low/no and moderate/high risk cannabis groups for 3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E32F7" w:rsidRPr="006E32F7" w14:paraId="17D7F43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08A4A69" w14:textId="64DA560C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Cannabis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45561BB" w14:textId="3D85E991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316A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248191F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2C0674D" w14:textId="3DCC1697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A47CAD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3.72 (0.83, 16.7)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3D7A1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0.087</w:t>
            </w:r>
          </w:p>
        </w:tc>
      </w:tr>
      <w:tr w:rsidR="006E32F7" w:rsidRPr="006E32F7" w14:paraId="6BA3727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9CA2AE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BDD3FF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1.46 (0.5, 4.28)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1EB518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0.485</w:t>
            </w:r>
          </w:p>
        </w:tc>
      </w:tr>
      <w:tr w:rsidR="006E32F7" w:rsidRPr="006E32F7" w14:paraId="437B922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86A677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5110BC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1.38 (0.44, 4.35)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FE151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0.581</w:t>
            </w:r>
          </w:p>
        </w:tc>
      </w:tr>
      <w:tr w:rsidR="006E32F7" w:rsidRPr="006E32F7" w14:paraId="0ED7A8E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6A2E5F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25D21F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0.97 (0.91, 1.04)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ED475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0.423</w:t>
            </w:r>
          </w:p>
        </w:tc>
      </w:tr>
      <w:tr w:rsidR="006E32F7" w:rsidRPr="006E32F7" w14:paraId="6365195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2788CC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BC76D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0.17 (0.02, 1.37)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2909A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0.096</w:t>
            </w:r>
          </w:p>
        </w:tc>
      </w:tr>
      <w:tr w:rsidR="006E32F7" w:rsidRPr="006E32F7" w14:paraId="71DFC68A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889591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82AF22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98FAF0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5641B76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0D097F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D63A87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1.31 (0.32, 5.31)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43AC9D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0.703</w:t>
            </w:r>
          </w:p>
        </w:tc>
      </w:tr>
      <w:tr w:rsidR="006E32F7" w:rsidRPr="006E32F7" w14:paraId="6444199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2260FB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9359E6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0.87 (0.26, 2.9)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0B5EE4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0.814</w:t>
            </w:r>
          </w:p>
        </w:tc>
      </w:tr>
      <w:tr w:rsidR="006E32F7" w:rsidRPr="006E32F7" w14:paraId="34C6212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396514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8B8FD1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1.12 (0.34, 3.65)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D13AB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0.856</w:t>
            </w:r>
          </w:p>
        </w:tc>
      </w:tr>
      <w:tr w:rsidR="006E32F7" w:rsidRPr="006E32F7" w14:paraId="58A0381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FF372A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981FFB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1.74 (0.52, 5.81)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3C6FF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0.365</w:t>
            </w:r>
          </w:p>
        </w:tc>
      </w:tr>
      <w:tr w:rsidR="006E32F7" w:rsidRPr="006E32F7" w14:paraId="1407250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59395D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9E8B67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1.02 (0.33, 3.13)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ABFC9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0.975</w:t>
            </w:r>
          </w:p>
        </w:tc>
      </w:tr>
      <w:tr w:rsidR="006E32F7" w:rsidRPr="006E32F7" w14:paraId="33E5B0C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1231E2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B49B8D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1.37 (0.36, 5.17)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458400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0.642</w:t>
            </w:r>
          </w:p>
        </w:tc>
      </w:tr>
      <w:tr w:rsidR="006E32F7" w:rsidRPr="006E32F7" w14:paraId="375C710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DBB34F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1EB681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3.73 (1.26, 11.03)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05AA2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0.017</w:t>
            </w:r>
          </w:p>
        </w:tc>
      </w:tr>
      <w:tr w:rsidR="006E32F7" w:rsidRPr="006E32F7" w14:paraId="233436F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06A015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DC2965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0.85 (0.3, 2.43)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0D52F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0.765</w:t>
            </w:r>
          </w:p>
        </w:tc>
      </w:tr>
    </w:tbl>
    <w:p w14:paraId="1CE32F0E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56E49333" w14:textId="17447DF6" w:rsidR="006E32F7" w:rsidRDefault="006E32F7" w:rsidP="006B7503"/>
    <w:p w14:paraId="39A110C6" w14:textId="77777777" w:rsidR="006E32F7" w:rsidRDefault="006E32F7" w:rsidP="006B7503"/>
    <w:p w14:paraId="1FEB4838" w14:textId="0191B7D9" w:rsidR="006E32F7" w:rsidRDefault="006E32F7" w:rsidP="006B7503"/>
    <w:p w14:paraId="4E46B315" w14:textId="68C8B86C" w:rsidR="006E32F7" w:rsidRDefault="006E32F7" w:rsidP="006B7503">
      <w:r>
        <w:t>Table S</w:t>
      </w:r>
      <w:r w:rsidR="000B7597">
        <w:t>6</w:t>
      </w:r>
      <w:r>
        <w:t>. Multivariable Weibull regression comparing hazard rates of opioid-related hospitalisation between low/no and moderate/high risk heroin groups for 6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E32F7" w:rsidRPr="006E32F7" w14:paraId="47A98DC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9DD1623" w14:textId="0D187517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Opioid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1A7325A" w14:textId="3021E6D6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43874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3650156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EB1D799" w14:textId="4824CA00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7A8F88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8.15 (4.5, 14.75)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5314C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3A4E525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952738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B26CAB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2.3 (1.39, 3.81)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3BFC6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6E32F7" w:rsidRPr="006E32F7" w14:paraId="30203DF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9BA589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CE518B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1.5 (0.9, 2.51)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F1A3A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0.119</w:t>
            </w:r>
          </w:p>
        </w:tc>
      </w:tr>
      <w:tr w:rsidR="006E32F7" w:rsidRPr="006E32F7" w14:paraId="7D8C621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FF5458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F7A2DD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1.03 (1, 1.06)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3DF928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0.035</w:t>
            </w:r>
          </w:p>
        </w:tc>
      </w:tr>
      <w:tr w:rsidR="006E32F7" w:rsidRPr="006E32F7" w14:paraId="70B0255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D9D435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2E034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0.54 (0.28, 1.04)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3F9E7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0.065</w:t>
            </w:r>
          </w:p>
        </w:tc>
      </w:tr>
      <w:tr w:rsidR="006E32F7" w:rsidRPr="006E32F7" w14:paraId="032FFB54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0960F3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7D388A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2F35CE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6158BA5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2C970A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4F4684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1.06 (0.54, 2.06)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523F7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0.869</w:t>
            </w:r>
          </w:p>
        </w:tc>
      </w:tr>
      <w:tr w:rsidR="006E32F7" w:rsidRPr="006E32F7" w14:paraId="14A3BE0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3F1E28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18CABC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0.78 (0.46, 1.33)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A72E30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0.364</w:t>
            </w:r>
          </w:p>
        </w:tc>
      </w:tr>
      <w:tr w:rsidR="006E32F7" w:rsidRPr="006E32F7" w14:paraId="34247DC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8BEF80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13DEF5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1.02 (0.6, 1.76)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13014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0.934</w:t>
            </w:r>
          </w:p>
        </w:tc>
      </w:tr>
      <w:tr w:rsidR="006E32F7" w:rsidRPr="006E32F7" w14:paraId="3FCE6FA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6FAD63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FF91DC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 (0.6, 1.67)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F72EE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0.998</w:t>
            </w:r>
          </w:p>
        </w:tc>
      </w:tr>
      <w:tr w:rsidR="006E32F7" w:rsidRPr="006E32F7" w14:paraId="2D2B610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D9EA53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A364F9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1.02 (0.6, 1.71)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097DDF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0.955</w:t>
            </w:r>
          </w:p>
        </w:tc>
      </w:tr>
      <w:tr w:rsidR="006E32F7" w:rsidRPr="006E32F7" w14:paraId="5A669D9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4359BD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7A8423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12.85 (1.7, 97.15)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016AB0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0.013</w:t>
            </w:r>
          </w:p>
        </w:tc>
      </w:tr>
      <w:tr w:rsidR="006E32F7" w:rsidRPr="006E32F7" w14:paraId="58EDA37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DB8271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CC0353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2.05 (1.2, 3.48)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C51CC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  <w:tr w:rsidR="006E32F7" w:rsidRPr="006E32F7" w14:paraId="7E08040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FA49CF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925906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2.51 (1.46, 4.3)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22C5B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</w:tbl>
    <w:p w14:paraId="211534D4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0233795C" w14:textId="5350F655" w:rsidR="006E32F7" w:rsidRDefault="006E32F7" w:rsidP="006B7503"/>
    <w:p w14:paraId="77D97709" w14:textId="77777777" w:rsidR="000B7597" w:rsidRDefault="000B7597">
      <w:r>
        <w:br w:type="page"/>
      </w:r>
    </w:p>
    <w:p w14:paraId="6406EF52" w14:textId="4DC41EAB" w:rsidR="006E32F7" w:rsidRDefault="006E32F7" w:rsidP="006B7503">
      <w:r>
        <w:lastRenderedPageBreak/>
        <w:t>Table S</w:t>
      </w:r>
      <w:r w:rsidR="000B7597">
        <w:t>7</w:t>
      </w:r>
      <w:r>
        <w:t>. Multivariable Weibull regression comparing hazard rates of methamphetamine-related hospitalisation between low/no and moderate/high risk methamphetamine groups for 6 months after release from prison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1674"/>
        <w:gridCol w:w="878"/>
      </w:tblGrid>
      <w:tr w:rsidR="006E32F7" w:rsidRPr="006E32F7" w14:paraId="3CD22030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E9C11" w14:textId="411B8A6D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Methamphetamine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614A3" w14:textId="183CF20C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E2909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1A48500B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29ACC6" w14:textId="05808988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D611E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3.08 (1.61, 5.87)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78B870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6E32F7" w:rsidRPr="006E32F7" w14:paraId="4CEFA5B1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33880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6E3D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1.86 (1.19, 2.9)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907544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0.007</w:t>
            </w:r>
          </w:p>
        </w:tc>
      </w:tr>
      <w:tr w:rsidR="006E32F7" w:rsidRPr="006E32F7" w14:paraId="192FC3F6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B4580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A217D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1.15 (0.7, 1.88)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9E41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0.585</w:t>
            </w:r>
          </w:p>
        </w:tc>
      </w:tr>
      <w:tr w:rsidR="006E32F7" w:rsidRPr="006E32F7" w14:paraId="3BD812B8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D6F0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19A5B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 (0.97, 1.02)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7BB44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0.798</w:t>
            </w:r>
          </w:p>
        </w:tc>
      </w:tr>
      <w:tr w:rsidR="006E32F7" w:rsidRPr="006E32F7" w14:paraId="165AB21C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52EFC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5F52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0.92 (0.56, 1.5)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A617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0.739</w:t>
            </w:r>
          </w:p>
        </w:tc>
      </w:tr>
      <w:tr w:rsidR="006E32F7" w:rsidRPr="006E32F7" w14:paraId="3788CBA6" w14:textId="77777777" w:rsidTr="00143DDA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F8A6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D6E0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2EFDC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29BA87D0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F97B8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54DF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 (0.29, 1.24)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8D386D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0.165</w:t>
            </w:r>
          </w:p>
        </w:tc>
      </w:tr>
      <w:tr w:rsidR="006E32F7" w:rsidRPr="006E32F7" w14:paraId="0544E5BA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F904B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36A54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0.89 (0.56, 1.4)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6EF1F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0.606</w:t>
            </w:r>
          </w:p>
        </w:tc>
      </w:tr>
      <w:tr w:rsidR="006E32F7" w:rsidRPr="006E32F7" w14:paraId="3F2D74AA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DBA0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5A35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0.88 (0.52, 1.52)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8E8F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0.655</w:t>
            </w:r>
          </w:p>
        </w:tc>
      </w:tr>
      <w:tr w:rsidR="006E32F7" w:rsidRPr="006E32F7" w14:paraId="0E6D6F2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1750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455A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0.91 (0.58, 1.41)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6D10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0.660</w:t>
            </w:r>
          </w:p>
        </w:tc>
      </w:tr>
      <w:tr w:rsidR="006E32F7" w:rsidRPr="006E32F7" w14:paraId="40A4ABFE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4D155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76D1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2.02 (1.25, 3.28)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1BD38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0.004</w:t>
            </w:r>
          </w:p>
        </w:tc>
      </w:tr>
      <w:tr w:rsidR="006E32F7" w:rsidRPr="006E32F7" w14:paraId="1F00FB85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704E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343FD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3.69 (1.58, 8.61)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1720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0.003</w:t>
            </w:r>
          </w:p>
        </w:tc>
      </w:tr>
      <w:tr w:rsidR="006E32F7" w:rsidRPr="006E32F7" w14:paraId="202EDB7E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BDE9E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C2C21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1.07 (0.68, 1.68)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9CECA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0.761</w:t>
            </w:r>
          </w:p>
        </w:tc>
      </w:tr>
      <w:tr w:rsidR="006E32F7" w:rsidRPr="006E32F7" w14:paraId="61408C93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A7461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39C27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1.39 (0.91, 2.12)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E639B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0.131</w:t>
            </w:r>
          </w:p>
        </w:tc>
      </w:tr>
    </w:tbl>
    <w:p w14:paraId="65955BB9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3A756CFC" w14:textId="5660C81B" w:rsidR="006E32F7" w:rsidRDefault="006E32F7" w:rsidP="006B7503"/>
    <w:p w14:paraId="59E9A7A5" w14:textId="72730DE5" w:rsidR="006E32F7" w:rsidRDefault="006E32F7" w:rsidP="006B7503"/>
    <w:p w14:paraId="42E90D77" w14:textId="77777777" w:rsidR="006E32F7" w:rsidRDefault="006E32F7" w:rsidP="006B7503"/>
    <w:p w14:paraId="4E71E2D0" w14:textId="6D5E44B5" w:rsidR="006E32F7" w:rsidRDefault="006E32F7" w:rsidP="006B7503">
      <w:r>
        <w:t>Table S</w:t>
      </w:r>
      <w:r w:rsidR="000B7597">
        <w:t>8</w:t>
      </w:r>
      <w:r>
        <w:t>. Multivariable Weibull regression comparing hazard rates of cannabis-related hospitalisation between low/no and moderate/high risk cannabis groups for 6 months after release from prison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8"/>
        <w:gridCol w:w="1674"/>
        <w:gridCol w:w="878"/>
      </w:tblGrid>
      <w:tr w:rsidR="006E32F7" w:rsidRPr="006E32F7" w14:paraId="4470F90F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3D7DF" w14:textId="16036ED2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Cannabis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8D5A74" w14:textId="7552A052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4092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49302827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0F9C00" w14:textId="32598855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E086E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2.99 (1.3, 6.88)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398F8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0.010</w:t>
            </w:r>
          </w:p>
        </w:tc>
      </w:tr>
      <w:tr w:rsidR="006E32F7" w:rsidRPr="006E32F7" w14:paraId="50544C67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8133A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6DB6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1.43 (0.74, 2.76)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B69BD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0.294</w:t>
            </w:r>
          </w:p>
        </w:tc>
      </w:tr>
      <w:tr w:rsidR="006E32F7" w:rsidRPr="006E32F7" w14:paraId="4F3C231B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3F5F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FE9C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1.61 (0.79, 3.27)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B9855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0.187</w:t>
            </w:r>
          </w:p>
        </w:tc>
      </w:tr>
      <w:tr w:rsidR="006E32F7" w:rsidRPr="006E32F7" w14:paraId="74A8FBAB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BA2D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3F33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0.99 (0.95, 1.03)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D76E2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0.508</w:t>
            </w:r>
          </w:p>
        </w:tc>
      </w:tr>
      <w:tr w:rsidR="006E32F7" w:rsidRPr="006E32F7" w14:paraId="222D256D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CBCFD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1941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0.38 (0.15, 0.93)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CA410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0.034</w:t>
            </w:r>
          </w:p>
        </w:tc>
      </w:tr>
      <w:tr w:rsidR="006E32F7" w:rsidRPr="006E32F7" w14:paraId="2CBA06FD" w14:textId="77777777" w:rsidTr="00143DDA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17A7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35BE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A7E3F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078C4E88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AAD20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493B2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0.66 (0.24, 1.76)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E24F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0.405</w:t>
            </w:r>
          </w:p>
        </w:tc>
      </w:tr>
      <w:tr w:rsidR="006E32F7" w:rsidRPr="006E32F7" w14:paraId="53B0A1F5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AD592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40F06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 (0.41, 1.59)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44A3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0.530</w:t>
            </w:r>
          </w:p>
        </w:tc>
      </w:tr>
      <w:tr w:rsidR="006E32F7" w:rsidRPr="006E32F7" w14:paraId="6C13959A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421CC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56066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0.69 (0.3, 1.58)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0AC0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0.377</w:t>
            </w:r>
          </w:p>
        </w:tc>
      </w:tr>
      <w:tr w:rsidR="006E32F7" w:rsidRPr="006E32F7" w14:paraId="68F93D21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F1CB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DAEB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1.09 (0.56, 2.13)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45D3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0.794</w:t>
            </w:r>
          </w:p>
        </w:tc>
      </w:tr>
      <w:tr w:rsidR="006E32F7" w:rsidRPr="006E32F7" w14:paraId="0F44CEC0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AB0AA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3B50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1.53 (0.75, 3.12)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5A98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0.240</w:t>
            </w:r>
          </w:p>
        </w:tc>
      </w:tr>
      <w:tr w:rsidR="006E32F7" w:rsidRPr="006E32F7" w14:paraId="46553F6B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BC4C2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C25B0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1.36 (0.62, 2.98)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B9DE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0.436</w:t>
            </w:r>
          </w:p>
        </w:tc>
      </w:tr>
      <w:tr w:rsidR="006E32F7" w:rsidRPr="006E32F7" w14:paraId="0852E15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ED4E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B2E8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1.78 (0.92, 3.44)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651E9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0.085</w:t>
            </w:r>
          </w:p>
        </w:tc>
      </w:tr>
      <w:tr w:rsidR="006E32F7" w:rsidRPr="006E32F7" w14:paraId="16C9BEAC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9ABA4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8946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1.76 (0.92, 3.37)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91006A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0.087</w:t>
            </w:r>
          </w:p>
        </w:tc>
      </w:tr>
    </w:tbl>
    <w:p w14:paraId="6992159C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5B712670" w14:textId="2C29AAE6" w:rsidR="006E32F7" w:rsidRDefault="006E32F7" w:rsidP="006B7503"/>
    <w:p w14:paraId="0D399975" w14:textId="77777777" w:rsidR="000B7597" w:rsidRDefault="000B7597">
      <w:r>
        <w:br w:type="page"/>
      </w:r>
    </w:p>
    <w:p w14:paraId="558DFF50" w14:textId="31B5242D" w:rsidR="006E32F7" w:rsidRDefault="006E32F7" w:rsidP="006B7503">
      <w:r>
        <w:lastRenderedPageBreak/>
        <w:t>Table S</w:t>
      </w:r>
      <w:r w:rsidR="000B7597">
        <w:t>9</w:t>
      </w:r>
      <w:r>
        <w:t>. Multivariable Weibull regression comparing hazard rates of opioid-related hospitalisation between low/no and moderate/high risk heroin groups for 12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E32F7" w:rsidRPr="006E32F7" w14:paraId="4686C06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471177E" w14:textId="26222AC0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Opioid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19F1DF5" w14:textId="1E72ACCB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4D0A0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203E5CB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A91088A" w14:textId="5CB905C4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901620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6.33 (4.09, 9.79)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1ACD2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4686FB1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377ADD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1544D3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1.62 (1.08, 2.42)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2347D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0.019</w:t>
            </w:r>
          </w:p>
        </w:tc>
      </w:tr>
      <w:tr w:rsidR="006E32F7" w:rsidRPr="006E32F7" w14:paraId="1CBD6C1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35C476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62AFE6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1.37 (0.92, 2.04)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6F592F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0.122</w:t>
            </w:r>
          </w:p>
        </w:tc>
      </w:tr>
      <w:tr w:rsidR="006E32F7" w:rsidRPr="006E32F7" w14:paraId="379DB63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9E9811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E0ACA3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1.02 (1, 1.05)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FC7EE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0.026</w:t>
            </w:r>
          </w:p>
        </w:tc>
      </w:tr>
      <w:tr w:rsidR="006E32F7" w:rsidRPr="006E32F7" w14:paraId="3A61E1A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8653D4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EEC444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0.85 (0.55, 1.31)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03305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0.451</w:t>
            </w:r>
          </w:p>
        </w:tc>
      </w:tr>
      <w:tr w:rsidR="006E32F7" w:rsidRPr="006E32F7" w14:paraId="5D0F6356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819B28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CE2EB7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7008D3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6454BF9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262CE8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39A0DA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1.42 (0.86, 2.35)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0A75C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0.173</w:t>
            </w:r>
          </w:p>
        </w:tc>
      </w:tr>
      <w:tr w:rsidR="006E32F7" w:rsidRPr="006E32F7" w14:paraId="59B8DFF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246C01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F445A6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 (0.65, 1.53)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4DA4D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0.998</w:t>
            </w:r>
          </w:p>
        </w:tc>
      </w:tr>
      <w:tr w:rsidR="006E32F7" w:rsidRPr="006E32F7" w14:paraId="11FA7A6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4759C4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EF8AEC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0.87 (0.56, 1.35)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54D19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0.522</w:t>
            </w:r>
          </w:p>
        </w:tc>
      </w:tr>
      <w:tr w:rsidR="006E32F7" w:rsidRPr="006E32F7" w14:paraId="1036BBC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135CF3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85BC4C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1.1 (0.74, 1.64)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99D96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0.632</w:t>
            </w:r>
          </w:p>
        </w:tc>
      </w:tr>
      <w:tr w:rsidR="006E32F7" w:rsidRPr="006E32F7" w14:paraId="2897F23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ECDCBC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8107ED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1.28 (0.85, 1.93)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DFED1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0.246</w:t>
            </w:r>
          </w:p>
        </w:tc>
      </w:tr>
      <w:tr w:rsidR="006E32F7" w:rsidRPr="006E32F7" w14:paraId="575456F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833CD7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65D615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8.89 (2.71, 29.22)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6CE32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09F6F86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9993A3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65B2CD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1.9 (1.27, 2.86)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D329C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0.002</w:t>
            </w:r>
          </w:p>
        </w:tc>
      </w:tr>
      <w:tr w:rsidR="006E32F7" w:rsidRPr="006E32F7" w14:paraId="0A0CC3E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2A3A4D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AF697E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1.91 (1.28, 2.85)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2E58A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0.002</w:t>
            </w:r>
          </w:p>
        </w:tc>
      </w:tr>
    </w:tbl>
    <w:p w14:paraId="6C59AE49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568D3F2B" w14:textId="6C160F2C" w:rsidR="006E32F7" w:rsidRDefault="006E32F7" w:rsidP="006B7503"/>
    <w:p w14:paraId="255106D8" w14:textId="2D917AF6" w:rsidR="006E32F7" w:rsidRDefault="006E32F7" w:rsidP="006B7503"/>
    <w:p w14:paraId="4126EA43" w14:textId="77777777" w:rsidR="006E32F7" w:rsidRDefault="006E32F7" w:rsidP="006B7503"/>
    <w:p w14:paraId="7E08BE2C" w14:textId="1B1E0DA0" w:rsidR="006E32F7" w:rsidRDefault="006E32F7" w:rsidP="006B7503">
      <w:r>
        <w:t>Table S</w:t>
      </w:r>
      <w:r w:rsidR="000B7597">
        <w:t>10</w:t>
      </w:r>
      <w:r>
        <w:t>. Multivariable Weibull regression comparing hazard rates of methamphetamine-related hospitalisation between low/no and moderate/high risk methamphetamine groups for 12 months after release from prison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1674"/>
        <w:gridCol w:w="878"/>
      </w:tblGrid>
      <w:tr w:rsidR="006E32F7" w:rsidRPr="006E32F7" w14:paraId="26524A98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66A526" w14:textId="4E4DAD1A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Methamphetamine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DA70E1" w14:textId="07038E94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94BE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486E6C1C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0462FD" w14:textId="4B2A9C92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565F7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3 (1.93, 4.66)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97D7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450B739F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6450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271E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1.78 (1.29, 2.43)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D9C29B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624AD518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5F874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4C96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1.1 (0.78, 1.55)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FCA9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0.595</w:t>
            </w:r>
          </w:p>
        </w:tc>
      </w:tr>
      <w:tr w:rsidR="006E32F7" w:rsidRPr="006E32F7" w14:paraId="6F0255C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DF14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7F134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0.99 (0.98, 1.01)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1371D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0.529</w:t>
            </w:r>
          </w:p>
        </w:tc>
      </w:tr>
      <w:tr w:rsidR="006E32F7" w:rsidRPr="006E32F7" w14:paraId="7A8020CF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0F6F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2FA64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0.81 (0.57, 1.16)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0A698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0.246</w:t>
            </w:r>
          </w:p>
        </w:tc>
      </w:tr>
      <w:tr w:rsidR="006E32F7" w:rsidRPr="006E32F7" w14:paraId="7C1D5572" w14:textId="77777777" w:rsidTr="00143DDA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7963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C9AC5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E57DF1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1CDD689E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400E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2AB5A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0.61 (0.37, 1.01)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F47FF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0.056</w:t>
            </w:r>
          </w:p>
        </w:tc>
      </w:tr>
      <w:tr w:rsidR="006E32F7" w:rsidRPr="006E32F7" w14:paraId="10357384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3390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B0CF1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 (0.65, 1.25)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65D4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0.546</w:t>
            </w:r>
          </w:p>
        </w:tc>
      </w:tr>
      <w:tr w:rsidR="006E32F7" w:rsidRPr="006E32F7" w14:paraId="2974752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D593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74205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1.28 (0.9, 1.82)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8AA2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0.168</w:t>
            </w:r>
          </w:p>
        </w:tc>
      </w:tr>
      <w:tr w:rsidR="006E32F7" w:rsidRPr="006E32F7" w14:paraId="67C070DD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BE607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8750C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1.36 (0.98, 1.9)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33C2AF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0.066</w:t>
            </w:r>
          </w:p>
        </w:tc>
      </w:tr>
      <w:tr w:rsidR="006E32F7" w:rsidRPr="006E32F7" w14:paraId="424CE0A6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6BE7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53EC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1.82 (1.29, 2.55)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35716A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6E32F7" w:rsidRPr="006E32F7" w14:paraId="630D231E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5324C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B6FCC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2.56 (1.51, 4.33)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B216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3E88D6C5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09174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FEA4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0.93 (0.67, 1.29)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5B383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0.652</w:t>
            </w:r>
          </w:p>
        </w:tc>
      </w:tr>
      <w:tr w:rsidR="006E32F7" w:rsidRPr="006E32F7" w14:paraId="39390425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A42B4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1CB88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1.09 (0.81, 1.47)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FF14D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0.586</w:t>
            </w:r>
          </w:p>
        </w:tc>
      </w:tr>
    </w:tbl>
    <w:p w14:paraId="27BB7E44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4B0A8FE1" w14:textId="77777777" w:rsidR="006E32F7" w:rsidRDefault="006E32F7" w:rsidP="006B7503"/>
    <w:p w14:paraId="2E5400AC" w14:textId="77777777" w:rsidR="000B7597" w:rsidRDefault="000B7597">
      <w:r>
        <w:br w:type="page"/>
      </w:r>
    </w:p>
    <w:p w14:paraId="38F84185" w14:textId="77369EB7" w:rsidR="006E32F7" w:rsidRDefault="006E32F7" w:rsidP="006B7503">
      <w:r>
        <w:lastRenderedPageBreak/>
        <w:t>Table S</w:t>
      </w:r>
      <w:r w:rsidR="000B7597">
        <w:t>11</w:t>
      </w:r>
      <w:r>
        <w:t>. Multivariable Weibull regression comparing hazard rates of cannabis-related hospitalisation between low/no and moderate/high risk cannabis groups for 12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E32F7" w:rsidRPr="006E32F7" w14:paraId="42D2B52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5292038" w14:textId="43C8A552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Cannabis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C5C95A" w14:textId="1D61998E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CA66B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1DDA901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87D323A" w14:textId="55FEF1F5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FC9B5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2.98 (1.7, 5.2)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E0EC6B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2AE70E5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4D6F70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5CEDF1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1.5 (0.95, 2.35)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516D9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0.080</w:t>
            </w:r>
          </w:p>
        </w:tc>
      </w:tr>
      <w:tr w:rsidR="006E32F7" w:rsidRPr="006E32F7" w14:paraId="52FADA2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D1D94B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2E009E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1.22 (0.75, 1.98)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E8A47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0.430</w:t>
            </w:r>
          </w:p>
        </w:tc>
      </w:tr>
      <w:tr w:rsidR="006E32F7" w:rsidRPr="006E32F7" w14:paraId="5D84362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C8ED67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EC7639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 (0.98, 1.03)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4433CF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0.956</w:t>
            </w:r>
          </w:p>
        </w:tc>
      </w:tr>
      <w:tr w:rsidR="006E32F7" w:rsidRPr="006E32F7" w14:paraId="69400E1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41E91F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3D1BC9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0.64 (0.38, 1.08)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3CD83A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0.093</w:t>
            </w:r>
          </w:p>
        </w:tc>
      </w:tr>
      <w:tr w:rsidR="006E32F7" w:rsidRPr="006E32F7" w14:paraId="53FFC7E6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968C30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30F7C8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29005D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09D3F0D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6A4B3C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791780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0.82 (0.42, 1.6)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B5F710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0.563</w:t>
            </w:r>
          </w:p>
        </w:tc>
      </w:tr>
      <w:tr w:rsidR="006E32F7" w:rsidRPr="006E32F7" w14:paraId="5C4EECB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2CB1B4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4E27551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0.98 (0.61, 1.57)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EBB8E4C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0.927</w:t>
            </w:r>
          </w:p>
        </w:tc>
      </w:tr>
      <w:tr w:rsidR="006E32F7" w:rsidRPr="006E32F7" w14:paraId="5D5DB7E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ADB68D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E52DE5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 (0.47, 1.38)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27C92E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0.423</w:t>
            </w:r>
          </w:p>
        </w:tc>
      </w:tr>
      <w:tr w:rsidR="006E32F7" w:rsidRPr="006E32F7" w14:paraId="0052095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F663DF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063128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1.3 (0.82, 2.05)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CAA614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0.268</w:t>
            </w:r>
          </w:p>
        </w:tc>
      </w:tr>
      <w:tr w:rsidR="006E32F7" w:rsidRPr="006E32F7" w14:paraId="24BC027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63DDBD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E26F97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1.82 (1.12, 2.95)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3DC50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0.016</w:t>
            </w:r>
          </w:p>
        </w:tc>
      </w:tr>
      <w:tr w:rsidR="006E32F7" w:rsidRPr="006E32F7" w14:paraId="5B59CC1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BB88605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0FA5D6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2.14 (1.21, 3.78)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DD6433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  <w:tr w:rsidR="006E32F7" w:rsidRPr="006E32F7" w14:paraId="7646347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EF6BCB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AB15FD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1.03 (0.65, 1.64)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B77668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0.898</w:t>
            </w:r>
          </w:p>
        </w:tc>
      </w:tr>
      <w:tr w:rsidR="006E32F7" w:rsidRPr="006E32F7" w14:paraId="5DF440B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E56C9E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28BFD8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1.54 (1, 2.37)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8A0BD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0.051</w:t>
            </w:r>
          </w:p>
        </w:tc>
      </w:tr>
    </w:tbl>
    <w:p w14:paraId="3A550FBC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2E9611C9" w14:textId="4831DED9" w:rsidR="006E32F7" w:rsidRDefault="006E32F7" w:rsidP="006B7503"/>
    <w:p w14:paraId="3C3F10F6" w14:textId="77777777" w:rsidR="006E32F7" w:rsidRDefault="006E32F7" w:rsidP="006B7503"/>
    <w:p w14:paraId="72202F2C" w14:textId="63DCE8FB" w:rsidR="006E32F7" w:rsidRDefault="006E32F7" w:rsidP="006B7503"/>
    <w:p w14:paraId="2CE2E34A" w14:textId="14A4583B" w:rsidR="006E32F7" w:rsidRDefault="006E32F7" w:rsidP="006B7503">
      <w:r>
        <w:t>Table S</w:t>
      </w:r>
      <w:r w:rsidR="000B7597">
        <w:t>12</w:t>
      </w:r>
      <w:r>
        <w:t>. Multivariable Weibull regression comparing hazard rates of opioid-related hospitalisation between low/no and moderate/high risk heroin groups for entire follow-up period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E32F7" w:rsidRPr="006E32F7" w14:paraId="3D219C3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3078EF4" w14:textId="079E5692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Opioid</w:t>
            </w:r>
            <w:r w:rsidR="006E32F7"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4042174" w14:textId="2A7C3E39" w:rsidR="006E32F7" w:rsidRPr="006E32F7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84078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E32F7" w:rsidRPr="006E32F7" w14:paraId="68928B1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D72991C" w14:textId="5FF36C9B" w:rsidR="006E32F7" w:rsidRPr="006E32F7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068AAAD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5.79 (4.41, 7.6)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689115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08E1057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8F022D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F747DC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1.15 (0.89, 1.5)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08EFB8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0.290</w:t>
            </w:r>
          </w:p>
        </w:tc>
      </w:tr>
      <w:tr w:rsidR="006E32F7" w:rsidRPr="006E32F7" w14:paraId="48B2231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B9B72B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58D723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1.78 (1.39, 2.28)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63E0C1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43AD5EC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4F9983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651C59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1.02 (1.01, 1.03)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16B1BD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0.004</w:t>
            </w:r>
          </w:p>
        </w:tc>
      </w:tr>
      <w:tr w:rsidR="006E32F7" w:rsidRPr="006E32F7" w14:paraId="5E8AA97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D18C35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A0AC768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0.83 (0.63, 1.09)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90C2B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0.180</w:t>
            </w:r>
          </w:p>
        </w:tc>
      </w:tr>
      <w:tr w:rsidR="006E32F7" w:rsidRPr="006E32F7" w14:paraId="209BB81A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89422E9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60BEE9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CD7F5D" w14:textId="77777777" w:rsidR="006E32F7" w:rsidRPr="006E32F7" w:rsidRDefault="006E32F7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E32F7" w:rsidRPr="006E32F7" w14:paraId="77D81C1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0F2827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283982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0.98 (0.7, 1.38)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70B4E2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0.898</w:t>
            </w:r>
          </w:p>
        </w:tc>
      </w:tr>
      <w:tr w:rsidR="006E32F7" w:rsidRPr="006E32F7" w14:paraId="06E2C43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8BA7DF7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7F3DE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1.24 (0.94, 1.62)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75AFB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0.122</w:t>
            </w:r>
          </w:p>
        </w:tc>
      </w:tr>
      <w:tr w:rsidR="006E32F7" w:rsidRPr="006E32F7" w14:paraId="3B0A7AB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48D54EE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D00131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0.86 (0.64, 1.14)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E93107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0.297</w:t>
            </w:r>
          </w:p>
        </w:tc>
      </w:tr>
      <w:tr w:rsidR="006E32F7" w:rsidRPr="006E32F7" w14:paraId="5C812CB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C136A0C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FD8097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1.14 (0.89, 1.47)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F0733A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0.289</w:t>
            </w:r>
          </w:p>
        </w:tc>
      </w:tr>
      <w:tr w:rsidR="006E32F7" w:rsidRPr="006E32F7" w14:paraId="5FDBA5E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29E6976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240B80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1.47 (1.13, 1.91)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E17894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0.005</w:t>
            </w:r>
          </w:p>
        </w:tc>
      </w:tr>
      <w:tr w:rsidR="006E32F7" w:rsidRPr="006E32F7" w14:paraId="357FA43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878441F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8DA0B64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4.1 (2.45, 6.87)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F3C2A9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E32F7" w:rsidRPr="006E32F7" w14:paraId="463633C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CCC7FA3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C499B5B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1.47 (1.14, 1.9)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D9D7BD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0.003</w:t>
            </w:r>
          </w:p>
        </w:tc>
      </w:tr>
      <w:tr w:rsidR="006E32F7" w:rsidRPr="006E32F7" w14:paraId="2A2BEC2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86DCD30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7656722" w14:textId="77777777" w:rsidR="006E32F7" w:rsidRPr="006E32F7" w:rsidRDefault="006E32F7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1.44 (1.13, 1.84)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323BC6" w14:textId="77777777" w:rsidR="006E32F7" w:rsidRPr="006E32F7" w:rsidRDefault="006E32F7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E32F7">
              <w:rPr>
                <w:rFonts w:ascii="Calibri" w:hAnsi="Calibri" w:cs="Calibri"/>
                <w:color w:val="000000"/>
                <w:szCs w:val="22"/>
                <w:lang w:eastAsia="en-AU"/>
              </w:rPr>
              <w:t>0.003</w:t>
            </w:r>
          </w:p>
        </w:tc>
      </w:tr>
    </w:tbl>
    <w:p w14:paraId="30293A9B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7085BF5A" w14:textId="77777777" w:rsidR="006E32F7" w:rsidRDefault="006E32F7" w:rsidP="006B7503"/>
    <w:p w14:paraId="3A07F125" w14:textId="77777777" w:rsidR="000B7597" w:rsidRDefault="000B7597">
      <w:r>
        <w:br w:type="page"/>
      </w:r>
    </w:p>
    <w:p w14:paraId="357AA265" w14:textId="0EBA6BA6" w:rsidR="006B7503" w:rsidRDefault="006B7503" w:rsidP="006B7503">
      <w:r>
        <w:lastRenderedPageBreak/>
        <w:t>Table S</w:t>
      </w:r>
      <w:r w:rsidR="000B7597">
        <w:t>13</w:t>
      </w:r>
      <w:r>
        <w:t>. Multivariable Weibull regression comparing hazard rates of methamphetamine-related hospitalisation between low/no and moderate/high risk methamphetamine groups for entire follow-up period</w:t>
      </w:r>
    </w:p>
    <w:p w14:paraId="61DD3350" w14:textId="789587F9" w:rsidR="006B7503" w:rsidRDefault="006B7503" w:rsidP="006B750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1674"/>
        <w:gridCol w:w="878"/>
      </w:tblGrid>
      <w:tr w:rsidR="006B7503" w:rsidRPr="006B7503" w14:paraId="3A8A74D8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E8376" w14:textId="6D9DEEC2" w:rsidR="006B7503" w:rsidRPr="006B7503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Methamphetamine</w:t>
            </w:r>
            <w:r w:rsidR="006B7503"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5FD8A" w14:textId="23CA980C" w:rsidR="006B7503" w:rsidRPr="006B7503" w:rsidRDefault="0056343F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3C6F66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B7503" w:rsidRPr="006B7503" w14:paraId="6B24CA6F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B165AC" w14:textId="7A9E67B4" w:rsidR="006B7503" w:rsidRPr="006B7503" w:rsidRDefault="009D680C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66434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2.23 (1.75, 2.84)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8F0E4F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20B75E34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6E714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BD3B0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2.05 (1.7, 2.48)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4F6A7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4BB1225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A5BC58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75270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1.04 (0.85, 1.27)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625DB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0.707</w:t>
            </w:r>
          </w:p>
        </w:tc>
      </w:tr>
      <w:tr w:rsidR="006B7503" w:rsidRPr="006B7503" w14:paraId="6ED7D28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E8784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1CA17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0.99 (0.97, 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52A6DA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0.011</w:t>
            </w:r>
          </w:p>
        </w:tc>
      </w:tr>
      <w:tr w:rsidR="006B7503" w:rsidRPr="006B7503" w14:paraId="71F0BE5A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3B2D8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0FEC8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0.59 (0.47, 0.74)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B113A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03818CA8" w14:textId="77777777" w:rsidTr="00143DDA">
        <w:trPr>
          <w:trHeight w:val="31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C36C32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1A8A69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CCC97" w14:textId="77777777" w:rsidR="006B7503" w:rsidRPr="006B7503" w:rsidRDefault="006B7503" w:rsidP="000B7597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B7503" w:rsidRPr="006B7503" w14:paraId="07D138BA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FDCDAB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C7DB48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0.48 (0.35, 0.65)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3441E7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B807BDE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79EA27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87E95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0.93 (0.77, 1.13)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BCFE9C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0.464</w:t>
            </w:r>
          </w:p>
        </w:tc>
      </w:tr>
      <w:tr w:rsidR="006B7503" w:rsidRPr="006B7503" w14:paraId="66DDC5C4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1CBB48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498583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1.22 (0.99, 1.5)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3A997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0.066</w:t>
            </w:r>
          </w:p>
        </w:tc>
      </w:tr>
      <w:tr w:rsidR="006B7503" w:rsidRPr="006B7503" w14:paraId="6A557758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F8EE15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27B76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1.31 (1.08, 1.58)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D743EB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0.006</w:t>
            </w:r>
          </w:p>
        </w:tc>
      </w:tr>
      <w:tr w:rsidR="006B7503" w:rsidRPr="006B7503" w14:paraId="3CF25D86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0573D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AFAB0F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1.25 (1.03, 1.52)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2278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0.022</w:t>
            </w:r>
          </w:p>
        </w:tc>
      </w:tr>
      <w:tr w:rsidR="006B7503" w:rsidRPr="006B7503" w14:paraId="26D1DE79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AB978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A9F7A1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3.13 (2.3, 4.25)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D9674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143AD652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5084DF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652B4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1.02 (0.84, 1.24)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9F8840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0.846</w:t>
            </w:r>
          </w:p>
        </w:tc>
      </w:tr>
      <w:tr w:rsidR="006B7503" w:rsidRPr="006B7503" w14:paraId="32D8AAD3" w14:textId="77777777" w:rsidTr="00143DDA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3CBDD0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AACFB" w14:textId="77777777" w:rsidR="006B7503" w:rsidRPr="006B7503" w:rsidRDefault="006B7503" w:rsidP="000B7597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 (0.84, 1.2)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DAD98C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0.957</w:t>
            </w:r>
          </w:p>
        </w:tc>
      </w:tr>
    </w:tbl>
    <w:p w14:paraId="49B2FB1B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1B8E61BB" w14:textId="1764FB9C" w:rsidR="006B7503" w:rsidRDefault="006B7503" w:rsidP="006B7503"/>
    <w:p w14:paraId="18155DE6" w14:textId="33043FD7" w:rsidR="006B7503" w:rsidRDefault="006B7503" w:rsidP="006B7503"/>
    <w:p w14:paraId="4511FC4A" w14:textId="77777777" w:rsidR="006B7503" w:rsidRDefault="006B7503" w:rsidP="006B7503"/>
    <w:p w14:paraId="5F139ACF" w14:textId="3E1A8931" w:rsidR="006B7503" w:rsidRDefault="006B7503" w:rsidP="006B7503">
      <w:r>
        <w:t>Table S</w:t>
      </w:r>
      <w:r w:rsidR="009F5775">
        <w:t>14</w:t>
      </w:r>
      <w:r>
        <w:t>. Multivariable Weibull regression comparing hazard rates of cannabis-related hospitalisation between low/no and moderate/high risk cannabis groups for entire follow-up period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B7503" w:rsidRPr="006B7503" w14:paraId="702FA5F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1BFF6BF" w14:textId="661D9BBF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Cannabis</w:t>
            </w:r>
            <w:r w:rsidR="006B7503"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C69BF8D" w14:textId="53D546C4" w:rsidR="006B7503" w:rsidRPr="006B7503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E6469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B7503" w:rsidRPr="006B7503" w14:paraId="0E22961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EFEBFBB" w14:textId="67F96759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E0E626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2.38 (1.74, 3.24)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1811A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76F171A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FE3D8EC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305D24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1.76 (1.35, 2.28)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60503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A358F0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7A28F5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2624EA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1.14 (0.85, 1.52)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6F55A6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0.373</w:t>
            </w:r>
          </w:p>
        </w:tc>
      </w:tr>
      <w:tr w:rsidR="006B7503" w:rsidRPr="006B7503" w14:paraId="74DB912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3BC011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E81ABA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0.99 (0.97, 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A26A79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0.089</w:t>
            </w:r>
          </w:p>
        </w:tc>
      </w:tr>
      <w:tr w:rsidR="006B7503" w:rsidRPr="006B7503" w14:paraId="44BC237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65B6B6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C34A5D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0.54 (0.4, 0.74)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CAE4E6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1BC4A507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0A8A8B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15DB90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8FB94D" w14:textId="77777777" w:rsidR="006B7503" w:rsidRPr="006B7503" w:rsidRDefault="006B7503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B7503" w:rsidRPr="006B7503" w14:paraId="1FB9E1A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1FBC02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207845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 (0.33, 0.76)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6DC8B7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6B7503" w:rsidRPr="006B7503" w14:paraId="1914B04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912C75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0754DB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0.84 (0.65, 1.11)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3400EF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0.220</w:t>
            </w:r>
          </w:p>
        </w:tc>
      </w:tr>
      <w:tr w:rsidR="006B7503" w:rsidRPr="006B7503" w14:paraId="763D222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9BBA3B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E85142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1.01 (0.75, 1.37)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62E02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0.935</w:t>
            </w:r>
          </w:p>
        </w:tc>
      </w:tr>
      <w:tr w:rsidR="006B7503" w:rsidRPr="006B7503" w14:paraId="20A1461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254665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AE81E8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1.27 (0.98, 1.65)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E72C74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0.073</w:t>
            </w:r>
          </w:p>
        </w:tc>
      </w:tr>
      <w:tr w:rsidR="006B7503" w:rsidRPr="006B7503" w14:paraId="047728F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609D18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1B8936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1.42 (1.08, 1.86)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FB519F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0.011</w:t>
            </w:r>
          </w:p>
        </w:tc>
      </w:tr>
      <w:tr w:rsidR="006B7503" w:rsidRPr="006B7503" w14:paraId="3A26834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A6C3EC9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5B18CC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1.54 (1.15, 2.07)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73378B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0.004</w:t>
            </w:r>
          </w:p>
        </w:tc>
      </w:tr>
      <w:tr w:rsidR="006B7503" w:rsidRPr="006B7503" w14:paraId="669DA85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286DB9C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AA3DEF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1.11 (0.85, 1.46)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C935A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0.435</w:t>
            </w:r>
          </w:p>
        </w:tc>
      </w:tr>
      <w:tr w:rsidR="006B7503" w:rsidRPr="006B7503" w14:paraId="5830151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94F870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AFC736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1.01 (0.79, 1.29)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E34DE5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0.963</w:t>
            </w:r>
          </w:p>
        </w:tc>
      </w:tr>
    </w:tbl>
    <w:p w14:paraId="3140A8AC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6B008B40" w14:textId="614CC8C3" w:rsidR="006B7503" w:rsidRDefault="006B7503" w:rsidP="006B7503"/>
    <w:p w14:paraId="59BECA0A" w14:textId="7A69A5B0" w:rsidR="009F5775" w:rsidRDefault="009F5775">
      <w:r>
        <w:br w:type="page"/>
      </w:r>
    </w:p>
    <w:p w14:paraId="05D63FBA" w14:textId="5E926863" w:rsidR="006B7503" w:rsidRDefault="006B7503" w:rsidP="00143DDA">
      <w:pPr>
        <w:pStyle w:val="Heading3"/>
      </w:pPr>
      <w:r>
        <w:lastRenderedPageBreak/>
        <w:t>Any-substance related hospitalisation</w:t>
      </w:r>
    </w:p>
    <w:p w14:paraId="1D866A3E" w14:textId="77777777" w:rsidR="006B7503" w:rsidRDefault="006B7503" w:rsidP="006B7503"/>
    <w:p w14:paraId="74E39551" w14:textId="31F3FC43" w:rsidR="006B7503" w:rsidRDefault="006B7503" w:rsidP="006B7503">
      <w:r>
        <w:t>Table S</w:t>
      </w:r>
      <w:r w:rsidR="009F5775">
        <w:t>15</w:t>
      </w:r>
      <w:r>
        <w:t>. Multivariable Weibull regression comparing hazard rates of any-substance-related hospitalisation between low/no and moderate/high risk heroin groups for 3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B7503" w:rsidRPr="006B7503" w14:paraId="4432CE1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94FD0EF" w14:textId="0C5D16F8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</w:t>
            </w:r>
            <w:r w:rsidR="006B7503"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60F2BC1" w14:textId="0F597687" w:rsidR="006B7503" w:rsidRPr="006B7503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0E572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B7503" w:rsidRPr="006B7503" w14:paraId="782A841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C19D891" w14:textId="73CDAA4B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6962F0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1.53 (1.11, 2.11)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981A0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0.010</w:t>
            </w:r>
          </w:p>
        </w:tc>
      </w:tr>
      <w:tr w:rsidR="006B7503" w:rsidRPr="006B7503" w14:paraId="2DDDF23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21B07A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20177A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2.14 (1.61, 2.84)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57D6F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0E48112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6A2A61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8C98B7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1.03 (0.76, 1.39)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F8B518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0.873</w:t>
            </w:r>
          </w:p>
        </w:tc>
      </w:tr>
      <w:tr w:rsidR="006B7503" w:rsidRPr="006B7503" w14:paraId="150888D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DC761F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06BF5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 (0.99, 1.02)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E72879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0.914</w:t>
            </w:r>
          </w:p>
        </w:tc>
      </w:tr>
      <w:tr w:rsidR="006B7503" w:rsidRPr="006B7503" w14:paraId="74E759F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375921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0735AB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 (0.35, 0.71)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6C2C2B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2B4F679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A734BB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42DB15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F8E6A4" w14:textId="77777777" w:rsidR="006B7503" w:rsidRPr="006B7503" w:rsidRDefault="006B7503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B7503" w:rsidRPr="006B7503" w14:paraId="4CA617B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360521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139A61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1.07 (0.72, 1.57)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A60F4F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0.747</w:t>
            </w:r>
          </w:p>
        </w:tc>
      </w:tr>
      <w:tr w:rsidR="006B7503" w:rsidRPr="006B7503" w14:paraId="1E5DCE3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AE816B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4BD379C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0.91 (0.68, 1.22)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0B4B89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0.535</w:t>
            </w:r>
          </w:p>
        </w:tc>
      </w:tr>
      <w:tr w:rsidR="006B7503" w:rsidRPr="006B7503" w14:paraId="5C8389C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FBDE39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2D0BAC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1.05 (0.77, 1.44)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9A0A2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0.736</w:t>
            </w:r>
          </w:p>
        </w:tc>
      </w:tr>
      <w:tr w:rsidR="006B7503" w:rsidRPr="006B7503" w14:paraId="2A2F3FA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D49767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6520DD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1.03 (0.78, 1.37)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E9D8CE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0.815</w:t>
            </w:r>
          </w:p>
        </w:tc>
      </w:tr>
      <w:tr w:rsidR="006B7503" w:rsidRPr="006B7503" w14:paraId="5F3BC89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1AA14A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4E737D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2.03 (1.49, 2.75)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5FF9B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76E923C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38BC059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35EC83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1.65 (1.17, 2.34)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347E97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0.005</w:t>
            </w:r>
          </w:p>
        </w:tc>
      </w:tr>
      <w:tr w:rsidR="006B7503" w:rsidRPr="006B7503" w14:paraId="2E85019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90E304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05E18D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1.31 (0.98, 1.76)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EBA0D0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0.070</w:t>
            </w:r>
          </w:p>
        </w:tc>
      </w:tr>
      <w:tr w:rsidR="006B7503" w:rsidRPr="006B7503" w14:paraId="5522266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F9AAFE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C5B3E0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1.79 (1.36, 2.37)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66ADB1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08CC1B2C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7538B6F3" w14:textId="32EEB0FE" w:rsidR="006B7503" w:rsidRDefault="006B7503" w:rsidP="006B7503"/>
    <w:p w14:paraId="0A08D552" w14:textId="06DD332E" w:rsidR="006B7503" w:rsidRDefault="006B7503" w:rsidP="006B7503"/>
    <w:p w14:paraId="6F011D9C" w14:textId="77777777" w:rsidR="006B7503" w:rsidRDefault="006B7503" w:rsidP="006B7503"/>
    <w:p w14:paraId="461A8B7E" w14:textId="206A8AE4" w:rsidR="006B7503" w:rsidRDefault="006B7503" w:rsidP="006B7503">
      <w:r>
        <w:t>Table S</w:t>
      </w:r>
      <w:r w:rsidR="009F5775">
        <w:t>16</w:t>
      </w:r>
      <w:r>
        <w:t>. Multivariable Weibull regression comparing hazard rates of any-substance-related hospitalisation between low/no and moderate/high risk methamphetamine groups for 3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B7503" w:rsidRPr="006B7503" w14:paraId="7493F90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96B672C" w14:textId="22149F82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861E2AB" w14:textId="27814A7B" w:rsidR="006B7503" w:rsidRPr="006B7503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E41923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B7503" w:rsidRPr="006B7503" w14:paraId="0B4E48A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BC4D389" w14:textId="764B8C85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8F41AE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0.6 (0.45, 0.81)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B87ADD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6B7503" w:rsidRPr="006B7503" w14:paraId="2A80DF7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54501E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3661A2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1.95 (1.47, 2.58)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F076A2C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56B06E9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D08DA8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7B3424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1.07 (0.79, 1.45)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029F9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0.656</w:t>
            </w:r>
          </w:p>
        </w:tc>
      </w:tr>
      <w:tr w:rsidR="006B7503" w:rsidRPr="006B7503" w14:paraId="6584FB1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98F8CC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3191DD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 (0.98, 1.01)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9A8FA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0.903</w:t>
            </w:r>
          </w:p>
        </w:tc>
      </w:tr>
      <w:tr w:rsidR="006B7503" w:rsidRPr="006B7503" w14:paraId="7571A82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9A2696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6B203B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0.47 (0.33, 0.67)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45238D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7C68E4D5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44D728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A30920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5E9AE4" w14:textId="77777777" w:rsidR="006B7503" w:rsidRPr="006B7503" w:rsidRDefault="006B7503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B7503" w:rsidRPr="006B7503" w14:paraId="769C437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F1FAE9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D79062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0.97 (0.66, 1.43)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EE14AF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0.877</w:t>
            </w:r>
          </w:p>
        </w:tc>
      </w:tr>
      <w:tr w:rsidR="006B7503" w:rsidRPr="006B7503" w14:paraId="0C438A1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3D5B19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80A6A3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0.87 (0.65, 1.17)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986ABC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0.363</w:t>
            </w:r>
          </w:p>
        </w:tc>
      </w:tr>
      <w:tr w:rsidR="006B7503" w:rsidRPr="006B7503" w14:paraId="597267D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615350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6A0088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1.04 (0.76, 1.41)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73618F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0.827</w:t>
            </w:r>
          </w:p>
        </w:tc>
      </w:tr>
      <w:tr w:rsidR="006B7503" w:rsidRPr="006B7503" w14:paraId="29FB412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5077CF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B5247A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1.03 (0.78, 1.37)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94B546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0.819</w:t>
            </w:r>
          </w:p>
        </w:tc>
      </w:tr>
      <w:tr w:rsidR="006B7503" w:rsidRPr="006B7503" w14:paraId="368E89B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7005A3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3914439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2.03 (1.49, 2.75)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F3158D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D9E0A5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545A32C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B918E3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2.34 (1.63, 3.37)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0A063D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72107E0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30027B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8015FF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1.52 (1.14, 2.01)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7CB6C90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0.004</w:t>
            </w:r>
          </w:p>
        </w:tc>
      </w:tr>
      <w:tr w:rsidR="006B7503" w:rsidRPr="006B7503" w14:paraId="22FEAEF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DBF580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0A04EF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1.79 (1.36, 2.36)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025EE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2AD57304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3AE2184A" w14:textId="77777777" w:rsidR="006B7503" w:rsidRDefault="006B7503" w:rsidP="006B7503"/>
    <w:p w14:paraId="2ABC9027" w14:textId="77777777" w:rsidR="009F5775" w:rsidRDefault="009F5775">
      <w:r>
        <w:lastRenderedPageBreak/>
        <w:br w:type="page"/>
      </w:r>
    </w:p>
    <w:p w14:paraId="177B48FE" w14:textId="48B5AD35" w:rsidR="006B7503" w:rsidRDefault="006B7503" w:rsidP="006B7503">
      <w:r>
        <w:lastRenderedPageBreak/>
        <w:t>Table S</w:t>
      </w:r>
      <w:r w:rsidR="009F5775">
        <w:t>17</w:t>
      </w:r>
      <w:r>
        <w:t>. Multivariable Weibull regression comparing hazard rates of any-substance-related hospitalisation between low/no and moderate/high risk cannabis groups for 3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B7503" w:rsidRPr="006B7503" w14:paraId="0739EA0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3A0F36A" w14:textId="076FE507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0A72CDC" w14:textId="510EDDDD" w:rsidR="006B7503" w:rsidRPr="006B7503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70B76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B7503" w:rsidRPr="006B7503" w14:paraId="75A66B9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3D4DA10" w14:textId="77342EE2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7BE782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0.97 (0.74, 1.28)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138A1D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0.842</w:t>
            </w:r>
          </w:p>
        </w:tc>
      </w:tr>
      <w:tr w:rsidR="006B7503" w:rsidRPr="006B7503" w14:paraId="5BD69D7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C7AD07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E9BE65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2.02 (1.53, 2.68)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E10056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8B51A2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36396E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E9FF58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1.04 (0.77, 1.41)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9A1F71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0.788</w:t>
            </w:r>
          </w:p>
        </w:tc>
      </w:tr>
      <w:tr w:rsidR="006B7503" w:rsidRPr="006B7503" w14:paraId="7DCB97F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6B822E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120CE1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 (0.99, 1.02)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2901D94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0.855</w:t>
            </w:r>
          </w:p>
        </w:tc>
      </w:tr>
      <w:tr w:rsidR="006B7503" w:rsidRPr="006B7503" w14:paraId="2D262C6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6910F4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6050ED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0.49 (0.35, 0.69)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17DA81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2B867618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C82455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CAAA68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C31195" w14:textId="77777777" w:rsidR="006B7503" w:rsidRPr="006B7503" w:rsidRDefault="006B7503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B7503" w:rsidRPr="006B7503" w14:paraId="320EE6B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06D3EF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A14CE0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1.03 (0.7, 1.52)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302BD8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0.862</w:t>
            </w:r>
          </w:p>
        </w:tc>
      </w:tr>
      <w:tr w:rsidR="006B7503" w:rsidRPr="006B7503" w14:paraId="492C88E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0B6E8C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40E024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0.89 (0.66, 1.19)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791BCE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0.419</w:t>
            </w:r>
          </w:p>
        </w:tc>
      </w:tr>
      <w:tr w:rsidR="006B7503" w:rsidRPr="006B7503" w14:paraId="07DE67F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C8D096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9ADAF5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1.07 (0.78, 1.45)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2CAC64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0.677</w:t>
            </w:r>
          </w:p>
        </w:tc>
      </w:tr>
      <w:tr w:rsidR="006B7503" w:rsidRPr="006B7503" w14:paraId="7237E15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A4787C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531ED9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1.03 (0.77, 1.37)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736D61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0.847</w:t>
            </w:r>
          </w:p>
        </w:tc>
      </w:tr>
      <w:tr w:rsidR="006B7503" w:rsidRPr="006B7503" w14:paraId="02EF3A3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4CC2B1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79E91B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2.04 (1.5, 2.78)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47CF79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13DFEFA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E98062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92FC66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1.82 (1.3, 2.55)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DC3B68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6B7503" w:rsidRPr="006B7503" w14:paraId="58AA004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0F8CE14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4069FE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1.45 (1.09, 1.92)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D30EABB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0.010</w:t>
            </w:r>
          </w:p>
        </w:tc>
      </w:tr>
      <w:tr w:rsidR="006B7503" w:rsidRPr="006B7503" w14:paraId="18EB52F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CD9261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198189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1.79 (1.36, 2.36)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F3AAC6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5B666127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2BA7D68E" w14:textId="0456E903" w:rsidR="006B7503" w:rsidRDefault="006B7503" w:rsidP="006B7503"/>
    <w:p w14:paraId="1535D828" w14:textId="77777777" w:rsidR="006B7503" w:rsidRDefault="006B7503" w:rsidP="006B7503"/>
    <w:p w14:paraId="0CE848BB" w14:textId="42326F55" w:rsidR="006B7503" w:rsidRDefault="006B7503" w:rsidP="006B7503"/>
    <w:p w14:paraId="23E5F8C8" w14:textId="14DD9973" w:rsidR="006B7503" w:rsidRDefault="006B7503" w:rsidP="006B7503">
      <w:r>
        <w:t>Table S</w:t>
      </w:r>
      <w:r w:rsidR="009F5775">
        <w:t>18</w:t>
      </w:r>
      <w:r>
        <w:t>. Multivariable Weibull regression comparing hazard rates of any-substance-related hospitalisation between low/no and moderate/high risk heroin groups for 6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B7503" w:rsidRPr="006B7503" w14:paraId="6659095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861FD0C" w14:textId="6614EFD5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235854F" w14:textId="3B84FF98" w:rsidR="006B7503" w:rsidRPr="006B7503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47FA4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B7503" w:rsidRPr="006B7503" w14:paraId="4A336B5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0C884D6" w14:textId="214ABABE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79CAFA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1.32 (1.04, 1.67)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A7B9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0.022</w:t>
            </w:r>
          </w:p>
        </w:tc>
      </w:tr>
      <w:tr w:rsidR="006B7503" w:rsidRPr="006B7503" w14:paraId="6B6DD62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1A9BBE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79B4C5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1.99 (1.63, 2.44)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CC65E4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A20246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FBEBAB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30ED3A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1.12 (0.91, 1.39)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D9A1C6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0.289</w:t>
            </w:r>
          </w:p>
        </w:tc>
      </w:tr>
      <w:tr w:rsidR="006B7503" w:rsidRPr="006B7503" w14:paraId="40A3CF7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E21CE3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1F23B9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1.01 (1, 1.02)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E642F6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0.109</w:t>
            </w:r>
          </w:p>
        </w:tc>
      </w:tr>
      <w:tr w:rsidR="006B7503" w:rsidRPr="006B7503" w14:paraId="74847F3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75B5BC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6DBCC3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 (0.39, 0.64)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935157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64DFABE4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A125CA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D78E7C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6196B7" w14:textId="77777777" w:rsidR="006B7503" w:rsidRPr="006B7503" w:rsidRDefault="006B7503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B7503" w:rsidRPr="006B7503" w14:paraId="7571313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3D2399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2F962E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0.93 (0.69, 1.23)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53FF2E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0.599</w:t>
            </w:r>
          </w:p>
        </w:tc>
      </w:tr>
      <w:tr w:rsidR="006B7503" w:rsidRPr="006B7503" w14:paraId="0B4C76B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27A235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2A9722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0.97 (0.79, 1.2)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8E1870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0.786</w:t>
            </w:r>
          </w:p>
        </w:tc>
      </w:tr>
      <w:tr w:rsidR="006B7503" w:rsidRPr="006B7503" w14:paraId="0AB2DAA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F728E1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8C1D2C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0.98 (0.78, 1.22)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BF4479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0.828</w:t>
            </w:r>
          </w:p>
        </w:tc>
      </w:tr>
      <w:tr w:rsidR="006B7503" w:rsidRPr="006B7503" w14:paraId="131E6F8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A7B2CE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275A96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1.03 (0.84, 1.26)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EFA875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0.790</w:t>
            </w:r>
          </w:p>
        </w:tc>
      </w:tr>
      <w:tr w:rsidR="006B7503" w:rsidRPr="006B7503" w14:paraId="794C950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1A8DAB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5DB8E6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1.7 (1.37, 2.11)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2F3AD50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DCE3FB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9FD110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C82B59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1.79 (1.39, 2.29)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7C8A30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5CCDCB6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C6EEEA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6C645B9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1.41 (1.14, 1.73)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6DA7DD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6B7503" w:rsidRPr="006B7503" w14:paraId="0629488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E024EC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995AA0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1.81 (1.48, 2.21)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A96235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0A795B5B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138F86B1" w14:textId="77777777" w:rsidR="006B7503" w:rsidRPr="006B7503" w:rsidRDefault="006B7503" w:rsidP="00143DDA"/>
    <w:p w14:paraId="0B2F9877" w14:textId="77777777" w:rsidR="009F5775" w:rsidRDefault="009F5775">
      <w:r>
        <w:br w:type="page"/>
      </w:r>
    </w:p>
    <w:p w14:paraId="3628360D" w14:textId="481602A4" w:rsidR="00C64471" w:rsidRDefault="006B7503" w:rsidP="00EA7D71">
      <w:r>
        <w:lastRenderedPageBreak/>
        <w:t>Table S</w:t>
      </w:r>
      <w:r w:rsidR="009F5775">
        <w:t>19</w:t>
      </w:r>
      <w:r>
        <w:t>. Multivariable Weibull regression comparing hazard rates of any-substance-related hospitalisation between low/no and moderate/high risk methamphetamine groups for 6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6B7503" w:rsidRPr="006B7503" w14:paraId="47AF820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C68A8E1" w14:textId="64C7652D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62396E1" w14:textId="516C49A4" w:rsidR="006B7503" w:rsidRPr="006B7503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60191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6B7503" w:rsidRPr="006B7503" w14:paraId="005A925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31B9444" w14:textId="7188EB22" w:rsidR="006B7503" w:rsidRPr="006B7503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413D31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0.75 (0.6, 0.93)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96D447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  <w:tr w:rsidR="006B7503" w:rsidRPr="006B7503" w14:paraId="51E3D46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DACF8A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FCD2CB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1.89 (1.54, 2.31)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383F5E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3947564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C58A32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F76DA7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1.15 (0.93, 1.43)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6F664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0.194</w:t>
            </w:r>
          </w:p>
        </w:tc>
      </w:tr>
      <w:tr w:rsidR="006B7503" w:rsidRPr="006B7503" w14:paraId="7ACAA79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0C50C9B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28135A1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1.01 (1, 1.02)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F3387B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0.137</w:t>
            </w:r>
          </w:p>
        </w:tc>
      </w:tr>
      <w:tr w:rsidR="006B7503" w:rsidRPr="006B7503" w14:paraId="575D724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B8CAA1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E662AF7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0.48 (0.38, 0.62)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8B342C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43AEF52E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6F6A02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E6BE4FF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3CCDC5" w14:textId="77777777" w:rsidR="006B7503" w:rsidRPr="006B7503" w:rsidRDefault="006B7503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6B7503" w:rsidRPr="006B7503" w14:paraId="30B4319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A00ADDE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71AF46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0.88 (0.66, 1.17)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1F6D6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0.383</w:t>
            </w:r>
          </w:p>
        </w:tc>
      </w:tr>
      <w:tr w:rsidR="006B7503" w:rsidRPr="006B7503" w14:paraId="36C9D4A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BDEC09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B8F9282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0.94 (0.76, 1.17)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DF478C4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0.596</w:t>
            </w:r>
          </w:p>
        </w:tc>
      </w:tr>
      <w:tr w:rsidR="006B7503" w:rsidRPr="006B7503" w14:paraId="7B3EA74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7EF5E75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507A843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0.96 (0.76, 1.21)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CEF2A0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0.726</w:t>
            </w:r>
          </w:p>
        </w:tc>
      </w:tr>
      <w:tr w:rsidR="006B7503" w:rsidRPr="006B7503" w14:paraId="456DD9F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DA3859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548D0F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1.03 (0.84, 1.26)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847449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0.807</w:t>
            </w:r>
          </w:p>
        </w:tc>
      </w:tr>
      <w:tr w:rsidR="006B7503" w:rsidRPr="006B7503" w14:paraId="1896177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2503446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9F21CD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1.69 (1.36, 2.1)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498C3E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7893234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10E19A0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4F9E538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2.2 (1.69, 2.86)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DB63DF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0455C46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FBD1649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40CD10D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1.55 (1.27, 1.9)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BCB418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6B7503" w:rsidRPr="006B7503" w14:paraId="71106B2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95D5CEA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DC27C9C" w14:textId="77777777" w:rsidR="006B7503" w:rsidRPr="006B7503" w:rsidRDefault="006B7503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1.8 (1.48, 2.2)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335352" w14:textId="77777777" w:rsidR="006B7503" w:rsidRPr="006B7503" w:rsidRDefault="006B7503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6B7503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4149658F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2345E65F" w14:textId="77777777" w:rsidR="00C64471" w:rsidRDefault="00C64471" w:rsidP="00EA7D71"/>
    <w:p w14:paraId="5E689B4E" w14:textId="77777777" w:rsidR="00C64471" w:rsidRDefault="00C64471" w:rsidP="00EA7D71"/>
    <w:p w14:paraId="1F29DF5A" w14:textId="77777777" w:rsidR="00C64471" w:rsidRDefault="00C64471" w:rsidP="00EA7D71"/>
    <w:p w14:paraId="54DB01C0" w14:textId="0DFB7A19" w:rsidR="00EA7D71" w:rsidRDefault="00C64471" w:rsidP="00EA7D71">
      <w:r>
        <w:t>Table S</w:t>
      </w:r>
      <w:r w:rsidR="009F5775">
        <w:t>20</w:t>
      </w:r>
      <w:r>
        <w:t>. Multivariable Weibull regression comparing hazard rates of any-substance-related hospitalisation between low/no and moderate/high risk cannabis groups for 6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C64471" w:rsidRPr="00C64471" w14:paraId="3D3376D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2F38FE0" w14:textId="4A46036B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4E36EA1" w14:textId="57285D94" w:rsidR="00C64471" w:rsidRPr="00C64471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17B97B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C64471" w:rsidRPr="00C64471" w14:paraId="04B3D34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A637ADC" w14:textId="5BEDD4F4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56D38D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1.23 (1.01, 1.51)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A297D2B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0.043</w:t>
            </w:r>
          </w:p>
        </w:tc>
      </w:tr>
      <w:tr w:rsidR="00C64471" w:rsidRPr="00C64471" w14:paraId="429FF8B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1BC4F64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03E5C9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1.89 (1.55, 2.31)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372B53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1A6007D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E14911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60F03A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1.15 (0.93, 1.43)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0D32BB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0.209</w:t>
            </w:r>
          </w:p>
        </w:tc>
      </w:tr>
      <w:tr w:rsidR="00C64471" w:rsidRPr="00C64471" w14:paraId="4C17F39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11905F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806A62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1.01 (1, 1.02)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21F745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0.045</w:t>
            </w:r>
          </w:p>
        </w:tc>
      </w:tr>
      <w:tr w:rsidR="00C64471" w:rsidRPr="00C64471" w14:paraId="3B7CE61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DEA07A2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633A8C5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 (0.39, 0.64)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DE5C05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612A5695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194A62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EB6E1C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01B284" w14:textId="77777777" w:rsidR="00C64471" w:rsidRPr="00C64471" w:rsidRDefault="00C64471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C64471" w:rsidRPr="00C64471" w14:paraId="19B4019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04869CC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0F7E84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0.92 (0.69, 1.23)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E756BC4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0.594</w:t>
            </w:r>
          </w:p>
        </w:tc>
      </w:tr>
      <w:tr w:rsidR="00C64471" w:rsidRPr="00C64471" w14:paraId="5C6BF9F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9ACD67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6AC754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0.97 (0.78, 1.19)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1D4EFD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0.745</w:t>
            </w:r>
          </w:p>
        </w:tc>
      </w:tr>
      <w:tr w:rsidR="00C64471" w:rsidRPr="00C64471" w14:paraId="18A2294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561E342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7582E7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0.98 (0.79, 1.24)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FAB297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0.895</w:t>
            </w:r>
          </w:p>
        </w:tc>
      </w:tr>
      <w:tr w:rsidR="00C64471" w:rsidRPr="00C64471" w14:paraId="2D0B338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015EA7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3D001F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1.03 (0.84, 1.26)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E81F72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0.810</w:t>
            </w:r>
          </w:p>
        </w:tc>
      </w:tr>
      <w:tr w:rsidR="00C64471" w:rsidRPr="00C64471" w14:paraId="58FECA0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1C4971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DE5070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1.67 (1.34, 2.07)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4C5252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2A4079D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199A89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EE5833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1.83 (1.44, 2.33)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E7D76F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6678ACB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6900A80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EEF8399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1.49 (1.22, 1.83)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5988024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6DEC4AE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E868E7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B146EF4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1.8 (1.48, 2.2)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F16CEA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7CE9FF83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150158C7" w14:textId="77777777" w:rsidR="00C64471" w:rsidRDefault="00C64471" w:rsidP="00EA7D71"/>
    <w:p w14:paraId="0C97BE18" w14:textId="77777777" w:rsidR="009F5775" w:rsidRDefault="009F5775">
      <w:r>
        <w:br w:type="page"/>
      </w:r>
    </w:p>
    <w:p w14:paraId="2FF1C87A" w14:textId="0EA08F5A" w:rsidR="00C64471" w:rsidRDefault="00C64471" w:rsidP="00EA7D71">
      <w:r>
        <w:lastRenderedPageBreak/>
        <w:t>Table S</w:t>
      </w:r>
      <w:r w:rsidR="009F5775">
        <w:t>21</w:t>
      </w:r>
      <w:r>
        <w:t>. Multivariable Weibull regression comparing hazard rates of any-substance-related hospitalisation between low/no and moderate/high risk heroin groups for 12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C64471" w:rsidRPr="00C64471" w14:paraId="6F1784F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26ABD82" w14:textId="7B755CB3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3F4FB84" w14:textId="2A3B00FD" w:rsidR="00C64471" w:rsidRPr="00C64471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61E83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C64471" w:rsidRPr="00C64471" w14:paraId="0BD0D64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453D309" w14:textId="2B449E8B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ED3F72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1.28 (1.07, 1.54)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BE83B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  <w:tr w:rsidR="00C64471" w:rsidRPr="00C64471" w14:paraId="741F93D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5BA56B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89D5EE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2.12 (1.83, 2.47)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4FB000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4A2850F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A768C05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0E6869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1.05 (0.9, 1.24)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C6228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0.521</w:t>
            </w:r>
          </w:p>
        </w:tc>
      </w:tr>
      <w:tr w:rsidR="00C64471" w:rsidRPr="00C64471" w14:paraId="22ECEB8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7B5FF9A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C1B667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1.01 (1, 1.01)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23629C2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0.098</w:t>
            </w:r>
          </w:p>
        </w:tc>
      </w:tr>
      <w:tr w:rsidR="00C64471" w:rsidRPr="00C64471" w14:paraId="69B58C2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614F4E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D045814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0.59 (0.49, 0.7)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B3AB0A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63D19A87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4CF899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8DF421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F8834B" w14:textId="77777777" w:rsidR="00C64471" w:rsidRPr="00C64471" w:rsidRDefault="00C64471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C64471" w:rsidRPr="00C64471" w14:paraId="1752B55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B22156A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59C84A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0.86 (0.7, 1.08)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9B0D1C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0.192</w:t>
            </w:r>
          </w:p>
        </w:tc>
      </w:tr>
      <w:tr w:rsidR="00C64471" w:rsidRPr="00C64471" w14:paraId="78BB870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B0410CA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6050015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0.99 (0.85, 1.16)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E0F248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0.905</w:t>
            </w:r>
          </w:p>
        </w:tc>
      </w:tr>
      <w:tr w:rsidR="00C64471" w:rsidRPr="00C64471" w14:paraId="54CD017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D37ED5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598D554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1.02 (0.86, 1.21)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33CF699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0.789</w:t>
            </w:r>
          </w:p>
        </w:tc>
      </w:tr>
      <w:tr w:rsidR="00C64471" w:rsidRPr="00C64471" w14:paraId="3A3B7B3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7BDAFFC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315362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1.23 (1.06, 1.43)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CB6DAD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0.007</w:t>
            </w:r>
          </w:p>
        </w:tc>
      </w:tr>
      <w:tr w:rsidR="00C64471" w:rsidRPr="00C64471" w14:paraId="637A9E3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6F1A54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F5F2BA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1.64 (1.4, 1.91)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1B683D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3DA0FB8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214645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35A5EE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1.69 (1.42, 2.02)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CF8BE16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736D299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3DD4F7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C3E6CA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1.26 (1.08, 1.48)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DA6BFA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0.004</w:t>
            </w:r>
          </w:p>
        </w:tc>
      </w:tr>
      <w:tr w:rsidR="00C64471" w:rsidRPr="00C64471" w14:paraId="41A77BA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DE1628B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A8E3C80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1.22 (1.06, 1.4)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B3B15A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0.006</w:t>
            </w:r>
          </w:p>
        </w:tc>
      </w:tr>
    </w:tbl>
    <w:p w14:paraId="05F35F69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7FF48AB3" w14:textId="6F9015F0" w:rsidR="00C64471" w:rsidRDefault="00C64471" w:rsidP="00EA7D71"/>
    <w:p w14:paraId="05A67853" w14:textId="77777777" w:rsidR="00C64471" w:rsidRDefault="00C64471" w:rsidP="00EA7D71"/>
    <w:p w14:paraId="2EFEF1AB" w14:textId="4DF3F018" w:rsidR="00C64471" w:rsidRDefault="00C64471" w:rsidP="00EA7D71"/>
    <w:p w14:paraId="224E9E10" w14:textId="41028EE7" w:rsidR="00C64471" w:rsidRDefault="00C64471" w:rsidP="00EA7D71">
      <w:r>
        <w:t>Table S</w:t>
      </w:r>
      <w:r w:rsidR="009F5775">
        <w:t>22</w:t>
      </w:r>
      <w:r>
        <w:t>. Multivariable Weibull regression comparing hazard rates of any-substance-related hospitalisation between low/no and moderate/high risk methamphetamine groups for 12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C64471" w:rsidRPr="00C64471" w14:paraId="163A036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7D46B53" w14:textId="68D180D6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B263B6C" w14:textId="0F114E8A" w:rsidR="00C64471" w:rsidRPr="00C64471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C28A2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C64471" w:rsidRPr="00C64471" w14:paraId="0DC20F0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AA18A71" w14:textId="2BD79BDB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248ECD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0.82 (0.7, 0.96)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B2BB23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0.015</w:t>
            </w:r>
          </w:p>
        </w:tc>
      </w:tr>
      <w:tr w:rsidR="00C64471" w:rsidRPr="00C64471" w14:paraId="0C5ABC8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8C8175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F33AE6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2.03 (1.74, 2.36)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B7A5A6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2219188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FFF5E1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2CA348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1.06 (0.9, 1.25)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4F2A5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0.501</w:t>
            </w:r>
          </w:p>
        </w:tc>
      </w:tr>
      <w:tr w:rsidR="00C64471" w:rsidRPr="00C64471" w14:paraId="4284DFC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7CE348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CC2F2B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1.01 (1, 1.01)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E55899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0.105</w:t>
            </w:r>
          </w:p>
        </w:tc>
      </w:tr>
      <w:tr w:rsidR="00C64471" w:rsidRPr="00C64471" w14:paraId="4AA7592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E8A2C09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5C8457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0.57 (0.48, 0.68)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1CB061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4AC052EA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113CD7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FBE0CB9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FADB69" w14:textId="77777777" w:rsidR="00C64471" w:rsidRPr="00C64471" w:rsidRDefault="00C64471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C64471" w:rsidRPr="00C64471" w14:paraId="12B799B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F39B9F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49F31B5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0.84 (0.68, 1.05)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42E0D2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0.124</w:t>
            </w:r>
          </w:p>
        </w:tc>
      </w:tr>
      <w:tr w:rsidR="00C64471" w:rsidRPr="00C64471" w14:paraId="4CC5C05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89057D2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485ED6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0.96 (0.82, 1.12)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F25C24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0.598</w:t>
            </w:r>
          </w:p>
        </w:tc>
      </w:tr>
      <w:tr w:rsidR="00C64471" w:rsidRPr="00C64471" w14:paraId="180A011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970E60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B368B1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0.99 (0.83, 1.17)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83C42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0.870</w:t>
            </w:r>
          </w:p>
        </w:tc>
      </w:tr>
      <w:tr w:rsidR="00C64471" w:rsidRPr="00C64471" w14:paraId="170D446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2D883C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745555E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1.23 (1.06, 1.43)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E8E7B2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  <w:tr w:rsidR="00C64471" w:rsidRPr="00C64471" w14:paraId="4D614BC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305C16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ED8E5FB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1.62 (1.39, 1.9)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1FBA122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580EDF2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8A3D9A5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0E16110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1.96 (1.62, 2.37)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1557FA6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618773D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D94429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BCCAAF9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1.39 (1.19, 1.62)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C7EACD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48A44D3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474EABC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45DF50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1.21 (1.05, 1.39)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38DF95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0.009</w:t>
            </w:r>
          </w:p>
        </w:tc>
      </w:tr>
    </w:tbl>
    <w:p w14:paraId="62034012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3672DD00" w14:textId="77777777" w:rsidR="00C64471" w:rsidRDefault="00C64471" w:rsidP="00EA7D71"/>
    <w:p w14:paraId="6293699E" w14:textId="77777777" w:rsidR="009F5775" w:rsidRDefault="009F5775">
      <w:r>
        <w:br w:type="page"/>
      </w:r>
    </w:p>
    <w:p w14:paraId="6246C7C5" w14:textId="3AE0A2CA" w:rsidR="00C64471" w:rsidRDefault="00C64471" w:rsidP="00EA7D71">
      <w:r>
        <w:lastRenderedPageBreak/>
        <w:t>Table S</w:t>
      </w:r>
      <w:r w:rsidR="009F5775">
        <w:t>23</w:t>
      </w:r>
      <w:r>
        <w:t>. Multivariable Weibull regression comparing hazard rates of any-substance-related hospitalisation between low/no and moderate/high risk cannabis groups for 12 months after release from prison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C64471" w:rsidRPr="00C64471" w14:paraId="7F70FFE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F82EF83" w14:textId="265AC250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D2B5D0A" w14:textId="13A7B7F3" w:rsidR="00C64471" w:rsidRPr="00C64471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39D2A6A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C64471" w:rsidRPr="00C64471" w14:paraId="6B01D8F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D16CB4A" w14:textId="40F45785" w:rsidR="00C64471" w:rsidRPr="00C644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E81A58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1.39 (1.19, 1.62)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B82F78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195A6C4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0EE96A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C15C98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2.01 (1.73, 2.34)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AE1F400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7B31AFE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CF9D10A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6D54B44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1.08 (0.92, 1.27)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FB5595A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0.354</w:t>
            </w:r>
          </w:p>
        </w:tc>
      </w:tr>
      <w:tr w:rsidR="00C64471" w:rsidRPr="00C64471" w14:paraId="3DF643F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C3530F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FA35E19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1.01 (1, 1.02)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5DC90A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0.015</w:t>
            </w:r>
          </w:p>
        </w:tc>
      </w:tr>
      <w:tr w:rsidR="00C64471" w:rsidRPr="00C64471" w14:paraId="0FB04DD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B998769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BECA195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0.59 (0.5, 0.71)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FFFB42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1799D24C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9A7C23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3D2BB42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668F72" w14:textId="77777777" w:rsidR="00C64471" w:rsidRPr="00C64471" w:rsidRDefault="00C64471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C64471" w:rsidRPr="00C64471" w14:paraId="4BCB122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32564D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C9A1433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0.88 (0.7, 1.09)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05B3AF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0.237</w:t>
            </w:r>
          </w:p>
        </w:tc>
      </w:tr>
      <w:tr w:rsidR="00C64471" w:rsidRPr="00C64471" w14:paraId="51E8FAA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884F468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FA10C2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0.99 (0.85, 1.16)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5B195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0.938</w:t>
            </w:r>
          </w:p>
        </w:tc>
      </w:tr>
      <w:tr w:rsidR="00C64471" w:rsidRPr="00C64471" w14:paraId="0401F33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1E4816D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6462B9B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1.03 (0.87, 1.22)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03C0A3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0.744</w:t>
            </w:r>
          </w:p>
        </w:tc>
      </w:tr>
      <w:tr w:rsidR="00C64471" w:rsidRPr="00C64471" w14:paraId="1313C25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9DBB80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D2FCFD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1.23 (1.06, 1.43)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454925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  <w:tr w:rsidR="00C64471" w:rsidRPr="00C64471" w14:paraId="16F923C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81382C1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F8C2FAF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1.59 (1.36, 1.86)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0E12EE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2CDB697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EDF6C8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C5356F4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1.68 (1.42, 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3B954C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2746BAFA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869C09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C0E29D7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1.33 (1.14, 1.55)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67CD96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C64471" w:rsidRPr="00C64471" w14:paraId="22F106B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F7FC73C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40B2E66" w14:textId="77777777" w:rsidR="00C64471" w:rsidRPr="00C64471" w:rsidRDefault="00C644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1.21 (1.05, 1.4)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BFFE494" w14:textId="77777777" w:rsidR="00C64471" w:rsidRPr="00C64471" w:rsidRDefault="00C644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C64471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</w:tbl>
    <w:p w14:paraId="1C3073AA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466EEB2C" w14:textId="77777777" w:rsidR="00C64471" w:rsidRDefault="00C64471" w:rsidP="00EA7D71"/>
    <w:p w14:paraId="6EAAEB94" w14:textId="64F162E8" w:rsidR="00C64471" w:rsidRDefault="00C64471" w:rsidP="00EA7D71"/>
    <w:p w14:paraId="1B6C3D5E" w14:textId="77777777" w:rsidR="00C64471" w:rsidRDefault="00C64471" w:rsidP="00EA7D71"/>
    <w:p w14:paraId="336F678D" w14:textId="7A3D69A9" w:rsidR="00EA7D71" w:rsidRDefault="00EA7D71" w:rsidP="00EA7D71">
      <w:r>
        <w:t>Table S</w:t>
      </w:r>
      <w:r w:rsidR="009F5775">
        <w:t>24</w:t>
      </w:r>
      <w:r>
        <w:t>. Multivariable Weibull regression comparing hazard rates of any-substance-related hospitalisation between low/no and moderate/high risk heroin groups for the e</w:t>
      </w:r>
      <w:r w:rsidRPr="00E719C1">
        <w:t>ntire follow-up period</w:t>
      </w:r>
    </w:p>
    <w:p w14:paraId="76A79584" w14:textId="09C9082C" w:rsidR="00EA7D71" w:rsidRDefault="00EA7D71" w:rsidP="00EA7D71"/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EA7D71" w:rsidRPr="00EA7D71" w14:paraId="6F9490A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3FF3DFA" w14:textId="20E2F35E" w:rsidR="00EA7D71" w:rsidRPr="00EA7D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1F969DA" w14:textId="2E4BDFA2" w:rsidR="00EA7D71" w:rsidRPr="00EA7D71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5E955B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EA7D71" w:rsidRPr="00EA7D71" w14:paraId="1D02430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17D891E" w14:textId="77AD700F" w:rsidR="00EA7D71" w:rsidRPr="00EA7D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heroin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8021DE3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1.12 (0.99, 1.25)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416D13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0.061</w:t>
            </w:r>
          </w:p>
        </w:tc>
      </w:tr>
      <w:tr w:rsidR="00EA7D71" w:rsidRPr="00EA7D71" w14:paraId="618EDFE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AD318B2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F674FBD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2.2 (2.01, 2.41)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96ACEDE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31C0D94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12FB4A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E320C1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1.16 (1.05, 1.27)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068248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0.003</w:t>
            </w:r>
          </w:p>
        </w:tc>
      </w:tr>
      <w:tr w:rsidR="00EA7D71" w:rsidRPr="00EA7D71" w14:paraId="5DE624A2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E5C3975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3150DFA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 (1, 1.01)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C60CCF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0.098</w:t>
            </w:r>
          </w:p>
        </w:tc>
      </w:tr>
      <w:tr w:rsidR="00EA7D71" w:rsidRPr="00EA7D71" w14:paraId="036FFC9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11846F9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B679C6A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0.52 (0.47, 0.58)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E8862B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0C43A768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A3AB01B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882E7EE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087380" w14:textId="77777777" w:rsidR="00EA7D71" w:rsidRPr="00EA7D71" w:rsidRDefault="00EA7D71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EA7D71" w:rsidRPr="00EA7D71" w14:paraId="5D9C2E0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A79F33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3741B75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0.81 (0.71, 0.93)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4E443A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0.003</w:t>
            </w:r>
          </w:p>
        </w:tc>
      </w:tr>
      <w:tr w:rsidR="00EA7D71" w:rsidRPr="00EA7D71" w14:paraId="40761FE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B9F7F6A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0E7E56B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1.17 (1.06, 1.29)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590088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0.002</w:t>
            </w:r>
          </w:p>
        </w:tc>
      </w:tr>
      <w:tr w:rsidR="00EA7D71" w:rsidRPr="00EA7D71" w14:paraId="4EBDF48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EB280C4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1029A3E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 (1, 1.22)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BE441D3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0.054</w:t>
            </w:r>
          </w:p>
        </w:tc>
      </w:tr>
      <w:tr w:rsidR="00EA7D71" w:rsidRPr="00EA7D71" w14:paraId="3E77623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85A8D59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4ED72E9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1.17 (1.07, 1.28)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5E3DD8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EA7D71" w:rsidRPr="00EA7D71" w14:paraId="30DBA1A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4FF63D3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4A53D97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1.3 (1.19, 1.43)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389C93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7B0E448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4D43204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B8FBAD1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1.73 (1.56, 1.92)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FEA50A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1D3C9E1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D68BFD8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694AD97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1.37 (1.25, 1.51)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D457E3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31576C0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989D7A9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823392B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1.18 (1.08, 1.29)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A553176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44C65A59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7697DC9E" w14:textId="77777777" w:rsidR="00EA7D71" w:rsidRDefault="00EA7D71" w:rsidP="00EA7D71"/>
    <w:p w14:paraId="26F00668" w14:textId="77777777" w:rsidR="009F5775" w:rsidRDefault="009F5775">
      <w:r>
        <w:br w:type="page"/>
      </w:r>
    </w:p>
    <w:p w14:paraId="738FCD50" w14:textId="164EEDCF" w:rsidR="00EA7D71" w:rsidRDefault="00EA7D71" w:rsidP="00B91DD6">
      <w:r>
        <w:lastRenderedPageBreak/>
        <w:t>Table S</w:t>
      </w:r>
      <w:r w:rsidR="009F5775">
        <w:t>25</w:t>
      </w:r>
      <w:r>
        <w:t>. Multivariable Weibull regression comparing hazard rates of any-substance-related hospitalisation between low/no and moderate/high risk methamphetamine groups for the e</w:t>
      </w:r>
      <w:r w:rsidRPr="00E719C1">
        <w:t>ntire follow-up period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EA7D71" w:rsidRPr="00EA7D71" w14:paraId="10308F73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8A93AAE" w14:textId="5435AA52" w:rsidR="00EA7D71" w:rsidRPr="00EA7D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F3D00D0" w14:textId="6700E92F" w:rsidR="00EA7D71" w:rsidRPr="00EA7D71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54F46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EA7D71" w:rsidRPr="00EA7D71" w14:paraId="54CF420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1FBF091" w14:textId="7BB6C74F" w:rsidR="00EA7D71" w:rsidRPr="00EA7D7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methamphetamine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948C797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0.82 (0.74, 0.9)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1DA852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52803F7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E250A7E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E105897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2.13 (1.94, 2.33)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4238A5F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2F9E724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D0FBA15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F62892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1.14 (1.04, 1.26)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3468A0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0.007</w:t>
            </w:r>
          </w:p>
        </w:tc>
      </w:tr>
      <w:tr w:rsidR="00EA7D71" w:rsidRPr="00EA7D71" w14:paraId="4D0F3FA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C93EC4F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1DD789B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 (1, 1.01)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6886FC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0.123</w:t>
            </w:r>
          </w:p>
        </w:tc>
      </w:tr>
      <w:tr w:rsidR="00EA7D71" w:rsidRPr="00EA7D71" w14:paraId="7AE5C8D6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D08B1F1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19F5C11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0.52 (0.46, 0.57)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9BD922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118326D3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C56B1A0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4E938F2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3A4C06" w14:textId="77777777" w:rsidR="00EA7D71" w:rsidRPr="00EA7D71" w:rsidRDefault="00EA7D71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EA7D71" w:rsidRPr="00EA7D71" w14:paraId="1E19DE0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F75194F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A58E66E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0.81 (0.7, 0.93)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F8CF82E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0.002</w:t>
            </w:r>
          </w:p>
        </w:tc>
      </w:tr>
      <w:tr w:rsidR="00EA7D71" w:rsidRPr="00EA7D71" w14:paraId="7FB353B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16823F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33877A5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1.14 (1.04, 1.26)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52E8A1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0.008</w:t>
            </w:r>
          </w:p>
        </w:tc>
      </w:tr>
      <w:tr w:rsidR="00EA7D71" w:rsidRPr="00EA7D71" w14:paraId="342D42A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D9F4430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2079B9D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1.05 (0.95, 1.17)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E99605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0.312</w:t>
            </w:r>
          </w:p>
        </w:tc>
      </w:tr>
      <w:tr w:rsidR="00EA7D71" w:rsidRPr="00EA7D71" w14:paraId="37D04AE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7636679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B5F0D51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1.18 (1.07, 1.29)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8EC2B5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7FDC046C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CD6861D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CE3EC9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1.29 (1.18, 1.42)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F81F78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42BEB4B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6A2AE87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A0E3E4C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1.94 (1.73, 2.18)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78A780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0DDBDE5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29269FF3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9D30937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1.47 (1.34, 1.61)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1557F3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A7D71" w:rsidRPr="00EA7D71" w14:paraId="68121E7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6EE94DD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9D1BE86" w14:textId="77777777" w:rsidR="00EA7D71" w:rsidRPr="00EA7D71" w:rsidRDefault="00EA7D7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1.16 (1.07, 1.27)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86E529" w14:textId="77777777" w:rsidR="00EA7D71" w:rsidRPr="00EA7D71" w:rsidRDefault="00EA7D7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A7D71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</w:tbl>
    <w:p w14:paraId="38FFC0F9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05772A20" w14:textId="77777777" w:rsidR="00EA7D71" w:rsidRDefault="00EA7D71" w:rsidP="00B91DD6"/>
    <w:p w14:paraId="47C772FA" w14:textId="0A1A0299" w:rsidR="00EA7D71" w:rsidRDefault="00EA7D71" w:rsidP="00B91DD6"/>
    <w:p w14:paraId="22E26E2B" w14:textId="77777777" w:rsidR="00EA7D71" w:rsidRDefault="00EA7D71" w:rsidP="00B91DD6"/>
    <w:p w14:paraId="52AE4F6C" w14:textId="2875C79E" w:rsidR="00B91DD6" w:rsidRDefault="00E719C1" w:rsidP="00B91DD6">
      <w:r>
        <w:t>Table S</w:t>
      </w:r>
      <w:r w:rsidR="009F5775">
        <w:t>26</w:t>
      </w:r>
      <w:r>
        <w:t xml:space="preserve">. </w:t>
      </w:r>
      <w:r w:rsidR="00EA7D71">
        <w:t>Multivariable Weibull regression comparing hazard rates of any-substance-related hospitalisation between low/no and moderate/high risk cannabis groups for the e</w:t>
      </w:r>
      <w:r w:rsidRPr="00E719C1">
        <w:t>ntire follow-up period</w:t>
      </w:r>
    </w:p>
    <w:tbl>
      <w:tblPr>
        <w:tblW w:w="6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2180"/>
        <w:gridCol w:w="960"/>
      </w:tblGrid>
      <w:tr w:rsidR="00E719C1" w:rsidRPr="00E719C1" w14:paraId="426D97B1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06F5B76" w14:textId="29F251D6" w:rsidR="00E719C1" w:rsidRPr="00E719C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Any-substance-related hospitalisation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B1480ED" w14:textId="44E38B26" w:rsidR="00E719C1" w:rsidRPr="00E719C1" w:rsidRDefault="0056343F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aHR (95%CI)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A2F3BD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P-value</w:t>
            </w:r>
          </w:p>
        </w:tc>
      </w:tr>
      <w:tr w:rsidR="00E719C1" w:rsidRPr="00E719C1" w14:paraId="1D371D5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16128DD" w14:textId="207CAA2E" w:rsidR="00E719C1" w:rsidRPr="00E719C1" w:rsidRDefault="009D680C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risk cannabis use (ASSIST)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769454F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1.35 (1.23, 1.48)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94A2D1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719C1" w:rsidRPr="00E719C1" w14:paraId="7E509D5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66D093D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Indigenous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00084E51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2.12 (1.93, 2.32)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B13524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719C1" w:rsidRPr="00E719C1" w14:paraId="11D9393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5B1E6DA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Female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44F232F4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1.18 (1.07, 1.3)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999AED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E719C1" w:rsidRPr="00E719C1" w14:paraId="3F8938D4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575830B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Age (vs 1 year younger)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8312B71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1.01 (1, 1.01)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5C5DDA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0.006</w:t>
            </w:r>
          </w:p>
        </w:tc>
      </w:tr>
      <w:tr w:rsidR="00E719C1" w:rsidRPr="00E719C1" w14:paraId="07A48DA0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E56058B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Employed in 6 months before prison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51F67E3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0.53 (0.48, 0.59)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E12064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719C1" w:rsidRPr="00E719C1" w14:paraId="06AB674E" w14:textId="77777777" w:rsidTr="00143DDA">
        <w:trPr>
          <w:trHeight w:val="315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4ED9D8D0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Index Sentence (ref &gt; 365 days)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165F8B6A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7431E7" w14:textId="77777777" w:rsidR="00E719C1" w:rsidRPr="00E719C1" w:rsidRDefault="00E719C1" w:rsidP="009F5775">
            <w:pPr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</w:tr>
      <w:tr w:rsidR="00E719C1" w:rsidRPr="00E719C1" w14:paraId="13BB13EF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78A6BC87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≤90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2F9B72CB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0.83 (0.73, 0.95)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8F9103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0.009</w:t>
            </w:r>
          </w:p>
        </w:tc>
      </w:tr>
      <w:tr w:rsidR="00E719C1" w:rsidRPr="00E719C1" w14:paraId="7DE5A985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AF86469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91-365 days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630C68A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1.18 (1.07, 1.3)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3D9764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E719C1" w:rsidRPr="00E719C1" w14:paraId="71EF5009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6EA55D7B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Taken from family as a child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90035C9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1.11 (1.01, 1.23)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1C54D4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0.036</w:t>
            </w:r>
          </w:p>
        </w:tc>
      </w:tr>
      <w:tr w:rsidR="00E719C1" w:rsidRPr="00E719C1" w14:paraId="3E30364B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4DE4F67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Moderate/high distress (K10)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F98C5B5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1.16 (1.06, 1.27)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E59FCD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0.001</w:t>
            </w:r>
          </w:p>
        </w:tc>
      </w:tr>
      <w:tr w:rsidR="00E719C1" w:rsidRPr="00E719C1" w14:paraId="3071D6AE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5A9FA547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Mental illness previously diagnosed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399470F5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1.27 (1.16, 1.39)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EBE2A85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719C1" w:rsidRPr="00E719C1" w14:paraId="5EE2BAED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1A45AB0D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Ever injected drugs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7DBFE364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1.68 (1.51, 1.86)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5837315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719C1" w:rsidRPr="00E719C1" w14:paraId="23910FD8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3B2A0F2F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Ever overdosed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579545EE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1.4 (1.27, 1.53)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4A89CB9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  <w:tr w:rsidR="00E719C1" w:rsidRPr="00E719C1" w14:paraId="51F49907" w14:textId="77777777" w:rsidTr="00143DDA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14:paraId="0F199283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Low social support (ESSI &lt; 28)</w:t>
            </w:r>
          </w:p>
        </w:tc>
        <w:tc>
          <w:tcPr>
            <w:tcW w:w="2180" w:type="dxa"/>
            <w:shd w:val="clear" w:color="auto" w:fill="auto"/>
            <w:noWrap/>
            <w:vAlign w:val="center"/>
            <w:hideMark/>
          </w:tcPr>
          <w:p w14:paraId="6316522D" w14:textId="77777777" w:rsidR="00E719C1" w:rsidRPr="00E719C1" w:rsidRDefault="00E719C1" w:rsidP="009F5775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1.17 (1.07, 1.28)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5B7717" w14:textId="77777777" w:rsidR="00E719C1" w:rsidRPr="00E719C1" w:rsidRDefault="00E719C1" w:rsidP="00143DDA">
            <w:pPr>
              <w:rPr>
                <w:rFonts w:ascii="Calibri" w:hAnsi="Calibri" w:cs="Calibri"/>
                <w:color w:val="000000"/>
                <w:szCs w:val="22"/>
                <w:lang w:eastAsia="en-AU"/>
              </w:rPr>
            </w:pPr>
            <w:r w:rsidRPr="00E719C1">
              <w:rPr>
                <w:rFonts w:ascii="Calibri" w:hAnsi="Calibri" w:cs="Calibri"/>
                <w:color w:val="000000"/>
                <w:szCs w:val="22"/>
                <w:lang w:eastAsia="en-AU"/>
              </w:rPr>
              <w:t>0.000</w:t>
            </w:r>
          </w:p>
        </w:tc>
      </w:tr>
    </w:tbl>
    <w:p w14:paraId="3A6133E8" w14:textId="77777777" w:rsidR="0056343F" w:rsidRPr="00EC7C8F" w:rsidRDefault="0056343F" w:rsidP="0056343F">
      <w:pPr>
        <w:rPr>
          <w:sz w:val="18"/>
          <w:szCs w:val="18"/>
        </w:rPr>
      </w:pPr>
      <w:r>
        <w:rPr>
          <w:sz w:val="18"/>
          <w:szCs w:val="18"/>
        </w:rPr>
        <w:t>aH</w:t>
      </w:r>
      <w:r w:rsidRPr="00EC7C8F">
        <w:rPr>
          <w:sz w:val="18"/>
          <w:szCs w:val="18"/>
        </w:rPr>
        <w:t xml:space="preserve">R: </w:t>
      </w:r>
      <w:r>
        <w:rPr>
          <w:sz w:val="18"/>
          <w:szCs w:val="18"/>
        </w:rPr>
        <w:t>adjusted hazard</w:t>
      </w:r>
      <w:r w:rsidRPr="00EC7C8F">
        <w:rPr>
          <w:sz w:val="18"/>
          <w:szCs w:val="18"/>
        </w:rPr>
        <w:t xml:space="preserve"> ratio; ASSIST: Alcohol Smoking and Substance Involvement Screening Test; K10: 10-item Kessler Psychological Distress Scale; ESSI: Enrichd Social Support Inventory</w:t>
      </w:r>
    </w:p>
    <w:p w14:paraId="1E67FF42" w14:textId="46D21B9B" w:rsidR="00EA7D71" w:rsidRDefault="00EA7D71" w:rsidP="00EA7D71"/>
    <w:p w14:paraId="34E962D7" w14:textId="7B428CD8" w:rsidR="009F5775" w:rsidRDefault="009F5775">
      <w:r>
        <w:br w:type="page"/>
      </w:r>
    </w:p>
    <w:p w14:paraId="0346FD16" w14:textId="77777777" w:rsidR="00EA7D71" w:rsidRPr="00EA7D71" w:rsidRDefault="00EA7D71" w:rsidP="00EA7D71">
      <w:pPr>
        <w:pStyle w:val="EndNoteBibliographyTitle"/>
        <w:rPr>
          <w:b/>
          <w:noProof/>
        </w:rPr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Pr="00EA7D71">
        <w:rPr>
          <w:b/>
          <w:noProof/>
        </w:rPr>
        <w:t>References</w:t>
      </w:r>
    </w:p>
    <w:p w14:paraId="100021BE" w14:textId="77777777" w:rsidR="00EA7D71" w:rsidRPr="00EA7D71" w:rsidRDefault="00EA7D71" w:rsidP="00EA7D71">
      <w:pPr>
        <w:pStyle w:val="EndNoteBibliographyTitle"/>
        <w:rPr>
          <w:b/>
          <w:noProof/>
        </w:rPr>
      </w:pPr>
    </w:p>
    <w:p w14:paraId="5E489856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1.</w:t>
      </w:r>
      <w:r w:rsidRPr="00EA7D71">
        <w:rPr>
          <w:noProof/>
        </w:rPr>
        <w:tab/>
      </w:r>
      <w:r w:rsidRPr="00EA7D71">
        <w:rPr>
          <w:smallCaps/>
          <w:noProof/>
        </w:rPr>
        <w:t>Krawczyk N., Eisenberg M., Schneider K. E., Richards T. M., Lyons B. C., Jackson K.</w:t>
      </w:r>
      <w:r w:rsidRPr="00EA7D71">
        <w:rPr>
          <w:noProof/>
        </w:rPr>
        <w:t xml:space="preserve"> et al. Predictors of overdose death among high-risk emergency department patients with substance-related encounters: a data linkage cohort study, Annals of emergency medicine 2020: 75: 1-12.</w:t>
      </w:r>
    </w:p>
    <w:p w14:paraId="41E7494A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2.</w:t>
      </w:r>
      <w:r w:rsidRPr="00EA7D71">
        <w:rPr>
          <w:noProof/>
        </w:rPr>
        <w:tab/>
      </w:r>
      <w:r w:rsidRPr="00EA7D71">
        <w:rPr>
          <w:smallCaps/>
          <w:noProof/>
        </w:rPr>
        <w:t>Colledge S., Peacock A., Leung J., Larney S., Grebely J., Hickman M.</w:t>
      </w:r>
      <w:r w:rsidRPr="00EA7D71">
        <w:rPr>
          <w:noProof/>
        </w:rPr>
        <w:t xml:space="preserve"> et al. The prevalence of non-fatal overdose among people who inject drugs: a multi-stage systematic review and meta-analysis, Int J Drug Policy 2019: 73: 172-184.</w:t>
      </w:r>
    </w:p>
    <w:p w14:paraId="6FA0B0B1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3.</w:t>
      </w:r>
      <w:r w:rsidRPr="00EA7D71">
        <w:rPr>
          <w:noProof/>
        </w:rPr>
        <w:tab/>
      </w:r>
      <w:r w:rsidRPr="00EA7D71">
        <w:rPr>
          <w:smallCaps/>
          <w:noProof/>
        </w:rPr>
        <w:t>Degenhardt L., Peacock A., Colledge S., Leung J., Grebely J., Vickerman P.</w:t>
      </w:r>
      <w:r w:rsidRPr="00EA7D71">
        <w:rPr>
          <w:noProof/>
        </w:rPr>
        <w:t xml:space="preserve"> et al. Global prevalence of injecting drug use and sociodemographic characteristics and prevalence of HIV, HBV, and HCV in people who inject drugs: a multistage systematic review, The Lancet Global Health 2017: 5: e1192-e1207.</w:t>
      </w:r>
    </w:p>
    <w:p w14:paraId="69D0EEC5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4.</w:t>
      </w:r>
      <w:r w:rsidRPr="00EA7D71">
        <w:rPr>
          <w:noProof/>
        </w:rPr>
        <w:tab/>
      </w:r>
      <w:r w:rsidRPr="00EA7D71">
        <w:rPr>
          <w:smallCaps/>
          <w:noProof/>
        </w:rPr>
        <w:t>Butler T., Levy M., Dolan K., Kaldor J.</w:t>
      </w:r>
      <w:r w:rsidRPr="00EA7D71">
        <w:rPr>
          <w:noProof/>
        </w:rPr>
        <w:t xml:space="preserve"> Drug use and its correlates in an Australian prisoner population, Addiction Research &amp; Theory 2003: 11: 89-101.</w:t>
      </w:r>
    </w:p>
    <w:p w14:paraId="6A467B38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5.</w:t>
      </w:r>
      <w:r w:rsidRPr="00EA7D71">
        <w:rPr>
          <w:noProof/>
        </w:rPr>
        <w:tab/>
      </w:r>
      <w:r w:rsidRPr="00EA7D71">
        <w:rPr>
          <w:smallCaps/>
          <w:noProof/>
        </w:rPr>
        <w:t>Milloy M. J., Wood E., Reading C., Kane D., Montaner J., Kerr T.</w:t>
      </w:r>
      <w:r w:rsidRPr="00EA7D71">
        <w:rPr>
          <w:noProof/>
        </w:rPr>
        <w:t xml:space="preserve"> Elevated overdose mortality rates among First Nations individuals in a Canadian setting: a population‐based analysis, Addiction 2010: 105: 1962-1970.</w:t>
      </w:r>
    </w:p>
    <w:p w14:paraId="00BF867F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6.</w:t>
      </w:r>
      <w:r w:rsidRPr="00EA7D71">
        <w:rPr>
          <w:noProof/>
        </w:rPr>
        <w:tab/>
      </w:r>
      <w:r w:rsidRPr="00EA7D71">
        <w:rPr>
          <w:smallCaps/>
          <w:noProof/>
        </w:rPr>
        <w:t>Australian Institute of Health and Welfare</w:t>
      </w:r>
      <w:r w:rsidRPr="00EA7D71">
        <w:rPr>
          <w:noProof/>
        </w:rPr>
        <w:t>. The health and welfare of Australia's Aboriginal and Torres Strait Islander peoples 2015, Canberra: AIHW; 2015.</w:t>
      </w:r>
    </w:p>
    <w:p w14:paraId="21E3BBE6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7.</w:t>
      </w:r>
      <w:r w:rsidRPr="00EA7D71">
        <w:rPr>
          <w:noProof/>
        </w:rPr>
        <w:tab/>
      </w:r>
      <w:r w:rsidRPr="00EA7D71">
        <w:rPr>
          <w:smallCaps/>
          <w:noProof/>
        </w:rPr>
        <w:t>Fazel S., Bains P., Doll H.</w:t>
      </w:r>
      <w:r w:rsidRPr="00EA7D71">
        <w:rPr>
          <w:noProof/>
        </w:rPr>
        <w:t xml:space="preserve"> Substance abuse and dependence in prisoners: a systematic review, Addiction 2006: 101: 181-191.</w:t>
      </w:r>
    </w:p>
    <w:p w14:paraId="3470C350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8.</w:t>
      </w:r>
      <w:r w:rsidRPr="00EA7D71">
        <w:rPr>
          <w:noProof/>
        </w:rPr>
        <w:tab/>
      </w:r>
      <w:r w:rsidRPr="00EA7D71">
        <w:rPr>
          <w:smallCaps/>
          <w:noProof/>
        </w:rPr>
        <w:t>Winter R. J., Young J. T., Stoove M., Agius P. A., Hellard M. E., Kinner S. A.</w:t>
      </w:r>
      <w:r w:rsidRPr="00EA7D71">
        <w:rPr>
          <w:noProof/>
        </w:rPr>
        <w:t xml:space="preserve"> Resumption of injecting drug use following release from prison in Australia, Drug and Alcohol Dependence 2016: 168: 104-111.</w:t>
      </w:r>
    </w:p>
    <w:p w14:paraId="596CBBE4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9.</w:t>
      </w:r>
      <w:r w:rsidRPr="00EA7D71">
        <w:rPr>
          <w:noProof/>
        </w:rPr>
        <w:tab/>
      </w:r>
      <w:r w:rsidRPr="00EA7D71">
        <w:rPr>
          <w:smallCaps/>
          <w:noProof/>
        </w:rPr>
        <w:t>Keen C., Young J. T., Borschmann R., Kinner S. A.</w:t>
      </w:r>
      <w:r w:rsidRPr="00EA7D71">
        <w:rPr>
          <w:noProof/>
        </w:rPr>
        <w:t xml:space="preserve"> Non-fatal drug overdose after release from prison: a prospective data linkage study, Drug and Alcohol Dependence 2020: 206: 107707.</w:t>
      </w:r>
    </w:p>
    <w:p w14:paraId="7689D862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10.</w:t>
      </w:r>
      <w:r w:rsidRPr="00EA7D71">
        <w:rPr>
          <w:noProof/>
        </w:rPr>
        <w:tab/>
      </w:r>
      <w:r w:rsidRPr="00EA7D71">
        <w:rPr>
          <w:smallCaps/>
          <w:noProof/>
        </w:rPr>
        <w:t>Winter R. J., Stoové M., Degenhardt L., Hellard M. E., Spelman T., Jenkinson R.</w:t>
      </w:r>
      <w:r w:rsidRPr="00EA7D71">
        <w:rPr>
          <w:noProof/>
        </w:rPr>
        <w:t xml:space="preserve"> et al. Incidence and predictors of non-fatal drug overdose after release from prison among people who inject drugs in Queensland, Australia, Drug and Alcohol Dependence 2015: 153: 43-49.</w:t>
      </w:r>
    </w:p>
    <w:p w14:paraId="754C2E99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11.</w:t>
      </w:r>
      <w:r w:rsidRPr="00EA7D71">
        <w:rPr>
          <w:noProof/>
        </w:rPr>
        <w:tab/>
      </w:r>
      <w:r w:rsidRPr="00EA7D71">
        <w:rPr>
          <w:smallCaps/>
          <w:noProof/>
        </w:rPr>
        <w:t>Mitchell P. H., Powell L., Blumenthal J., Norten J., Ironson G., Pitula C. R.</w:t>
      </w:r>
      <w:r w:rsidRPr="00EA7D71">
        <w:rPr>
          <w:noProof/>
        </w:rPr>
        <w:t xml:space="preserve"> et al. A short social support measure for patients recovering from myocardial infarction: the ENRICHD Social Support Inventory, J Cardiopulm Rehabil Prev 2003: 23: 398-403.</w:t>
      </w:r>
    </w:p>
    <w:p w14:paraId="45A5FD28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12.</w:t>
      </w:r>
      <w:r w:rsidRPr="00EA7D71">
        <w:rPr>
          <w:noProof/>
        </w:rPr>
        <w:tab/>
      </w:r>
      <w:r w:rsidRPr="00EA7D71">
        <w:rPr>
          <w:smallCaps/>
          <w:noProof/>
        </w:rPr>
        <w:t>Kessler R. C., Andrews G., Colpe L. J., Hiripi E., Mroczek D. K., Normand S. L.</w:t>
      </w:r>
      <w:r w:rsidRPr="00EA7D71">
        <w:rPr>
          <w:noProof/>
        </w:rPr>
        <w:t xml:space="preserve"> et al. Short screening scales to monitor population prevalences and trends in non-specific psychological distress, Psychol Med 2002: 32: 959-976.</w:t>
      </w:r>
    </w:p>
    <w:p w14:paraId="3D988EBB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13.</w:t>
      </w:r>
      <w:r w:rsidRPr="00EA7D71">
        <w:rPr>
          <w:noProof/>
        </w:rPr>
        <w:tab/>
      </w:r>
      <w:r w:rsidRPr="00EA7D71">
        <w:rPr>
          <w:smallCaps/>
          <w:noProof/>
        </w:rPr>
        <w:t>Andrews G., Slade T.</w:t>
      </w:r>
      <w:r w:rsidRPr="00EA7D71">
        <w:rPr>
          <w:noProof/>
        </w:rPr>
        <w:t xml:space="preserve"> Interpreting scores on the Kessler psychological distress scale (K10), Aust N Z J Public Health 2001: 25: 494-497.</w:t>
      </w:r>
    </w:p>
    <w:p w14:paraId="47ED3D72" w14:textId="77777777" w:rsidR="00EA7D71" w:rsidRPr="00EA7D71" w:rsidRDefault="00EA7D71" w:rsidP="00EA7D71">
      <w:pPr>
        <w:pStyle w:val="EndNoteBibliography"/>
        <w:ind w:left="720" w:hanging="720"/>
        <w:rPr>
          <w:noProof/>
        </w:rPr>
      </w:pPr>
      <w:r w:rsidRPr="00EA7D71">
        <w:rPr>
          <w:noProof/>
        </w:rPr>
        <w:t>14.</w:t>
      </w:r>
      <w:r w:rsidRPr="00EA7D71">
        <w:rPr>
          <w:noProof/>
        </w:rPr>
        <w:tab/>
      </w:r>
      <w:r w:rsidRPr="00EA7D71">
        <w:rPr>
          <w:smallCaps/>
          <w:noProof/>
        </w:rPr>
        <w:t>Cumming C., Kinner S. A., McKetin R., Young J. T., Li I., Preen D. B.</w:t>
      </w:r>
      <w:r w:rsidRPr="00EA7D71">
        <w:rPr>
          <w:noProof/>
        </w:rPr>
        <w:t xml:space="preserve"> The predictive validity of the Alcohol Smoking and Substance Involvement Screening Test (ASSIST) for moderate‐to‐high risk cannabis, methamphetamine and opioid use after release from prison, Addiction 2023: 118: 1107-1115.</w:t>
      </w:r>
    </w:p>
    <w:p w14:paraId="3B8A725F" w14:textId="79D9783C" w:rsidR="00B17BC9" w:rsidRDefault="00EA7D71" w:rsidP="00EA7D71">
      <w:r>
        <w:fldChar w:fldCharType="end"/>
      </w:r>
    </w:p>
    <w:sectPr w:rsidR="00B17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D095" w14:textId="77777777" w:rsidR="00EF760E" w:rsidRDefault="00EF760E" w:rsidP="00B91DD6">
      <w:r>
        <w:separator/>
      </w:r>
    </w:p>
  </w:endnote>
  <w:endnote w:type="continuationSeparator" w:id="0">
    <w:p w14:paraId="6F784FD0" w14:textId="77777777" w:rsidR="00EF760E" w:rsidRDefault="00EF760E" w:rsidP="00B9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221909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50BC22" w14:textId="1E25CF7E" w:rsidR="00B91DD6" w:rsidRDefault="00B91DD6" w:rsidP="001168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000871" w14:textId="77777777" w:rsidR="00B91DD6" w:rsidRDefault="00B91DD6" w:rsidP="00B91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99812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8E71F7" w14:textId="1CBEE774" w:rsidR="00B91DD6" w:rsidRDefault="00B91DD6" w:rsidP="0011686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BC4420" w14:textId="77777777" w:rsidR="00B91DD6" w:rsidRDefault="00B91DD6" w:rsidP="00B91D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02DC" w14:textId="77777777" w:rsidR="00EF760E" w:rsidRDefault="00EF760E" w:rsidP="00B91DD6">
      <w:r>
        <w:separator/>
      </w:r>
    </w:p>
  </w:footnote>
  <w:footnote w:type="continuationSeparator" w:id="0">
    <w:p w14:paraId="3A0B07F6" w14:textId="77777777" w:rsidR="00EF760E" w:rsidRDefault="00EF760E" w:rsidP="00B9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F4A08"/>
    <w:multiLevelType w:val="hybridMultilevel"/>
    <w:tmpl w:val="B8DC8212"/>
    <w:lvl w:ilvl="0" w:tplc="7B4480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047CE"/>
    <w:multiLevelType w:val="hybridMultilevel"/>
    <w:tmpl w:val="D84800D6"/>
    <w:lvl w:ilvl="0" w:tplc="6876D4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13416">
    <w:abstractNumId w:val="1"/>
  </w:num>
  <w:num w:numId="2" w16cid:durableId="54880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diction&lt;/Style&gt;&lt;LeftDelim&gt;{&lt;/LeftDelim&gt;&lt;RightDelim&gt;}&lt;/RightDelim&gt;&lt;FontName&gt;Calibri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vpdrpfv4wxat7erfen5t2r7w0arer0fedwx&quot;&gt;PhD Library Recovered&lt;record-ids&gt;&lt;item&gt;181&lt;/item&gt;&lt;item&gt;197&lt;/item&gt;&lt;item&gt;234&lt;/item&gt;&lt;item&gt;260&lt;/item&gt;&lt;item&gt;349&lt;/item&gt;&lt;item&gt;710&lt;/item&gt;&lt;item&gt;819&lt;/item&gt;&lt;item&gt;875&lt;/item&gt;&lt;item&gt;902&lt;/item&gt;&lt;item&gt;1039&lt;/item&gt;&lt;item&gt;1388&lt;/item&gt;&lt;item&gt;1390&lt;/item&gt;&lt;item&gt;1391&lt;/item&gt;&lt;item&gt;1392&lt;/item&gt;&lt;/record-ids&gt;&lt;/item&gt;&lt;/Libraries&gt;"/>
  </w:docVars>
  <w:rsids>
    <w:rsidRoot w:val="00BF7259"/>
    <w:rsid w:val="00051157"/>
    <w:rsid w:val="000B3498"/>
    <w:rsid w:val="000B7597"/>
    <w:rsid w:val="000C5CDB"/>
    <w:rsid w:val="000C64F3"/>
    <w:rsid w:val="000D31F3"/>
    <w:rsid w:val="001302C6"/>
    <w:rsid w:val="00143DDA"/>
    <w:rsid w:val="001529AF"/>
    <w:rsid w:val="0015653B"/>
    <w:rsid w:val="001A6211"/>
    <w:rsid w:val="001E35C9"/>
    <w:rsid w:val="001F0722"/>
    <w:rsid w:val="0020132B"/>
    <w:rsid w:val="00207774"/>
    <w:rsid w:val="00226FCC"/>
    <w:rsid w:val="0023313E"/>
    <w:rsid w:val="00240A14"/>
    <w:rsid w:val="00265D93"/>
    <w:rsid w:val="00285C3E"/>
    <w:rsid w:val="002B77B7"/>
    <w:rsid w:val="002F50C3"/>
    <w:rsid w:val="00303D58"/>
    <w:rsid w:val="00307C6A"/>
    <w:rsid w:val="00323EC1"/>
    <w:rsid w:val="00332E97"/>
    <w:rsid w:val="00377273"/>
    <w:rsid w:val="003C180D"/>
    <w:rsid w:val="0041259E"/>
    <w:rsid w:val="00416D44"/>
    <w:rsid w:val="004371DB"/>
    <w:rsid w:val="00445E1D"/>
    <w:rsid w:val="00452324"/>
    <w:rsid w:val="004B4C9A"/>
    <w:rsid w:val="004B6EC9"/>
    <w:rsid w:val="004E66DF"/>
    <w:rsid w:val="005106DA"/>
    <w:rsid w:val="005468A5"/>
    <w:rsid w:val="00562398"/>
    <w:rsid w:val="0056343F"/>
    <w:rsid w:val="00564972"/>
    <w:rsid w:val="005B2A51"/>
    <w:rsid w:val="005E1A22"/>
    <w:rsid w:val="005E3759"/>
    <w:rsid w:val="006060F7"/>
    <w:rsid w:val="0062225C"/>
    <w:rsid w:val="006332F9"/>
    <w:rsid w:val="00656BCC"/>
    <w:rsid w:val="006650E1"/>
    <w:rsid w:val="00684BB5"/>
    <w:rsid w:val="00690457"/>
    <w:rsid w:val="006A4336"/>
    <w:rsid w:val="006A7794"/>
    <w:rsid w:val="006B7503"/>
    <w:rsid w:val="006C2C70"/>
    <w:rsid w:val="006E0BC5"/>
    <w:rsid w:val="006E32F7"/>
    <w:rsid w:val="006F291E"/>
    <w:rsid w:val="00704F81"/>
    <w:rsid w:val="00722788"/>
    <w:rsid w:val="007430D7"/>
    <w:rsid w:val="007501DF"/>
    <w:rsid w:val="00766C25"/>
    <w:rsid w:val="007914BB"/>
    <w:rsid w:val="00791D9E"/>
    <w:rsid w:val="007A145D"/>
    <w:rsid w:val="007B18A9"/>
    <w:rsid w:val="007B2907"/>
    <w:rsid w:val="007C4644"/>
    <w:rsid w:val="007E39A0"/>
    <w:rsid w:val="007F0870"/>
    <w:rsid w:val="008265C1"/>
    <w:rsid w:val="00866643"/>
    <w:rsid w:val="008934C2"/>
    <w:rsid w:val="008D581F"/>
    <w:rsid w:val="008E3EED"/>
    <w:rsid w:val="008E6CB8"/>
    <w:rsid w:val="008F2C65"/>
    <w:rsid w:val="0091247B"/>
    <w:rsid w:val="009228D4"/>
    <w:rsid w:val="0095480A"/>
    <w:rsid w:val="00965899"/>
    <w:rsid w:val="00970CD8"/>
    <w:rsid w:val="009734A0"/>
    <w:rsid w:val="009D680C"/>
    <w:rsid w:val="009E2B73"/>
    <w:rsid w:val="009F5775"/>
    <w:rsid w:val="00A13DAA"/>
    <w:rsid w:val="00A1699A"/>
    <w:rsid w:val="00A25301"/>
    <w:rsid w:val="00A45653"/>
    <w:rsid w:val="00A5759B"/>
    <w:rsid w:val="00A96F20"/>
    <w:rsid w:val="00AB24E8"/>
    <w:rsid w:val="00AD030F"/>
    <w:rsid w:val="00AE06E6"/>
    <w:rsid w:val="00AE39E6"/>
    <w:rsid w:val="00AE5C16"/>
    <w:rsid w:val="00AE601C"/>
    <w:rsid w:val="00B10646"/>
    <w:rsid w:val="00B16F46"/>
    <w:rsid w:val="00B17BC9"/>
    <w:rsid w:val="00B44CA7"/>
    <w:rsid w:val="00B459EB"/>
    <w:rsid w:val="00B70749"/>
    <w:rsid w:val="00B81984"/>
    <w:rsid w:val="00B91DD6"/>
    <w:rsid w:val="00BB00FC"/>
    <w:rsid w:val="00BC4C07"/>
    <w:rsid w:val="00BD04A5"/>
    <w:rsid w:val="00BD33DA"/>
    <w:rsid w:val="00BF7259"/>
    <w:rsid w:val="00C30068"/>
    <w:rsid w:val="00C37DC2"/>
    <w:rsid w:val="00C64471"/>
    <w:rsid w:val="00CA138D"/>
    <w:rsid w:val="00CA63E4"/>
    <w:rsid w:val="00CD57CB"/>
    <w:rsid w:val="00D06F68"/>
    <w:rsid w:val="00D52680"/>
    <w:rsid w:val="00D8579D"/>
    <w:rsid w:val="00D946EE"/>
    <w:rsid w:val="00D9582E"/>
    <w:rsid w:val="00DB1318"/>
    <w:rsid w:val="00DC562B"/>
    <w:rsid w:val="00DE32C2"/>
    <w:rsid w:val="00DE6C1F"/>
    <w:rsid w:val="00E06061"/>
    <w:rsid w:val="00E41257"/>
    <w:rsid w:val="00E56522"/>
    <w:rsid w:val="00E60BC9"/>
    <w:rsid w:val="00E644A0"/>
    <w:rsid w:val="00E719C1"/>
    <w:rsid w:val="00E93718"/>
    <w:rsid w:val="00EA7D71"/>
    <w:rsid w:val="00EC4A8F"/>
    <w:rsid w:val="00EC7C8F"/>
    <w:rsid w:val="00ED5939"/>
    <w:rsid w:val="00EE745F"/>
    <w:rsid w:val="00EF760E"/>
    <w:rsid w:val="00F45433"/>
    <w:rsid w:val="00F57CC9"/>
    <w:rsid w:val="00F61B9B"/>
    <w:rsid w:val="00F64BB0"/>
    <w:rsid w:val="00FA024F"/>
    <w:rsid w:val="00FD07D6"/>
    <w:rsid w:val="00FD277F"/>
    <w:rsid w:val="00F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6236D"/>
  <w15:chartTrackingRefBased/>
  <w15:docId w15:val="{5AFB7367-FD85-424E-BE39-EAC56FF8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C9"/>
    <w:rPr>
      <w:rFonts w:eastAsia="Times New Roman" w:cs="Times New Roman"/>
      <w:kern w:val="0"/>
      <w:sz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3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6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BC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3D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AD030F"/>
    <w:pPr>
      <w:jc w:val="center"/>
    </w:pPr>
    <w:rPr>
      <w:rFonts w:ascii="Calibri" w:hAnsi="Calibri" w:cs="Calibri"/>
      <w:lang w:val="en-GB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D030F"/>
    <w:rPr>
      <w:rFonts w:ascii="Calibri" w:eastAsia="Times New Roman" w:hAnsi="Calibri" w:cs="Calibri"/>
      <w:kern w:val="0"/>
      <w:sz w:val="22"/>
      <w:lang w:val="en-GB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AD030F"/>
    <w:rPr>
      <w:rFonts w:ascii="Calibri" w:hAnsi="Calibri" w:cs="Calibri"/>
      <w:lang w:val="en-GB"/>
    </w:rPr>
  </w:style>
  <w:style w:type="character" w:customStyle="1" w:styleId="EndNoteBibliographyChar">
    <w:name w:val="EndNote Bibliography Char"/>
    <w:basedOn w:val="DefaultParagraphFont"/>
    <w:link w:val="EndNoteBibliography"/>
    <w:rsid w:val="00AD030F"/>
    <w:rPr>
      <w:rFonts w:ascii="Calibri" w:eastAsia="Times New Roman" w:hAnsi="Calibri" w:cs="Calibri"/>
      <w:kern w:val="0"/>
      <w:sz w:val="22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E66D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C2C70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C7C8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7C8F"/>
    <w:rPr>
      <w:color w:val="954F72"/>
      <w:u w:val="single"/>
    </w:rPr>
  </w:style>
  <w:style w:type="paragraph" w:customStyle="1" w:styleId="msonormal0">
    <w:name w:val="msonormal"/>
    <w:basedOn w:val="Normal"/>
    <w:rsid w:val="00EC7C8F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6">
    <w:name w:val="xl66"/>
    <w:basedOn w:val="Normal"/>
    <w:rsid w:val="00EC7C8F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al"/>
    <w:rsid w:val="00EC7C8F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B91D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DD6"/>
    <w:rPr>
      <w:rFonts w:eastAsia="Times New Roman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91DD6"/>
  </w:style>
  <w:style w:type="paragraph" w:styleId="ListParagraph">
    <w:name w:val="List Paragraph"/>
    <w:basedOn w:val="Normal"/>
    <w:uiPriority w:val="34"/>
    <w:qFormat/>
    <w:rsid w:val="00A13DAA"/>
    <w:pPr>
      <w:ind w:left="720"/>
      <w:contextualSpacing/>
    </w:pPr>
  </w:style>
  <w:style w:type="paragraph" w:styleId="Revision">
    <w:name w:val="Revision"/>
    <w:hidden/>
    <w:uiPriority w:val="99"/>
    <w:semiHidden/>
    <w:rsid w:val="00DE6C1F"/>
    <w:rPr>
      <w:rFonts w:eastAsia="Times New Roman" w:cs="Times New Roman"/>
      <w:kern w:val="0"/>
      <w:sz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7214</Words>
  <Characters>41120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</Company>
  <LinksUpToDate>false</LinksUpToDate>
  <CharactersWithSpaces>48238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Cumming</dc:creator>
  <cp:keywords/>
  <dc:description/>
  <cp:lastModifiedBy>Craig Cumming</cp:lastModifiedBy>
  <cp:revision>3</cp:revision>
  <dcterms:created xsi:type="dcterms:W3CDTF">2023-09-11T06:23:00Z</dcterms:created>
  <dcterms:modified xsi:type="dcterms:W3CDTF">2023-09-11T06:23:00Z</dcterms:modified>
</cp:coreProperties>
</file>