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A4873C" w14:textId="1D165DD6" w:rsidR="00216250" w:rsidRPr="00FA100E" w:rsidRDefault="000C0411" w:rsidP="000C0411">
      <w:pPr>
        <w:pStyle w:val="Heading1"/>
      </w:pPr>
      <w:bookmarkStart w:id="0" w:name="_Toc113618752"/>
      <w:bookmarkStart w:id="1" w:name="_Toc126339488"/>
      <w:bookmarkStart w:id="2" w:name="_Toc128412284"/>
      <w:r w:rsidRPr="00FA100E">
        <w:t>Supplementary appendix</w:t>
      </w:r>
      <w:bookmarkEnd w:id="0"/>
      <w:bookmarkEnd w:id="1"/>
      <w:bookmarkEnd w:id="2"/>
    </w:p>
    <w:p w14:paraId="5A2D52B7" w14:textId="1D742CE7" w:rsidR="00A227A4" w:rsidRPr="00FA100E" w:rsidRDefault="00A227A4" w:rsidP="00A227A4">
      <w:pPr>
        <w:pStyle w:val="Heading1"/>
      </w:pPr>
      <w:bookmarkStart w:id="3" w:name="_Toc102056838"/>
      <w:bookmarkStart w:id="4" w:name="_Toc113618742"/>
      <w:bookmarkStart w:id="5" w:name="_Toc128394950"/>
      <w:bookmarkStart w:id="6" w:name="_Toc128412285"/>
      <w:r w:rsidRPr="00FA100E">
        <w:t xml:space="preserve">The </w:t>
      </w:r>
      <w:r w:rsidRPr="00FA100E">
        <w:rPr>
          <w:rFonts w:ascii="Times New Roman" w:eastAsia="Times New Roman" w:hAnsi="Times New Roman" w:cs="Times New Roman"/>
          <w:kern w:val="36"/>
          <w:bdr w:val="none" w:sz="0" w:space="0" w:color="auto" w:frame="1"/>
          <w:lang w:eastAsia="en-AU"/>
        </w:rPr>
        <w:t>implementation</w:t>
      </w:r>
      <w:r w:rsidRPr="00FA100E">
        <w:t xml:space="preserve"> and public health impacts of cannabis legalisation in Canada</w:t>
      </w:r>
      <w:bookmarkEnd w:id="3"/>
      <w:r w:rsidRPr="00FA100E">
        <w:t xml:space="preserve"> – a systematic review</w:t>
      </w:r>
      <w:bookmarkEnd w:id="4"/>
      <w:r w:rsidR="00380194" w:rsidRPr="00FA100E">
        <w:t xml:space="preserve"> (2023)</w:t>
      </w:r>
      <w:bookmarkEnd w:id="5"/>
      <w:bookmarkEnd w:id="6"/>
    </w:p>
    <w:p w14:paraId="17CB277A" w14:textId="59643847" w:rsidR="00A227A4" w:rsidRPr="00FA100E" w:rsidRDefault="00A227A4" w:rsidP="00A227A4">
      <w:r w:rsidRPr="00FA100E">
        <w:t>Wayne Hall, Daniel Stjepanović</w:t>
      </w:r>
      <w:r w:rsidR="00862A70" w:rsidRPr="00FA100E">
        <w:t>, Danielle Dawson,</w:t>
      </w:r>
      <w:r w:rsidRPr="00FA100E">
        <w:t xml:space="preserve"> and Janni Leung</w:t>
      </w:r>
    </w:p>
    <w:p w14:paraId="67B6237F" w14:textId="77777777" w:rsidR="00A227A4" w:rsidRPr="00FA100E" w:rsidRDefault="00A227A4" w:rsidP="00A227A4">
      <w:r w:rsidRPr="00FA100E">
        <w:t>National Centre for Youth Substance Use Research</w:t>
      </w:r>
    </w:p>
    <w:p w14:paraId="517CB779" w14:textId="57D8965F" w:rsidR="00A227A4" w:rsidRPr="00FA100E" w:rsidRDefault="00A227A4" w:rsidP="00A227A4">
      <w:r w:rsidRPr="00FA100E">
        <w:t>The University of Queensland</w:t>
      </w:r>
      <w:r w:rsidR="00862A70" w:rsidRPr="00FA100E">
        <w:t>, Australia</w:t>
      </w:r>
    </w:p>
    <w:p w14:paraId="7E1A8F6A" w14:textId="77777777" w:rsidR="00A227A4" w:rsidRPr="00FA100E" w:rsidRDefault="00A227A4" w:rsidP="00844B84">
      <w:pPr>
        <w:pStyle w:val="Body"/>
      </w:pPr>
    </w:p>
    <w:p w14:paraId="1C396C91" w14:textId="77777777" w:rsidR="00C71F40" w:rsidRPr="00FA100E" w:rsidRDefault="00E974A0" w:rsidP="00E45858">
      <w:pPr>
        <w:pStyle w:val="TOC1"/>
        <w:rPr>
          <w:noProof/>
        </w:rPr>
      </w:pPr>
      <w:bookmarkStart w:id="7" w:name="_Toc102056885"/>
      <w:r w:rsidRPr="00FA100E">
        <w:t>Table of contents</w:t>
      </w:r>
      <w:r w:rsidR="00601D73" w:rsidRPr="00FA100E">
        <w:fldChar w:fldCharType="begin"/>
      </w:r>
      <w:r w:rsidR="00601D73" w:rsidRPr="00FA100E">
        <w:instrText xml:space="preserve"> TOC \o "1-1" \h \z \u </w:instrText>
      </w:r>
      <w:r w:rsidR="00601D73" w:rsidRPr="00FA100E">
        <w:fldChar w:fldCharType="separate"/>
      </w:r>
    </w:p>
    <w:p w14:paraId="3915B9AA" w14:textId="50962CDF" w:rsidR="00C71F40" w:rsidRPr="00FA100E" w:rsidRDefault="00FF3ECB" w:rsidP="00E45858">
      <w:pPr>
        <w:pStyle w:val="TOC1"/>
        <w:rPr>
          <w:rFonts w:asciiTheme="minorHAnsi" w:eastAsiaTheme="minorEastAsia" w:hAnsiTheme="minorHAnsi" w:cstheme="minorBidi"/>
          <w:noProof/>
          <w:lang w:eastAsia="en-GB"/>
        </w:rPr>
      </w:pPr>
      <w:hyperlink w:anchor="_Toc128412285" w:history="1">
        <w:r w:rsidR="00C71F40" w:rsidRPr="00FA100E">
          <w:rPr>
            <w:rStyle w:val="Hyperlink"/>
            <w:noProof/>
            <w:color w:val="auto"/>
          </w:rPr>
          <w:t xml:space="preserve">The </w:t>
        </w:r>
        <w:r w:rsidR="00C71F40" w:rsidRPr="00FA100E">
          <w:rPr>
            <w:rStyle w:val="Hyperlink"/>
            <w:rFonts w:ascii="Times New Roman" w:eastAsia="Times New Roman" w:hAnsi="Times New Roman" w:cs="Times New Roman"/>
            <w:noProof/>
            <w:color w:val="auto"/>
            <w:kern w:val="36"/>
            <w:bdr w:val="none" w:sz="0" w:space="0" w:color="auto" w:frame="1"/>
            <w:lang w:eastAsia="en-AU"/>
          </w:rPr>
          <w:t>implementation</w:t>
        </w:r>
        <w:r w:rsidR="00C71F40" w:rsidRPr="00FA100E">
          <w:rPr>
            <w:rStyle w:val="Hyperlink"/>
            <w:noProof/>
            <w:color w:val="auto"/>
          </w:rPr>
          <w:t xml:space="preserve"> and public health impacts of cannabis legalisation in Canada – a systematic review (2023)</w:t>
        </w:r>
        <w:r w:rsidR="00C71F40" w:rsidRPr="00FA100E">
          <w:rPr>
            <w:noProof/>
            <w:webHidden/>
          </w:rPr>
          <w:tab/>
        </w:r>
        <w:r w:rsidR="00C71F40" w:rsidRPr="00FA100E">
          <w:rPr>
            <w:noProof/>
            <w:webHidden/>
          </w:rPr>
          <w:fldChar w:fldCharType="begin"/>
        </w:r>
        <w:r w:rsidR="00C71F40" w:rsidRPr="00FA100E">
          <w:rPr>
            <w:noProof/>
            <w:webHidden/>
          </w:rPr>
          <w:instrText xml:space="preserve"> PAGEREF _Toc128412285 \h </w:instrText>
        </w:r>
        <w:r w:rsidR="00C71F40" w:rsidRPr="00FA100E">
          <w:rPr>
            <w:noProof/>
            <w:webHidden/>
          </w:rPr>
        </w:r>
        <w:r w:rsidR="00C71F40" w:rsidRPr="00FA100E">
          <w:rPr>
            <w:noProof/>
            <w:webHidden/>
          </w:rPr>
          <w:fldChar w:fldCharType="separate"/>
        </w:r>
        <w:r w:rsidR="00C71F40" w:rsidRPr="00FA100E">
          <w:rPr>
            <w:noProof/>
            <w:webHidden/>
          </w:rPr>
          <w:t>1</w:t>
        </w:r>
        <w:r w:rsidR="00C71F40" w:rsidRPr="00FA100E">
          <w:rPr>
            <w:noProof/>
            <w:webHidden/>
          </w:rPr>
          <w:fldChar w:fldCharType="end"/>
        </w:r>
      </w:hyperlink>
    </w:p>
    <w:p w14:paraId="11806E13" w14:textId="5A959E58" w:rsidR="00C71F40" w:rsidRPr="00FA100E" w:rsidRDefault="00FF3ECB" w:rsidP="00E45858">
      <w:pPr>
        <w:pStyle w:val="TOC1"/>
        <w:rPr>
          <w:rFonts w:asciiTheme="minorHAnsi" w:eastAsiaTheme="minorEastAsia" w:hAnsiTheme="minorHAnsi" w:cstheme="minorBidi"/>
          <w:noProof/>
          <w:lang w:eastAsia="en-GB"/>
        </w:rPr>
      </w:pPr>
      <w:hyperlink w:anchor="_Toc128412286" w:history="1">
        <w:r w:rsidR="00C71F40" w:rsidRPr="00FA100E">
          <w:rPr>
            <w:rStyle w:val="Hyperlink"/>
            <w:noProof/>
            <w:color w:val="auto"/>
          </w:rPr>
          <w:t>S1. Provincial cannabis policies of Canada in 2022 (post legalization)</w:t>
        </w:r>
        <w:r w:rsidR="00C71F40" w:rsidRPr="00FA100E">
          <w:rPr>
            <w:noProof/>
            <w:webHidden/>
          </w:rPr>
          <w:tab/>
        </w:r>
        <w:r w:rsidR="00C71F40" w:rsidRPr="00FA100E">
          <w:rPr>
            <w:noProof/>
            <w:webHidden/>
          </w:rPr>
          <w:fldChar w:fldCharType="begin"/>
        </w:r>
        <w:r w:rsidR="00C71F40" w:rsidRPr="00FA100E">
          <w:rPr>
            <w:noProof/>
            <w:webHidden/>
          </w:rPr>
          <w:instrText xml:space="preserve"> PAGEREF _Toc128412286 \h </w:instrText>
        </w:r>
        <w:r w:rsidR="00C71F40" w:rsidRPr="00FA100E">
          <w:rPr>
            <w:noProof/>
            <w:webHidden/>
          </w:rPr>
        </w:r>
        <w:r w:rsidR="00C71F40" w:rsidRPr="00FA100E">
          <w:rPr>
            <w:noProof/>
            <w:webHidden/>
          </w:rPr>
          <w:fldChar w:fldCharType="separate"/>
        </w:r>
        <w:r w:rsidR="00C71F40" w:rsidRPr="00FA100E">
          <w:rPr>
            <w:noProof/>
            <w:webHidden/>
          </w:rPr>
          <w:t>2</w:t>
        </w:r>
        <w:r w:rsidR="00C71F40" w:rsidRPr="00FA100E">
          <w:rPr>
            <w:noProof/>
            <w:webHidden/>
          </w:rPr>
          <w:fldChar w:fldCharType="end"/>
        </w:r>
      </w:hyperlink>
    </w:p>
    <w:p w14:paraId="070B950A" w14:textId="5C3781D6" w:rsidR="00C71F40" w:rsidRPr="00FA100E" w:rsidRDefault="00FF3ECB" w:rsidP="00E45858">
      <w:pPr>
        <w:pStyle w:val="TOC1"/>
        <w:rPr>
          <w:rFonts w:asciiTheme="minorHAnsi" w:eastAsiaTheme="minorEastAsia" w:hAnsiTheme="minorHAnsi" w:cstheme="minorBidi"/>
          <w:noProof/>
          <w:lang w:eastAsia="en-GB"/>
        </w:rPr>
      </w:pPr>
      <w:hyperlink w:anchor="_Toc128412287" w:history="1">
        <w:r w:rsidR="00C71F40" w:rsidRPr="00FA100E">
          <w:rPr>
            <w:rStyle w:val="Hyperlink"/>
            <w:noProof/>
            <w:color w:val="auto"/>
          </w:rPr>
          <w:t>S2. Main Canadian population surveys that have reported data on cannabis use in the context of legalisation</w:t>
        </w:r>
        <w:r w:rsidR="00C71F40" w:rsidRPr="00FA100E">
          <w:rPr>
            <w:noProof/>
            <w:webHidden/>
          </w:rPr>
          <w:tab/>
        </w:r>
        <w:r w:rsidR="00C71F40" w:rsidRPr="00FA100E">
          <w:rPr>
            <w:noProof/>
            <w:webHidden/>
          </w:rPr>
          <w:fldChar w:fldCharType="begin"/>
        </w:r>
        <w:r w:rsidR="00C71F40" w:rsidRPr="00FA100E">
          <w:rPr>
            <w:noProof/>
            <w:webHidden/>
          </w:rPr>
          <w:instrText xml:space="preserve"> PAGEREF _Toc128412287 \h </w:instrText>
        </w:r>
        <w:r w:rsidR="00C71F40" w:rsidRPr="00FA100E">
          <w:rPr>
            <w:noProof/>
            <w:webHidden/>
          </w:rPr>
        </w:r>
        <w:r w:rsidR="00C71F40" w:rsidRPr="00FA100E">
          <w:rPr>
            <w:noProof/>
            <w:webHidden/>
          </w:rPr>
          <w:fldChar w:fldCharType="separate"/>
        </w:r>
        <w:r w:rsidR="00C71F40" w:rsidRPr="00FA100E">
          <w:rPr>
            <w:noProof/>
            <w:webHidden/>
          </w:rPr>
          <w:t>3</w:t>
        </w:r>
        <w:r w:rsidR="00C71F40" w:rsidRPr="00FA100E">
          <w:rPr>
            <w:noProof/>
            <w:webHidden/>
          </w:rPr>
          <w:fldChar w:fldCharType="end"/>
        </w:r>
      </w:hyperlink>
    </w:p>
    <w:p w14:paraId="626154B5" w14:textId="2AC07004" w:rsidR="00C71F40" w:rsidRPr="00FA100E" w:rsidRDefault="00FF3ECB" w:rsidP="00E45858">
      <w:pPr>
        <w:pStyle w:val="TOC1"/>
        <w:rPr>
          <w:rFonts w:asciiTheme="minorHAnsi" w:eastAsiaTheme="minorEastAsia" w:hAnsiTheme="minorHAnsi" w:cstheme="minorBidi"/>
          <w:noProof/>
          <w:lang w:eastAsia="en-GB"/>
        </w:rPr>
      </w:pPr>
      <w:hyperlink w:anchor="_Toc128412288" w:history="1">
        <w:r w:rsidR="00C71F40" w:rsidRPr="00FA100E">
          <w:rPr>
            <w:rStyle w:val="Hyperlink"/>
            <w:noProof/>
            <w:color w:val="auto"/>
          </w:rPr>
          <w:t>S3. Search string used in systematic review of the public health impacts of cannabis legalisation in Canada</w:t>
        </w:r>
        <w:r w:rsidR="00C71F40" w:rsidRPr="00FA100E">
          <w:rPr>
            <w:noProof/>
            <w:webHidden/>
          </w:rPr>
          <w:tab/>
        </w:r>
        <w:r w:rsidR="00C71F40" w:rsidRPr="00FA100E">
          <w:rPr>
            <w:noProof/>
            <w:webHidden/>
          </w:rPr>
          <w:fldChar w:fldCharType="begin"/>
        </w:r>
        <w:r w:rsidR="00C71F40" w:rsidRPr="00FA100E">
          <w:rPr>
            <w:noProof/>
            <w:webHidden/>
          </w:rPr>
          <w:instrText xml:space="preserve"> PAGEREF _Toc128412288 \h </w:instrText>
        </w:r>
        <w:r w:rsidR="00C71F40" w:rsidRPr="00FA100E">
          <w:rPr>
            <w:noProof/>
            <w:webHidden/>
          </w:rPr>
        </w:r>
        <w:r w:rsidR="00C71F40" w:rsidRPr="00FA100E">
          <w:rPr>
            <w:noProof/>
            <w:webHidden/>
          </w:rPr>
          <w:fldChar w:fldCharType="separate"/>
        </w:r>
        <w:r w:rsidR="00C71F40" w:rsidRPr="00FA100E">
          <w:rPr>
            <w:noProof/>
            <w:webHidden/>
          </w:rPr>
          <w:t>4</w:t>
        </w:r>
        <w:r w:rsidR="00C71F40" w:rsidRPr="00FA100E">
          <w:rPr>
            <w:noProof/>
            <w:webHidden/>
          </w:rPr>
          <w:fldChar w:fldCharType="end"/>
        </w:r>
      </w:hyperlink>
    </w:p>
    <w:p w14:paraId="4AFB86CF" w14:textId="6513266A" w:rsidR="00C71F40" w:rsidRPr="00FA100E" w:rsidRDefault="00FF3ECB" w:rsidP="00E45858">
      <w:pPr>
        <w:pStyle w:val="TOC1"/>
        <w:rPr>
          <w:rFonts w:asciiTheme="minorHAnsi" w:eastAsiaTheme="minorEastAsia" w:hAnsiTheme="minorHAnsi" w:cstheme="minorBidi"/>
          <w:noProof/>
          <w:lang w:eastAsia="en-GB"/>
        </w:rPr>
      </w:pPr>
      <w:hyperlink w:anchor="_Toc128412289" w:history="1">
        <w:r w:rsidR="00C71F40" w:rsidRPr="00FA100E">
          <w:rPr>
            <w:rStyle w:val="Hyperlink"/>
            <w:noProof/>
            <w:color w:val="auto"/>
          </w:rPr>
          <w:t>S4. PRISMA 2020 flow diagram for the systematic search</w:t>
        </w:r>
        <w:r w:rsidR="00C71F40" w:rsidRPr="00FA100E">
          <w:rPr>
            <w:noProof/>
            <w:webHidden/>
          </w:rPr>
          <w:tab/>
        </w:r>
        <w:r w:rsidR="00C71F40" w:rsidRPr="00FA100E">
          <w:rPr>
            <w:noProof/>
            <w:webHidden/>
          </w:rPr>
          <w:fldChar w:fldCharType="begin"/>
        </w:r>
        <w:r w:rsidR="00C71F40" w:rsidRPr="00FA100E">
          <w:rPr>
            <w:noProof/>
            <w:webHidden/>
          </w:rPr>
          <w:instrText xml:space="preserve"> PAGEREF _Toc128412289 \h </w:instrText>
        </w:r>
        <w:r w:rsidR="00C71F40" w:rsidRPr="00FA100E">
          <w:rPr>
            <w:noProof/>
            <w:webHidden/>
          </w:rPr>
        </w:r>
        <w:r w:rsidR="00C71F40" w:rsidRPr="00FA100E">
          <w:rPr>
            <w:noProof/>
            <w:webHidden/>
          </w:rPr>
          <w:fldChar w:fldCharType="separate"/>
        </w:r>
        <w:r w:rsidR="00C71F40" w:rsidRPr="00FA100E">
          <w:rPr>
            <w:noProof/>
            <w:webHidden/>
          </w:rPr>
          <w:t>5</w:t>
        </w:r>
        <w:r w:rsidR="00C71F40" w:rsidRPr="00FA100E">
          <w:rPr>
            <w:noProof/>
            <w:webHidden/>
          </w:rPr>
          <w:fldChar w:fldCharType="end"/>
        </w:r>
      </w:hyperlink>
    </w:p>
    <w:p w14:paraId="2E6F91FC" w14:textId="36DA2400" w:rsidR="00C71F40" w:rsidRPr="00FA100E" w:rsidRDefault="00FF3ECB" w:rsidP="00E45858">
      <w:pPr>
        <w:pStyle w:val="TOC1"/>
        <w:rPr>
          <w:rFonts w:asciiTheme="minorHAnsi" w:eastAsiaTheme="minorEastAsia" w:hAnsiTheme="minorHAnsi" w:cstheme="minorBidi"/>
          <w:noProof/>
          <w:lang w:eastAsia="en-GB"/>
        </w:rPr>
      </w:pPr>
      <w:hyperlink w:anchor="_Toc128412290" w:history="1">
        <w:r w:rsidR="00C71F40" w:rsidRPr="00FA100E">
          <w:rPr>
            <w:rStyle w:val="Hyperlink"/>
            <w:noProof/>
            <w:color w:val="auto"/>
          </w:rPr>
          <w:t>S5. Cannabis-related arrests</w:t>
        </w:r>
        <w:r w:rsidR="00C71F40" w:rsidRPr="00FA100E">
          <w:rPr>
            <w:noProof/>
            <w:webHidden/>
          </w:rPr>
          <w:tab/>
        </w:r>
        <w:r w:rsidR="00C71F40" w:rsidRPr="00FA100E">
          <w:rPr>
            <w:noProof/>
            <w:webHidden/>
          </w:rPr>
          <w:fldChar w:fldCharType="begin"/>
        </w:r>
        <w:r w:rsidR="00C71F40" w:rsidRPr="00FA100E">
          <w:rPr>
            <w:noProof/>
            <w:webHidden/>
          </w:rPr>
          <w:instrText xml:space="preserve"> PAGEREF _Toc128412290 \h </w:instrText>
        </w:r>
        <w:r w:rsidR="00C71F40" w:rsidRPr="00FA100E">
          <w:rPr>
            <w:noProof/>
            <w:webHidden/>
          </w:rPr>
        </w:r>
        <w:r w:rsidR="00C71F40" w:rsidRPr="00FA100E">
          <w:rPr>
            <w:noProof/>
            <w:webHidden/>
          </w:rPr>
          <w:fldChar w:fldCharType="separate"/>
        </w:r>
        <w:r w:rsidR="00C71F40" w:rsidRPr="00FA100E">
          <w:rPr>
            <w:noProof/>
            <w:webHidden/>
          </w:rPr>
          <w:t>6</w:t>
        </w:r>
        <w:r w:rsidR="00C71F40" w:rsidRPr="00FA100E">
          <w:rPr>
            <w:noProof/>
            <w:webHidden/>
          </w:rPr>
          <w:fldChar w:fldCharType="end"/>
        </w:r>
      </w:hyperlink>
    </w:p>
    <w:p w14:paraId="094041C6" w14:textId="5523DBCE" w:rsidR="00C71F40" w:rsidRPr="00FA100E" w:rsidRDefault="00FF3ECB" w:rsidP="00E45858">
      <w:pPr>
        <w:pStyle w:val="TOC1"/>
        <w:rPr>
          <w:rFonts w:asciiTheme="minorHAnsi" w:eastAsiaTheme="minorEastAsia" w:hAnsiTheme="minorHAnsi" w:cstheme="minorBidi"/>
          <w:noProof/>
          <w:lang w:eastAsia="en-GB"/>
        </w:rPr>
      </w:pPr>
      <w:hyperlink w:anchor="_Toc128412291" w:history="1">
        <w:r w:rsidR="00C71F40" w:rsidRPr="00FA100E">
          <w:rPr>
            <w:rStyle w:val="Hyperlink"/>
            <w:noProof/>
            <w:color w:val="auto"/>
          </w:rPr>
          <w:t>S6. Cannabis prices and markets</w:t>
        </w:r>
        <w:r w:rsidR="00C71F40" w:rsidRPr="00FA100E">
          <w:rPr>
            <w:noProof/>
            <w:webHidden/>
          </w:rPr>
          <w:tab/>
        </w:r>
        <w:r w:rsidR="00C71F40" w:rsidRPr="00FA100E">
          <w:rPr>
            <w:noProof/>
            <w:webHidden/>
          </w:rPr>
          <w:fldChar w:fldCharType="begin"/>
        </w:r>
        <w:r w:rsidR="00C71F40" w:rsidRPr="00FA100E">
          <w:rPr>
            <w:noProof/>
            <w:webHidden/>
          </w:rPr>
          <w:instrText xml:space="preserve"> PAGEREF _Toc128412291 \h </w:instrText>
        </w:r>
        <w:r w:rsidR="00C71F40" w:rsidRPr="00FA100E">
          <w:rPr>
            <w:noProof/>
            <w:webHidden/>
          </w:rPr>
        </w:r>
        <w:r w:rsidR="00C71F40" w:rsidRPr="00FA100E">
          <w:rPr>
            <w:noProof/>
            <w:webHidden/>
          </w:rPr>
          <w:fldChar w:fldCharType="separate"/>
        </w:r>
        <w:r w:rsidR="00C71F40" w:rsidRPr="00FA100E">
          <w:rPr>
            <w:noProof/>
            <w:webHidden/>
          </w:rPr>
          <w:t>7</w:t>
        </w:r>
        <w:r w:rsidR="00C71F40" w:rsidRPr="00FA100E">
          <w:rPr>
            <w:noProof/>
            <w:webHidden/>
          </w:rPr>
          <w:fldChar w:fldCharType="end"/>
        </w:r>
      </w:hyperlink>
    </w:p>
    <w:p w14:paraId="0127F883" w14:textId="758C6649" w:rsidR="00C71F40" w:rsidRPr="00FA100E" w:rsidRDefault="00FF3ECB" w:rsidP="00E45858">
      <w:pPr>
        <w:pStyle w:val="TOC1"/>
        <w:rPr>
          <w:rFonts w:asciiTheme="minorHAnsi" w:eastAsiaTheme="minorEastAsia" w:hAnsiTheme="minorHAnsi" w:cstheme="minorBidi"/>
          <w:noProof/>
          <w:lang w:eastAsia="en-GB"/>
        </w:rPr>
      </w:pPr>
      <w:hyperlink w:anchor="_Toc128412292" w:history="1">
        <w:r w:rsidR="00C71F40" w:rsidRPr="00FA100E">
          <w:rPr>
            <w:rStyle w:val="Hyperlink"/>
            <w:noProof/>
            <w:color w:val="auto"/>
          </w:rPr>
          <w:t>S7. Quality assessment of studies based on the Joanna Briggs Institute (JBI) critical appraisal tool</w:t>
        </w:r>
        <w:r w:rsidR="00C71F40" w:rsidRPr="00FA100E">
          <w:rPr>
            <w:noProof/>
            <w:webHidden/>
          </w:rPr>
          <w:tab/>
        </w:r>
        <w:r w:rsidR="00C71F40" w:rsidRPr="00FA100E">
          <w:rPr>
            <w:noProof/>
            <w:webHidden/>
          </w:rPr>
          <w:fldChar w:fldCharType="begin"/>
        </w:r>
        <w:r w:rsidR="00C71F40" w:rsidRPr="00FA100E">
          <w:rPr>
            <w:noProof/>
            <w:webHidden/>
          </w:rPr>
          <w:instrText xml:space="preserve"> PAGEREF _Toc128412292 \h </w:instrText>
        </w:r>
        <w:r w:rsidR="00C71F40" w:rsidRPr="00FA100E">
          <w:rPr>
            <w:noProof/>
            <w:webHidden/>
          </w:rPr>
        </w:r>
        <w:r w:rsidR="00C71F40" w:rsidRPr="00FA100E">
          <w:rPr>
            <w:noProof/>
            <w:webHidden/>
          </w:rPr>
          <w:fldChar w:fldCharType="separate"/>
        </w:r>
        <w:r w:rsidR="00C71F40" w:rsidRPr="00FA100E">
          <w:rPr>
            <w:noProof/>
            <w:webHidden/>
          </w:rPr>
          <w:t>0</w:t>
        </w:r>
        <w:r w:rsidR="00C71F40" w:rsidRPr="00FA100E">
          <w:rPr>
            <w:noProof/>
            <w:webHidden/>
          </w:rPr>
          <w:fldChar w:fldCharType="end"/>
        </w:r>
      </w:hyperlink>
    </w:p>
    <w:p w14:paraId="75757A2D" w14:textId="13405BD6" w:rsidR="00C71F40" w:rsidRPr="00FA100E" w:rsidRDefault="00FF3ECB" w:rsidP="00E45858">
      <w:pPr>
        <w:pStyle w:val="TOC1"/>
        <w:rPr>
          <w:rFonts w:asciiTheme="minorHAnsi" w:eastAsiaTheme="minorEastAsia" w:hAnsiTheme="minorHAnsi" w:cstheme="minorBidi"/>
          <w:noProof/>
          <w:lang w:eastAsia="en-GB"/>
        </w:rPr>
      </w:pPr>
      <w:hyperlink w:anchor="_Toc128412293" w:history="1">
        <w:r w:rsidR="00C71F40" w:rsidRPr="00FA100E">
          <w:rPr>
            <w:rStyle w:val="Hyperlink"/>
            <w:noProof/>
            <w:color w:val="auto"/>
          </w:rPr>
          <w:t>S8. Summary of individual studies on the impacts of cannabis legalisation in Canada</w:t>
        </w:r>
        <w:r w:rsidR="00C71F40" w:rsidRPr="00FA100E">
          <w:rPr>
            <w:noProof/>
            <w:webHidden/>
          </w:rPr>
          <w:tab/>
        </w:r>
        <w:r w:rsidR="00C71F40" w:rsidRPr="00FA100E">
          <w:rPr>
            <w:noProof/>
            <w:webHidden/>
          </w:rPr>
          <w:fldChar w:fldCharType="begin"/>
        </w:r>
        <w:r w:rsidR="00C71F40" w:rsidRPr="00FA100E">
          <w:rPr>
            <w:noProof/>
            <w:webHidden/>
          </w:rPr>
          <w:instrText xml:space="preserve"> PAGEREF _Toc128412293 \h </w:instrText>
        </w:r>
        <w:r w:rsidR="00C71F40" w:rsidRPr="00FA100E">
          <w:rPr>
            <w:noProof/>
            <w:webHidden/>
          </w:rPr>
        </w:r>
        <w:r w:rsidR="00C71F40" w:rsidRPr="00FA100E">
          <w:rPr>
            <w:noProof/>
            <w:webHidden/>
          </w:rPr>
          <w:fldChar w:fldCharType="separate"/>
        </w:r>
        <w:r w:rsidR="00C71F40" w:rsidRPr="00FA100E">
          <w:rPr>
            <w:noProof/>
            <w:webHidden/>
          </w:rPr>
          <w:t>0</w:t>
        </w:r>
        <w:r w:rsidR="00C71F40" w:rsidRPr="00FA100E">
          <w:rPr>
            <w:noProof/>
            <w:webHidden/>
          </w:rPr>
          <w:fldChar w:fldCharType="end"/>
        </w:r>
      </w:hyperlink>
    </w:p>
    <w:p w14:paraId="4DF53683" w14:textId="607D09CD" w:rsidR="00D03F4F" w:rsidRPr="00FA100E" w:rsidRDefault="00601D73">
      <w:pPr>
        <w:rPr>
          <w:b/>
        </w:rPr>
      </w:pPr>
      <w:r w:rsidRPr="00FA100E">
        <w:rPr>
          <w:b/>
        </w:rPr>
        <w:fldChar w:fldCharType="end"/>
      </w:r>
    </w:p>
    <w:p w14:paraId="563AEC67" w14:textId="29D631E7" w:rsidR="00380194" w:rsidRPr="00FA100E" w:rsidRDefault="00380194"/>
    <w:p w14:paraId="7BA33B8A" w14:textId="34A55F7D" w:rsidR="00311875" w:rsidRPr="00FA100E" w:rsidRDefault="00380194" w:rsidP="00844B84">
      <w:pPr>
        <w:pBdr>
          <w:top w:val="single" w:sz="4" w:space="1" w:color="auto"/>
          <w:left w:val="single" w:sz="4" w:space="4" w:color="auto"/>
          <w:bottom w:val="single" w:sz="4" w:space="1" w:color="auto"/>
          <w:right w:val="single" w:sz="4" w:space="4" w:color="auto"/>
        </w:pBdr>
      </w:pPr>
      <w:r w:rsidRPr="00FA100E">
        <w:rPr>
          <w:b/>
        </w:rPr>
        <w:t>Note.</w:t>
      </w:r>
      <w:r w:rsidRPr="00FA100E">
        <w:t xml:space="preserve"> The period</w:t>
      </w:r>
      <w:r w:rsidR="00311875" w:rsidRPr="00FA100E">
        <w:t xml:space="preserve">s </w:t>
      </w:r>
      <w:r w:rsidR="002C2FB3" w:rsidRPr="00FA100E">
        <w:t>of</w:t>
      </w:r>
      <w:r w:rsidR="00311875" w:rsidRPr="00FA100E">
        <w:t xml:space="preserve"> pre- and post-legali</w:t>
      </w:r>
      <w:r w:rsidR="002C2FB3" w:rsidRPr="00FA100E">
        <w:t>z</w:t>
      </w:r>
      <w:r w:rsidR="00311875" w:rsidRPr="00FA100E">
        <w:t>ation</w:t>
      </w:r>
      <w:r w:rsidR="002C2FB3" w:rsidRPr="00FA100E">
        <w:t xml:space="preserve"> were</w:t>
      </w:r>
      <w:r w:rsidR="00311875" w:rsidRPr="00FA100E">
        <w:t>:</w:t>
      </w:r>
    </w:p>
    <w:p w14:paraId="70E1205D" w14:textId="49567323" w:rsidR="007C67DE" w:rsidRPr="00FA100E" w:rsidRDefault="007C67DE" w:rsidP="00844B84">
      <w:pPr>
        <w:pBdr>
          <w:top w:val="single" w:sz="4" w:space="1" w:color="auto"/>
          <w:left w:val="single" w:sz="4" w:space="4" w:color="auto"/>
          <w:bottom w:val="single" w:sz="4" w:space="1" w:color="auto"/>
          <w:right w:val="single" w:sz="4" w:space="4" w:color="auto"/>
        </w:pBdr>
      </w:pPr>
      <w:r w:rsidRPr="00FA100E">
        <w:t>Pre-legali</w:t>
      </w:r>
      <w:r w:rsidR="002C2FB3" w:rsidRPr="00FA100E">
        <w:t>z</w:t>
      </w:r>
      <w:r w:rsidRPr="00FA100E">
        <w:t xml:space="preserve">ation: </w:t>
      </w:r>
      <w:r w:rsidR="002C2FB3" w:rsidRPr="00FA100E">
        <w:t xml:space="preserve">before </w:t>
      </w:r>
      <w:r w:rsidRPr="00FA100E">
        <w:t>17 Oct 2018</w:t>
      </w:r>
    </w:p>
    <w:p w14:paraId="6F568882" w14:textId="2549153F" w:rsidR="007C67DE" w:rsidRPr="00FA100E" w:rsidRDefault="007C67DE" w:rsidP="00844B84">
      <w:pPr>
        <w:pBdr>
          <w:top w:val="single" w:sz="4" w:space="1" w:color="auto"/>
          <w:left w:val="single" w:sz="4" w:space="4" w:color="auto"/>
          <w:bottom w:val="single" w:sz="4" w:space="1" w:color="auto"/>
          <w:right w:val="single" w:sz="4" w:space="4" w:color="auto"/>
        </w:pBdr>
      </w:pPr>
      <w:r w:rsidRPr="00FA100E">
        <w:t>Phase 1 / peri-legalization: 17 Oct 2018</w:t>
      </w:r>
      <w:r w:rsidR="00A53AE1" w:rsidRPr="00FA100E">
        <w:t>, legal sales were limited to dried cannabis, fresh cannabis, cannabis oil, cannabis plants, and cannabis seeds.</w:t>
      </w:r>
    </w:p>
    <w:p w14:paraId="4D617065" w14:textId="0A7B93AF" w:rsidR="00601D73" w:rsidRPr="00FA100E" w:rsidRDefault="007C67DE" w:rsidP="00844B84">
      <w:pPr>
        <w:pBdr>
          <w:top w:val="single" w:sz="4" w:space="1" w:color="auto"/>
          <w:left w:val="single" w:sz="4" w:space="4" w:color="auto"/>
          <w:bottom w:val="single" w:sz="4" w:space="1" w:color="auto"/>
          <w:right w:val="single" w:sz="4" w:space="4" w:color="auto"/>
        </w:pBdr>
      </w:pPr>
      <w:r w:rsidRPr="00FA100E">
        <w:t>Phase 2 / post-legalization:</w:t>
      </w:r>
      <w:r w:rsidR="002C2FB3" w:rsidRPr="00FA100E">
        <w:t xml:space="preserve"> 17 Oct 2019 onwards, the sale of edible cannabis, cannabis extracts, and cannabis topicals was permitted, regulations were amended to include controls to protect public health and cannabis-related risks.</w:t>
      </w:r>
      <w:r w:rsidR="00601D73" w:rsidRPr="00FA100E">
        <w:br w:type="page"/>
      </w:r>
    </w:p>
    <w:p w14:paraId="596A3880" w14:textId="3368E6B0" w:rsidR="00297372" w:rsidRPr="00FA100E" w:rsidRDefault="00297372" w:rsidP="004E1819">
      <w:pPr>
        <w:pStyle w:val="Heading1"/>
      </w:pPr>
      <w:bookmarkStart w:id="8" w:name="_Toc128412286"/>
      <w:r w:rsidRPr="00FA100E">
        <w:lastRenderedPageBreak/>
        <w:t>S1. Provincial cannabis policies of Canada</w:t>
      </w:r>
      <w:r w:rsidR="004E1819" w:rsidRPr="00FA100E">
        <w:t xml:space="preserve"> in 2022</w:t>
      </w:r>
      <w:r w:rsidR="005867A6" w:rsidRPr="00FA100E">
        <w:t xml:space="preserve"> (post legalization)</w:t>
      </w:r>
      <w:bookmarkEnd w:id="8"/>
    </w:p>
    <w:p w14:paraId="4A54F65F" w14:textId="2826719F" w:rsidR="007667E9" w:rsidRPr="00FA100E" w:rsidRDefault="007667E9" w:rsidP="00DE2B90">
      <w:pPr>
        <w:pStyle w:val="Heading2"/>
      </w:pPr>
      <w:r w:rsidRPr="00FA100E">
        <w:t xml:space="preserve">Table </w:t>
      </w:r>
      <w:r w:rsidR="000C0411" w:rsidRPr="00FA100E">
        <w:t>S</w:t>
      </w:r>
      <w:r w:rsidRPr="00FA100E">
        <w:t>1: Provincial cannabis policies</w:t>
      </w:r>
      <w:bookmarkEnd w:id="7"/>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4"/>
        <w:gridCol w:w="1581"/>
        <w:gridCol w:w="919"/>
        <w:gridCol w:w="836"/>
        <w:gridCol w:w="822"/>
        <w:gridCol w:w="949"/>
        <w:gridCol w:w="1072"/>
        <w:gridCol w:w="1043"/>
      </w:tblGrid>
      <w:tr w:rsidR="00FA100E" w:rsidRPr="00FA100E" w14:paraId="1A04F68C" w14:textId="77777777" w:rsidTr="00974D05">
        <w:trPr>
          <w:trHeight w:val="510"/>
        </w:trPr>
        <w:tc>
          <w:tcPr>
            <w:tcW w:w="2830" w:type="dxa"/>
            <w:tcBorders>
              <w:top w:val="single" w:sz="4" w:space="0" w:color="auto"/>
              <w:bottom w:val="single" w:sz="4" w:space="0" w:color="auto"/>
            </w:tcBorders>
            <w:shd w:val="clear" w:color="auto" w:fill="EDEDED" w:themeFill="accent3" w:themeFillTint="33"/>
          </w:tcPr>
          <w:p w14:paraId="387C786F" w14:textId="77777777" w:rsidR="007667E9" w:rsidRPr="00FA100E" w:rsidRDefault="007667E9" w:rsidP="007667E9">
            <w:pPr>
              <w:rPr>
                <w:rFonts w:ascii="Times New Roman" w:hAnsi="Times New Roman" w:cs="Times New Roman"/>
                <w:b/>
                <w:sz w:val="22"/>
                <w:szCs w:val="22"/>
              </w:rPr>
            </w:pPr>
            <w:r w:rsidRPr="00FA100E">
              <w:rPr>
                <w:rFonts w:ascii="Times New Roman" w:hAnsi="Times New Roman" w:cs="Times New Roman"/>
                <w:b/>
                <w:sz w:val="22"/>
                <w:szCs w:val="22"/>
              </w:rPr>
              <w:t>Province</w:t>
            </w:r>
          </w:p>
        </w:tc>
        <w:tc>
          <w:tcPr>
            <w:tcW w:w="2552" w:type="dxa"/>
            <w:tcBorders>
              <w:top w:val="single" w:sz="4" w:space="0" w:color="auto"/>
              <w:bottom w:val="single" w:sz="4" w:space="0" w:color="auto"/>
            </w:tcBorders>
            <w:shd w:val="clear" w:color="auto" w:fill="EDEDED" w:themeFill="accent3" w:themeFillTint="33"/>
          </w:tcPr>
          <w:p w14:paraId="1A251B49" w14:textId="77777777" w:rsidR="007667E9" w:rsidRPr="00FA100E" w:rsidRDefault="007667E9" w:rsidP="007667E9">
            <w:pPr>
              <w:rPr>
                <w:rFonts w:ascii="Times New Roman" w:hAnsi="Times New Roman" w:cs="Times New Roman"/>
                <w:b/>
                <w:sz w:val="22"/>
                <w:szCs w:val="22"/>
              </w:rPr>
            </w:pPr>
            <w:r w:rsidRPr="00FA100E">
              <w:rPr>
                <w:rFonts w:ascii="Times New Roman" w:hAnsi="Times New Roman" w:cs="Times New Roman"/>
                <w:b/>
                <w:sz w:val="22"/>
                <w:szCs w:val="22"/>
              </w:rPr>
              <w:t>Retail models</w:t>
            </w:r>
          </w:p>
        </w:tc>
        <w:tc>
          <w:tcPr>
            <w:tcW w:w="1275" w:type="dxa"/>
            <w:tcBorders>
              <w:top w:val="single" w:sz="4" w:space="0" w:color="auto"/>
              <w:bottom w:val="single" w:sz="4" w:space="0" w:color="auto"/>
            </w:tcBorders>
            <w:shd w:val="clear" w:color="auto" w:fill="EDEDED" w:themeFill="accent3" w:themeFillTint="33"/>
          </w:tcPr>
          <w:p w14:paraId="1C9474A5" w14:textId="77777777" w:rsidR="007667E9" w:rsidRPr="00FA100E" w:rsidRDefault="007667E9" w:rsidP="007667E9">
            <w:pPr>
              <w:rPr>
                <w:rFonts w:ascii="Times New Roman" w:hAnsi="Times New Roman" w:cs="Times New Roman"/>
                <w:b/>
                <w:sz w:val="22"/>
                <w:szCs w:val="22"/>
              </w:rPr>
            </w:pPr>
            <w:r w:rsidRPr="00FA100E">
              <w:rPr>
                <w:rFonts w:ascii="Times New Roman" w:hAnsi="Times New Roman" w:cs="Times New Roman"/>
                <w:b/>
                <w:sz w:val="22"/>
                <w:szCs w:val="22"/>
              </w:rPr>
              <w:t>N Stores per 10,000</w:t>
            </w:r>
          </w:p>
        </w:tc>
        <w:tc>
          <w:tcPr>
            <w:tcW w:w="1134" w:type="dxa"/>
            <w:tcBorders>
              <w:top w:val="single" w:sz="4" w:space="0" w:color="auto"/>
              <w:bottom w:val="single" w:sz="4" w:space="0" w:color="auto"/>
            </w:tcBorders>
            <w:shd w:val="clear" w:color="auto" w:fill="EDEDED" w:themeFill="accent3" w:themeFillTint="33"/>
          </w:tcPr>
          <w:p w14:paraId="064BAF78" w14:textId="77777777" w:rsidR="007667E9" w:rsidRPr="00FA100E" w:rsidRDefault="007667E9" w:rsidP="007667E9">
            <w:pPr>
              <w:rPr>
                <w:rFonts w:ascii="Times New Roman" w:hAnsi="Times New Roman" w:cs="Times New Roman"/>
                <w:b/>
                <w:sz w:val="22"/>
                <w:szCs w:val="22"/>
              </w:rPr>
            </w:pPr>
            <w:r w:rsidRPr="00FA100E">
              <w:rPr>
                <w:rFonts w:ascii="Times New Roman" w:hAnsi="Times New Roman" w:cs="Times New Roman"/>
                <w:b/>
                <w:sz w:val="22"/>
                <w:szCs w:val="22"/>
              </w:rPr>
              <w:t>Grow your own</w:t>
            </w:r>
          </w:p>
        </w:tc>
        <w:tc>
          <w:tcPr>
            <w:tcW w:w="891" w:type="dxa"/>
            <w:tcBorders>
              <w:top w:val="single" w:sz="4" w:space="0" w:color="auto"/>
              <w:bottom w:val="single" w:sz="4" w:space="0" w:color="auto"/>
            </w:tcBorders>
            <w:shd w:val="clear" w:color="auto" w:fill="EDEDED" w:themeFill="accent3" w:themeFillTint="33"/>
          </w:tcPr>
          <w:p w14:paraId="209733AF" w14:textId="77777777" w:rsidR="007667E9" w:rsidRPr="00FA100E" w:rsidRDefault="007667E9" w:rsidP="007667E9">
            <w:pPr>
              <w:rPr>
                <w:rFonts w:ascii="Times New Roman" w:hAnsi="Times New Roman" w:cs="Times New Roman"/>
                <w:b/>
                <w:sz w:val="22"/>
                <w:szCs w:val="22"/>
              </w:rPr>
            </w:pPr>
            <w:r w:rsidRPr="00FA100E">
              <w:rPr>
                <w:rFonts w:ascii="Times New Roman" w:hAnsi="Times New Roman" w:cs="Times New Roman"/>
                <w:b/>
                <w:sz w:val="22"/>
                <w:szCs w:val="22"/>
              </w:rPr>
              <w:t>Use in public</w:t>
            </w:r>
          </w:p>
        </w:tc>
        <w:tc>
          <w:tcPr>
            <w:tcW w:w="1168" w:type="dxa"/>
            <w:tcBorders>
              <w:top w:val="single" w:sz="4" w:space="0" w:color="auto"/>
              <w:bottom w:val="single" w:sz="4" w:space="0" w:color="auto"/>
            </w:tcBorders>
            <w:shd w:val="clear" w:color="auto" w:fill="EDEDED" w:themeFill="accent3" w:themeFillTint="33"/>
          </w:tcPr>
          <w:p w14:paraId="63A6970A" w14:textId="77777777" w:rsidR="007667E9" w:rsidRPr="00FA100E" w:rsidRDefault="007667E9" w:rsidP="007667E9">
            <w:pPr>
              <w:rPr>
                <w:rFonts w:ascii="Times New Roman" w:hAnsi="Times New Roman" w:cs="Times New Roman"/>
                <w:b/>
                <w:sz w:val="22"/>
                <w:szCs w:val="22"/>
              </w:rPr>
            </w:pPr>
            <w:r w:rsidRPr="00FA100E">
              <w:rPr>
                <w:rFonts w:ascii="Times New Roman" w:hAnsi="Times New Roman" w:cs="Times New Roman"/>
                <w:b/>
                <w:sz w:val="22"/>
                <w:szCs w:val="22"/>
              </w:rPr>
              <w:t>Sale with alcohol</w:t>
            </w:r>
          </w:p>
        </w:tc>
        <w:tc>
          <w:tcPr>
            <w:tcW w:w="1072" w:type="dxa"/>
            <w:tcBorders>
              <w:top w:val="single" w:sz="4" w:space="0" w:color="auto"/>
              <w:bottom w:val="single" w:sz="4" w:space="0" w:color="auto"/>
            </w:tcBorders>
            <w:shd w:val="clear" w:color="auto" w:fill="EDEDED" w:themeFill="accent3" w:themeFillTint="33"/>
          </w:tcPr>
          <w:p w14:paraId="08FD4C01" w14:textId="77777777" w:rsidR="007667E9" w:rsidRPr="00FA100E" w:rsidRDefault="007667E9" w:rsidP="007667E9">
            <w:pPr>
              <w:rPr>
                <w:rFonts w:ascii="Times New Roman" w:hAnsi="Times New Roman" w:cs="Times New Roman"/>
                <w:b/>
                <w:sz w:val="22"/>
                <w:szCs w:val="22"/>
              </w:rPr>
            </w:pPr>
            <w:r w:rsidRPr="00FA100E">
              <w:rPr>
                <w:rFonts w:ascii="Times New Roman" w:hAnsi="Times New Roman" w:cs="Times New Roman"/>
                <w:b/>
                <w:sz w:val="22"/>
                <w:szCs w:val="22"/>
              </w:rPr>
              <w:t>Age of purchase</w:t>
            </w:r>
          </w:p>
        </w:tc>
        <w:tc>
          <w:tcPr>
            <w:tcW w:w="1338" w:type="dxa"/>
            <w:tcBorders>
              <w:top w:val="single" w:sz="4" w:space="0" w:color="auto"/>
              <w:bottom w:val="single" w:sz="4" w:space="0" w:color="auto"/>
            </w:tcBorders>
            <w:shd w:val="clear" w:color="auto" w:fill="EDEDED" w:themeFill="accent3" w:themeFillTint="33"/>
          </w:tcPr>
          <w:p w14:paraId="78596F04" w14:textId="77777777" w:rsidR="007667E9" w:rsidRPr="00FA100E" w:rsidRDefault="007667E9" w:rsidP="007667E9">
            <w:pPr>
              <w:rPr>
                <w:rFonts w:ascii="Times New Roman" w:hAnsi="Times New Roman" w:cs="Times New Roman"/>
                <w:b/>
                <w:sz w:val="22"/>
                <w:szCs w:val="22"/>
              </w:rPr>
            </w:pPr>
            <w:r w:rsidRPr="00FA100E">
              <w:rPr>
                <w:rFonts w:ascii="Times New Roman" w:hAnsi="Times New Roman" w:cs="Times New Roman"/>
                <w:b/>
                <w:sz w:val="22"/>
                <w:szCs w:val="22"/>
              </w:rPr>
              <w:t>Edibles and extracts</w:t>
            </w:r>
          </w:p>
        </w:tc>
      </w:tr>
      <w:tr w:rsidR="00FA100E" w:rsidRPr="00FA100E" w14:paraId="6786B180" w14:textId="77777777" w:rsidTr="00C04E97">
        <w:trPr>
          <w:trHeight w:hRule="exact" w:val="510"/>
        </w:trPr>
        <w:tc>
          <w:tcPr>
            <w:tcW w:w="2830" w:type="dxa"/>
            <w:tcBorders>
              <w:top w:val="single" w:sz="4" w:space="0" w:color="auto"/>
            </w:tcBorders>
          </w:tcPr>
          <w:p w14:paraId="4B7329B5" w14:textId="77777777" w:rsidR="00C04E97" w:rsidRPr="00FA100E" w:rsidRDefault="00C04E97" w:rsidP="00C04E97">
            <w:pPr>
              <w:rPr>
                <w:rFonts w:ascii="Times New Roman" w:hAnsi="Times New Roman" w:cs="Times New Roman"/>
                <w:sz w:val="22"/>
                <w:szCs w:val="22"/>
              </w:rPr>
            </w:pPr>
            <w:r w:rsidRPr="00FA100E">
              <w:rPr>
                <w:rFonts w:ascii="Times New Roman" w:hAnsi="Times New Roman" w:cs="Times New Roman"/>
                <w:sz w:val="22"/>
                <w:szCs w:val="22"/>
              </w:rPr>
              <w:t>Alberta</w:t>
            </w:r>
          </w:p>
        </w:tc>
        <w:tc>
          <w:tcPr>
            <w:tcW w:w="2552" w:type="dxa"/>
            <w:tcBorders>
              <w:top w:val="single" w:sz="4" w:space="0" w:color="auto"/>
            </w:tcBorders>
          </w:tcPr>
          <w:p w14:paraId="1C13DE39" w14:textId="77777777" w:rsidR="00C04E97" w:rsidRPr="00FA100E" w:rsidRDefault="00C04E97" w:rsidP="00C04E97">
            <w:pPr>
              <w:rPr>
                <w:rFonts w:ascii="Times New Roman" w:hAnsi="Times New Roman" w:cs="Times New Roman"/>
                <w:sz w:val="22"/>
                <w:szCs w:val="22"/>
              </w:rPr>
            </w:pPr>
            <w:r w:rsidRPr="00FA100E">
              <w:rPr>
                <w:rFonts w:ascii="Times New Roman" w:hAnsi="Times New Roman" w:cs="Times New Roman"/>
                <w:sz w:val="22"/>
                <w:szCs w:val="22"/>
              </w:rPr>
              <w:t>Private in-person &amp; govt online</w:t>
            </w:r>
          </w:p>
        </w:tc>
        <w:tc>
          <w:tcPr>
            <w:tcW w:w="1275" w:type="dxa"/>
            <w:tcBorders>
              <w:top w:val="single" w:sz="4" w:space="0" w:color="auto"/>
            </w:tcBorders>
          </w:tcPr>
          <w:p w14:paraId="4140DF8A" w14:textId="77777777" w:rsidR="00C04E97" w:rsidRPr="00FA100E" w:rsidRDefault="00C04E97" w:rsidP="00C04E97">
            <w:pPr>
              <w:jc w:val="center"/>
              <w:rPr>
                <w:rFonts w:ascii="Times New Roman" w:hAnsi="Times New Roman" w:cs="Times New Roman"/>
                <w:sz w:val="22"/>
                <w:szCs w:val="22"/>
              </w:rPr>
            </w:pPr>
            <w:r w:rsidRPr="00FA100E">
              <w:rPr>
                <w:rFonts w:ascii="Times New Roman" w:hAnsi="Times New Roman" w:cs="Times New Roman"/>
                <w:sz w:val="22"/>
                <w:szCs w:val="22"/>
              </w:rPr>
              <w:t>599</w:t>
            </w:r>
          </w:p>
        </w:tc>
        <w:tc>
          <w:tcPr>
            <w:tcW w:w="1134" w:type="dxa"/>
            <w:tcBorders>
              <w:top w:val="single" w:sz="4" w:space="0" w:color="auto"/>
            </w:tcBorders>
          </w:tcPr>
          <w:p w14:paraId="70CC78C3" w14:textId="77777777" w:rsidR="00C04E97" w:rsidRPr="00FA100E" w:rsidRDefault="00C04E97" w:rsidP="00C04E97">
            <w:pPr>
              <w:rPr>
                <w:rFonts w:ascii="Times New Roman" w:hAnsi="Times New Roman" w:cs="Times New Roman"/>
                <w:sz w:val="22"/>
                <w:szCs w:val="22"/>
              </w:rPr>
            </w:pPr>
            <w:r w:rsidRPr="00FA100E">
              <w:rPr>
                <w:rFonts w:ascii="Times New Roman" w:hAnsi="Times New Roman" w:cs="Times New Roman"/>
                <w:sz w:val="22"/>
                <w:szCs w:val="22"/>
              </w:rPr>
              <w:t>yes</w:t>
            </w:r>
          </w:p>
        </w:tc>
        <w:tc>
          <w:tcPr>
            <w:tcW w:w="891" w:type="dxa"/>
            <w:tcBorders>
              <w:top w:val="single" w:sz="4" w:space="0" w:color="auto"/>
            </w:tcBorders>
          </w:tcPr>
          <w:p w14:paraId="6F41C38D" w14:textId="325CE774" w:rsidR="00C04E97" w:rsidRPr="00FA100E" w:rsidRDefault="00C04E97" w:rsidP="00C04E97">
            <w:pPr>
              <w:rPr>
                <w:rFonts w:ascii="Times New Roman" w:hAnsi="Times New Roman" w:cs="Times New Roman"/>
                <w:sz w:val="22"/>
                <w:szCs w:val="22"/>
              </w:rPr>
            </w:pPr>
            <w:r w:rsidRPr="00FA100E">
              <w:rPr>
                <w:rFonts w:ascii="Times New Roman" w:hAnsi="Times New Roman" w:cs="Times New Roman"/>
                <w:sz w:val="22"/>
                <w:szCs w:val="22"/>
              </w:rPr>
              <w:t>no</w:t>
            </w:r>
          </w:p>
        </w:tc>
        <w:tc>
          <w:tcPr>
            <w:tcW w:w="1168" w:type="dxa"/>
            <w:tcBorders>
              <w:top w:val="single" w:sz="4" w:space="0" w:color="auto"/>
            </w:tcBorders>
          </w:tcPr>
          <w:p w14:paraId="48F7FC05" w14:textId="1AAD4905" w:rsidR="00C04E97" w:rsidRPr="00FA100E" w:rsidRDefault="00C04E97" w:rsidP="00C04E97">
            <w:pPr>
              <w:rPr>
                <w:rFonts w:ascii="Times New Roman" w:hAnsi="Times New Roman" w:cs="Times New Roman"/>
                <w:sz w:val="22"/>
                <w:szCs w:val="22"/>
              </w:rPr>
            </w:pPr>
            <w:r w:rsidRPr="00FA100E">
              <w:rPr>
                <w:rFonts w:ascii="Times New Roman" w:hAnsi="Times New Roman" w:cs="Times New Roman"/>
                <w:sz w:val="22"/>
                <w:szCs w:val="22"/>
              </w:rPr>
              <w:t>no</w:t>
            </w:r>
          </w:p>
        </w:tc>
        <w:tc>
          <w:tcPr>
            <w:tcW w:w="1072" w:type="dxa"/>
            <w:tcBorders>
              <w:top w:val="single" w:sz="4" w:space="0" w:color="auto"/>
            </w:tcBorders>
          </w:tcPr>
          <w:p w14:paraId="6C8C3922" w14:textId="77777777" w:rsidR="00C04E97" w:rsidRPr="00FA100E" w:rsidRDefault="00C04E97" w:rsidP="00C04E97">
            <w:pPr>
              <w:jc w:val="center"/>
              <w:rPr>
                <w:rFonts w:ascii="Times New Roman" w:hAnsi="Times New Roman" w:cs="Times New Roman"/>
                <w:sz w:val="22"/>
                <w:szCs w:val="22"/>
              </w:rPr>
            </w:pPr>
            <w:r w:rsidRPr="00FA100E">
              <w:rPr>
                <w:rFonts w:ascii="Times New Roman" w:hAnsi="Times New Roman" w:cs="Times New Roman"/>
                <w:sz w:val="22"/>
                <w:szCs w:val="22"/>
              </w:rPr>
              <w:t>18</w:t>
            </w:r>
          </w:p>
        </w:tc>
        <w:tc>
          <w:tcPr>
            <w:tcW w:w="1338" w:type="dxa"/>
            <w:tcBorders>
              <w:top w:val="single" w:sz="4" w:space="0" w:color="auto"/>
            </w:tcBorders>
          </w:tcPr>
          <w:p w14:paraId="5A78CE14" w14:textId="77777777" w:rsidR="00C04E97" w:rsidRPr="00FA100E" w:rsidRDefault="00C04E97" w:rsidP="00C04E97">
            <w:pPr>
              <w:jc w:val="center"/>
              <w:rPr>
                <w:rFonts w:ascii="Times New Roman" w:hAnsi="Times New Roman" w:cs="Times New Roman"/>
                <w:sz w:val="22"/>
                <w:szCs w:val="22"/>
              </w:rPr>
            </w:pPr>
            <w:r w:rsidRPr="00FA100E">
              <w:rPr>
                <w:rFonts w:ascii="Times New Roman" w:hAnsi="Times New Roman" w:cs="Times New Roman"/>
                <w:sz w:val="22"/>
                <w:szCs w:val="22"/>
              </w:rPr>
              <w:t>yes</w:t>
            </w:r>
          </w:p>
        </w:tc>
      </w:tr>
      <w:tr w:rsidR="00FA100E" w:rsidRPr="00FA100E" w14:paraId="7E9EB25A" w14:textId="77777777" w:rsidTr="00C04E97">
        <w:trPr>
          <w:trHeight w:hRule="exact" w:val="510"/>
        </w:trPr>
        <w:tc>
          <w:tcPr>
            <w:tcW w:w="2830" w:type="dxa"/>
          </w:tcPr>
          <w:p w14:paraId="35546C58" w14:textId="77777777" w:rsidR="00C04E97" w:rsidRPr="00FA100E" w:rsidRDefault="00C04E97" w:rsidP="00C04E97">
            <w:pPr>
              <w:rPr>
                <w:rFonts w:ascii="Times New Roman" w:hAnsi="Times New Roman" w:cs="Times New Roman"/>
                <w:sz w:val="22"/>
                <w:szCs w:val="22"/>
              </w:rPr>
            </w:pPr>
            <w:r w:rsidRPr="00FA100E">
              <w:rPr>
                <w:rFonts w:ascii="Times New Roman" w:hAnsi="Times New Roman" w:cs="Times New Roman"/>
                <w:sz w:val="22"/>
                <w:szCs w:val="22"/>
              </w:rPr>
              <w:t>British Columbia</w:t>
            </w:r>
          </w:p>
        </w:tc>
        <w:tc>
          <w:tcPr>
            <w:tcW w:w="2552" w:type="dxa"/>
          </w:tcPr>
          <w:p w14:paraId="02CD3494" w14:textId="77777777" w:rsidR="00C04E97" w:rsidRPr="00FA100E" w:rsidRDefault="00C04E97" w:rsidP="00C04E97">
            <w:pPr>
              <w:autoSpaceDE w:val="0"/>
              <w:autoSpaceDN w:val="0"/>
              <w:adjustRightInd w:val="0"/>
              <w:rPr>
                <w:rFonts w:ascii="Times New Roman" w:hAnsi="Times New Roman" w:cs="Times New Roman"/>
                <w:sz w:val="22"/>
                <w:szCs w:val="22"/>
              </w:rPr>
            </w:pPr>
            <w:r w:rsidRPr="00FA100E">
              <w:rPr>
                <w:rFonts w:ascii="Times New Roman" w:hAnsi="Times New Roman" w:cs="Times New Roman"/>
                <w:sz w:val="22"/>
                <w:szCs w:val="22"/>
              </w:rPr>
              <w:t>Private in-person and govt in-person and online</w:t>
            </w:r>
          </w:p>
        </w:tc>
        <w:tc>
          <w:tcPr>
            <w:tcW w:w="1275" w:type="dxa"/>
          </w:tcPr>
          <w:p w14:paraId="1566C59E" w14:textId="77777777" w:rsidR="00C04E97" w:rsidRPr="00FA100E" w:rsidRDefault="00C04E97" w:rsidP="00C04E97">
            <w:pPr>
              <w:jc w:val="center"/>
              <w:rPr>
                <w:rFonts w:ascii="Times New Roman" w:hAnsi="Times New Roman" w:cs="Times New Roman"/>
                <w:sz w:val="22"/>
                <w:szCs w:val="22"/>
              </w:rPr>
            </w:pPr>
            <w:r w:rsidRPr="00FA100E">
              <w:rPr>
                <w:rFonts w:ascii="Times New Roman" w:hAnsi="Times New Roman" w:cs="Times New Roman"/>
                <w:sz w:val="22"/>
                <w:szCs w:val="22"/>
              </w:rPr>
              <w:t>356</w:t>
            </w:r>
          </w:p>
        </w:tc>
        <w:tc>
          <w:tcPr>
            <w:tcW w:w="1134" w:type="dxa"/>
          </w:tcPr>
          <w:p w14:paraId="22B80C8E" w14:textId="77777777" w:rsidR="00C04E97" w:rsidRPr="00FA100E" w:rsidRDefault="00C04E97" w:rsidP="00C04E97">
            <w:pPr>
              <w:rPr>
                <w:rFonts w:ascii="Times New Roman" w:hAnsi="Times New Roman" w:cs="Times New Roman"/>
                <w:sz w:val="22"/>
                <w:szCs w:val="22"/>
              </w:rPr>
            </w:pPr>
            <w:r w:rsidRPr="00FA100E">
              <w:rPr>
                <w:rFonts w:ascii="Times New Roman" w:hAnsi="Times New Roman" w:cs="Times New Roman"/>
                <w:sz w:val="22"/>
                <w:szCs w:val="22"/>
              </w:rPr>
              <w:t>yes</w:t>
            </w:r>
          </w:p>
        </w:tc>
        <w:tc>
          <w:tcPr>
            <w:tcW w:w="891" w:type="dxa"/>
          </w:tcPr>
          <w:p w14:paraId="09C65903" w14:textId="6D243493" w:rsidR="00C04E97" w:rsidRPr="00FA100E" w:rsidRDefault="00C04E97" w:rsidP="00C04E97">
            <w:pPr>
              <w:rPr>
                <w:rFonts w:ascii="Times New Roman" w:hAnsi="Times New Roman" w:cs="Times New Roman"/>
                <w:sz w:val="22"/>
                <w:szCs w:val="22"/>
              </w:rPr>
            </w:pPr>
            <w:r w:rsidRPr="00FA100E">
              <w:rPr>
                <w:rFonts w:ascii="Times New Roman" w:hAnsi="Times New Roman" w:cs="Times New Roman"/>
                <w:sz w:val="22"/>
                <w:szCs w:val="22"/>
              </w:rPr>
              <w:t>no</w:t>
            </w:r>
          </w:p>
        </w:tc>
        <w:tc>
          <w:tcPr>
            <w:tcW w:w="1168" w:type="dxa"/>
          </w:tcPr>
          <w:p w14:paraId="19518F20" w14:textId="4A10B81A" w:rsidR="00C04E97" w:rsidRPr="00FA100E" w:rsidRDefault="00C04E97" w:rsidP="00C04E97">
            <w:pPr>
              <w:rPr>
                <w:rFonts w:ascii="Times New Roman" w:hAnsi="Times New Roman" w:cs="Times New Roman"/>
                <w:sz w:val="22"/>
                <w:szCs w:val="22"/>
              </w:rPr>
            </w:pPr>
            <w:r w:rsidRPr="00FA100E">
              <w:rPr>
                <w:rFonts w:ascii="Times New Roman" w:hAnsi="Times New Roman" w:cs="Times New Roman"/>
                <w:sz w:val="22"/>
                <w:szCs w:val="22"/>
              </w:rPr>
              <w:t>no</w:t>
            </w:r>
          </w:p>
        </w:tc>
        <w:tc>
          <w:tcPr>
            <w:tcW w:w="1072" w:type="dxa"/>
          </w:tcPr>
          <w:p w14:paraId="68EC7997" w14:textId="77777777" w:rsidR="00C04E97" w:rsidRPr="00FA100E" w:rsidRDefault="00C04E97" w:rsidP="00C04E97">
            <w:pPr>
              <w:jc w:val="center"/>
              <w:rPr>
                <w:rFonts w:ascii="Times New Roman" w:hAnsi="Times New Roman" w:cs="Times New Roman"/>
                <w:sz w:val="22"/>
                <w:szCs w:val="22"/>
              </w:rPr>
            </w:pPr>
            <w:r w:rsidRPr="00FA100E">
              <w:rPr>
                <w:rFonts w:ascii="Times New Roman" w:hAnsi="Times New Roman" w:cs="Times New Roman"/>
                <w:sz w:val="22"/>
                <w:szCs w:val="22"/>
              </w:rPr>
              <w:t>19</w:t>
            </w:r>
          </w:p>
        </w:tc>
        <w:tc>
          <w:tcPr>
            <w:tcW w:w="1338" w:type="dxa"/>
          </w:tcPr>
          <w:p w14:paraId="5301942F" w14:textId="77777777" w:rsidR="00C04E97" w:rsidRPr="00FA100E" w:rsidRDefault="00C04E97" w:rsidP="00C04E97">
            <w:pPr>
              <w:jc w:val="center"/>
              <w:rPr>
                <w:rFonts w:ascii="Times New Roman" w:hAnsi="Times New Roman" w:cs="Times New Roman"/>
                <w:sz w:val="22"/>
                <w:szCs w:val="22"/>
              </w:rPr>
            </w:pPr>
            <w:r w:rsidRPr="00FA100E">
              <w:rPr>
                <w:rFonts w:ascii="Times New Roman" w:hAnsi="Times New Roman" w:cs="Times New Roman"/>
                <w:sz w:val="22"/>
                <w:szCs w:val="22"/>
              </w:rPr>
              <w:t>yes</w:t>
            </w:r>
          </w:p>
        </w:tc>
      </w:tr>
      <w:tr w:rsidR="00FA100E" w:rsidRPr="00FA100E" w14:paraId="458ECFDD" w14:textId="77777777" w:rsidTr="00C04E97">
        <w:trPr>
          <w:trHeight w:hRule="exact" w:val="510"/>
        </w:trPr>
        <w:tc>
          <w:tcPr>
            <w:tcW w:w="2830" w:type="dxa"/>
          </w:tcPr>
          <w:p w14:paraId="292D1A63" w14:textId="77777777" w:rsidR="00C04E97" w:rsidRPr="00FA100E" w:rsidRDefault="00C04E97" w:rsidP="00C04E97">
            <w:pPr>
              <w:rPr>
                <w:rFonts w:ascii="Times New Roman" w:hAnsi="Times New Roman" w:cs="Times New Roman"/>
                <w:sz w:val="22"/>
                <w:szCs w:val="22"/>
              </w:rPr>
            </w:pPr>
            <w:r w:rsidRPr="00FA100E">
              <w:rPr>
                <w:rFonts w:ascii="Times New Roman" w:hAnsi="Times New Roman" w:cs="Times New Roman"/>
                <w:sz w:val="22"/>
                <w:szCs w:val="22"/>
              </w:rPr>
              <w:t>Manitoba</w:t>
            </w:r>
          </w:p>
        </w:tc>
        <w:tc>
          <w:tcPr>
            <w:tcW w:w="2552" w:type="dxa"/>
          </w:tcPr>
          <w:p w14:paraId="425A0CD3" w14:textId="77777777" w:rsidR="00C04E97" w:rsidRPr="00FA100E" w:rsidRDefault="00C04E97" w:rsidP="00C04E97">
            <w:pPr>
              <w:rPr>
                <w:rFonts w:ascii="Times New Roman" w:hAnsi="Times New Roman" w:cs="Times New Roman"/>
                <w:sz w:val="22"/>
                <w:szCs w:val="22"/>
              </w:rPr>
            </w:pPr>
            <w:r w:rsidRPr="00FA100E">
              <w:rPr>
                <w:rFonts w:ascii="Times New Roman" w:hAnsi="Times New Roman" w:cs="Times New Roman"/>
                <w:sz w:val="22"/>
                <w:szCs w:val="22"/>
              </w:rPr>
              <w:t xml:space="preserve">Private in-person and online </w:t>
            </w:r>
          </w:p>
        </w:tc>
        <w:tc>
          <w:tcPr>
            <w:tcW w:w="1275" w:type="dxa"/>
          </w:tcPr>
          <w:p w14:paraId="13AAD1B9" w14:textId="77777777" w:rsidR="00C04E97" w:rsidRPr="00FA100E" w:rsidRDefault="00C04E97" w:rsidP="00C04E97">
            <w:pPr>
              <w:jc w:val="center"/>
              <w:rPr>
                <w:rFonts w:ascii="Times New Roman" w:hAnsi="Times New Roman" w:cs="Times New Roman"/>
                <w:sz w:val="22"/>
                <w:szCs w:val="22"/>
              </w:rPr>
            </w:pPr>
            <w:r w:rsidRPr="00FA100E">
              <w:rPr>
                <w:rFonts w:ascii="Times New Roman" w:hAnsi="Times New Roman" w:cs="Times New Roman"/>
                <w:sz w:val="22"/>
                <w:szCs w:val="22"/>
              </w:rPr>
              <w:t>107</w:t>
            </w:r>
          </w:p>
        </w:tc>
        <w:tc>
          <w:tcPr>
            <w:tcW w:w="1134" w:type="dxa"/>
          </w:tcPr>
          <w:p w14:paraId="1B3C5C3C" w14:textId="77777777" w:rsidR="00C04E97" w:rsidRPr="00FA100E" w:rsidRDefault="00C04E97" w:rsidP="00C04E97">
            <w:pPr>
              <w:rPr>
                <w:rFonts w:ascii="Times New Roman" w:hAnsi="Times New Roman" w:cs="Times New Roman"/>
                <w:sz w:val="22"/>
                <w:szCs w:val="22"/>
              </w:rPr>
            </w:pPr>
            <w:r w:rsidRPr="00FA100E">
              <w:rPr>
                <w:rFonts w:ascii="Times New Roman" w:hAnsi="Times New Roman" w:cs="Times New Roman"/>
                <w:sz w:val="22"/>
                <w:szCs w:val="22"/>
              </w:rPr>
              <w:t>no</w:t>
            </w:r>
          </w:p>
        </w:tc>
        <w:tc>
          <w:tcPr>
            <w:tcW w:w="891" w:type="dxa"/>
          </w:tcPr>
          <w:p w14:paraId="75AB1BD9" w14:textId="625F238D" w:rsidR="00C04E97" w:rsidRPr="00FA100E" w:rsidRDefault="00C04E97" w:rsidP="00C04E97">
            <w:pPr>
              <w:rPr>
                <w:rFonts w:ascii="Times New Roman" w:hAnsi="Times New Roman" w:cs="Times New Roman"/>
                <w:sz w:val="22"/>
                <w:szCs w:val="22"/>
              </w:rPr>
            </w:pPr>
            <w:r w:rsidRPr="00FA100E">
              <w:rPr>
                <w:rFonts w:ascii="Times New Roman" w:hAnsi="Times New Roman" w:cs="Times New Roman"/>
                <w:sz w:val="22"/>
                <w:szCs w:val="22"/>
              </w:rPr>
              <w:t>no</w:t>
            </w:r>
          </w:p>
        </w:tc>
        <w:tc>
          <w:tcPr>
            <w:tcW w:w="1168" w:type="dxa"/>
          </w:tcPr>
          <w:p w14:paraId="40583A8F" w14:textId="34151678" w:rsidR="00C04E97" w:rsidRPr="00FA100E" w:rsidRDefault="00C04E97" w:rsidP="00C04E97">
            <w:pPr>
              <w:rPr>
                <w:rFonts w:ascii="Times New Roman" w:hAnsi="Times New Roman" w:cs="Times New Roman"/>
                <w:sz w:val="22"/>
                <w:szCs w:val="22"/>
              </w:rPr>
            </w:pPr>
            <w:r w:rsidRPr="00FA100E">
              <w:rPr>
                <w:rFonts w:ascii="Times New Roman" w:hAnsi="Times New Roman" w:cs="Times New Roman"/>
                <w:sz w:val="22"/>
                <w:szCs w:val="22"/>
              </w:rPr>
              <w:t>no</w:t>
            </w:r>
          </w:p>
        </w:tc>
        <w:tc>
          <w:tcPr>
            <w:tcW w:w="1072" w:type="dxa"/>
          </w:tcPr>
          <w:p w14:paraId="13CB5AFD" w14:textId="77777777" w:rsidR="00C04E97" w:rsidRPr="00FA100E" w:rsidRDefault="00C04E97" w:rsidP="00C04E97">
            <w:pPr>
              <w:jc w:val="center"/>
              <w:rPr>
                <w:rFonts w:ascii="Times New Roman" w:hAnsi="Times New Roman" w:cs="Times New Roman"/>
                <w:sz w:val="22"/>
                <w:szCs w:val="22"/>
              </w:rPr>
            </w:pPr>
            <w:r w:rsidRPr="00FA100E">
              <w:rPr>
                <w:rFonts w:ascii="Times New Roman" w:hAnsi="Times New Roman" w:cs="Times New Roman"/>
                <w:sz w:val="22"/>
                <w:szCs w:val="22"/>
              </w:rPr>
              <w:t>19</w:t>
            </w:r>
          </w:p>
        </w:tc>
        <w:tc>
          <w:tcPr>
            <w:tcW w:w="1338" w:type="dxa"/>
          </w:tcPr>
          <w:p w14:paraId="7B6E69FB" w14:textId="77777777" w:rsidR="00C04E97" w:rsidRPr="00FA100E" w:rsidRDefault="00C04E97" w:rsidP="00C04E97">
            <w:pPr>
              <w:jc w:val="center"/>
              <w:rPr>
                <w:rFonts w:ascii="Times New Roman" w:hAnsi="Times New Roman" w:cs="Times New Roman"/>
                <w:sz w:val="22"/>
                <w:szCs w:val="22"/>
              </w:rPr>
            </w:pPr>
            <w:r w:rsidRPr="00FA100E">
              <w:rPr>
                <w:rFonts w:ascii="Times New Roman" w:hAnsi="Times New Roman" w:cs="Times New Roman"/>
                <w:sz w:val="22"/>
                <w:szCs w:val="22"/>
              </w:rPr>
              <w:t>yes</w:t>
            </w:r>
          </w:p>
          <w:p w14:paraId="55E4CCBA" w14:textId="77777777" w:rsidR="00C04E97" w:rsidRPr="00FA100E" w:rsidRDefault="00C04E97" w:rsidP="00C04E97">
            <w:pPr>
              <w:jc w:val="center"/>
              <w:rPr>
                <w:rFonts w:ascii="Times New Roman" w:hAnsi="Times New Roman" w:cs="Times New Roman"/>
                <w:sz w:val="22"/>
                <w:szCs w:val="22"/>
              </w:rPr>
            </w:pPr>
          </w:p>
        </w:tc>
      </w:tr>
      <w:tr w:rsidR="00FA100E" w:rsidRPr="00FA100E" w14:paraId="1F960F9B" w14:textId="77777777" w:rsidTr="00C04E97">
        <w:trPr>
          <w:trHeight w:hRule="exact" w:val="510"/>
        </w:trPr>
        <w:tc>
          <w:tcPr>
            <w:tcW w:w="2830" w:type="dxa"/>
          </w:tcPr>
          <w:p w14:paraId="12C93864" w14:textId="77777777" w:rsidR="00C04E97" w:rsidRPr="00FA100E" w:rsidRDefault="00C04E97" w:rsidP="00C04E97">
            <w:pPr>
              <w:rPr>
                <w:rFonts w:ascii="Times New Roman" w:hAnsi="Times New Roman" w:cs="Times New Roman"/>
                <w:sz w:val="22"/>
                <w:szCs w:val="22"/>
              </w:rPr>
            </w:pPr>
            <w:r w:rsidRPr="00FA100E">
              <w:rPr>
                <w:rFonts w:ascii="Times New Roman" w:hAnsi="Times New Roman" w:cs="Times New Roman"/>
                <w:sz w:val="22"/>
                <w:szCs w:val="22"/>
              </w:rPr>
              <w:t>New Brunswick</w:t>
            </w:r>
          </w:p>
        </w:tc>
        <w:tc>
          <w:tcPr>
            <w:tcW w:w="2552" w:type="dxa"/>
          </w:tcPr>
          <w:p w14:paraId="4C850568" w14:textId="77777777" w:rsidR="00C04E97" w:rsidRPr="00FA100E" w:rsidRDefault="00C04E97" w:rsidP="00C04E97">
            <w:pPr>
              <w:rPr>
                <w:rFonts w:ascii="Times New Roman" w:hAnsi="Times New Roman" w:cs="Times New Roman"/>
                <w:sz w:val="22"/>
                <w:szCs w:val="22"/>
              </w:rPr>
            </w:pPr>
            <w:r w:rsidRPr="00FA100E">
              <w:rPr>
                <w:rFonts w:ascii="Times New Roman" w:hAnsi="Times New Roman" w:cs="Times New Roman"/>
                <w:sz w:val="22"/>
                <w:szCs w:val="22"/>
              </w:rPr>
              <w:t xml:space="preserve">Govt in-person and online </w:t>
            </w:r>
          </w:p>
        </w:tc>
        <w:tc>
          <w:tcPr>
            <w:tcW w:w="1275" w:type="dxa"/>
          </w:tcPr>
          <w:p w14:paraId="262D3FA6" w14:textId="77777777" w:rsidR="00C04E97" w:rsidRPr="00FA100E" w:rsidRDefault="00C04E97" w:rsidP="00C04E97">
            <w:pPr>
              <w:jc w:val="center"/>
              <w:rPr>
                <w:rFonts w:ascii="Times New Roman" w:hAnsi="Times New Roman" w:cs="Times New Roman"/>
                <w:sz w:val="22"/>
                <w:szCs w:val="22"/>
              </w:rPr>
            </w:pPr>
            <w:r w:rsidRPr="00FA100E">
              <w:rPr>
                <w:rFonts w:ascii="Times New Roman" w:hAnsi="Times New Roman" w:cs="Times New Roman"/>
                <w:sz w:val="22"/>
                <w:szCs w:val="22"/>
              </w:rPr>
              <w:t>20</w:t>
            </w:r>
          </w:p>
        </w:tc>
        <w:tc>
          <w:tcPr>
            <w:tcW w:w="1134" w:type="dxa"/>
          </w:tcPr>
          <w:p w14:paraId="30EF871E" w14:textId="77777777" w:rsidR="00C04E97" w:rsidRPr="00FA100E" w:rsidRDefault="00C04E97" w:rsidP="00C04E97">
            <w:pPr>
              <w:rPr>
                <w:rFonts w:ascii="Times New Roman" w:hAnsi="Times New Roman" w:cs="Times New Roman"/>
                <w:sz w:val="22"/>
                <w:szCs w:val="22"/>
              </w:rPr>
            </w:pPr>
            <w:r w:rsidRPr="00FA100E">
              <w:rPr>
                <w:rFonts w:ascii="Times New Roman" w:hAnsi="Times New Roman" w:cs="Times New Roman"/>
                <w:sz w:val="22"/>
                <w:szCs w:val="22"/>
              </w:rPr>
              <w:t>yes</w:t>
            </w:r>
          </w:p>
        </w:tc>
        <w:tc>
          <w:tcPr>
            <w:tcW w:w="891" w:type="dxa"/>
          </w:tcPr>
          <w:p w14:paraId="701F4C22" w14:textId="1D998348" w:rsidR="00C04E97" w:rsidRPr="00FA100E" w:rsidRDefault="00C04E97" w:rsidP="00C04E97">
            <w:pPr>
              <w:rPr>
                <w:rFonts w:ascii="Times New Roman" w:hAnsi="Times New Roman" w:cs="Times New Roman"/>
                <w:sz w:val="22"/>
                <w:szCs w:val="22"/>
              </w:rPr>
            </w:pPr>
            <w:r w:rsidRPr="00FA100E">
              <w:rPr>
                <w:rFonts w:ascii="Times New Roman" w:hAnsi="Times New Roman" w:cs="Times New Roman"/>
                <w:sz w:val="22"/>
                <w:szCs w:val="22"/>
              </w:rPr>
              <w:t>no</w:t>
            </w:r>
          </w:p>
        </w:tc>
        <w:tc>
          <w:tcPr>
            <w:tcW w:w="1168" w:type="dxa"/>
          </w:tcPr>
          <w:p w14:paraId="7BB8A411" w14:textId="6551424F" w:rsidR="00C04E97" w:rsidRPr="00FA100E" w:rsidRDefault="00C04E97" w:rsidP="00C04E97">
            <w:pPr>
              <w:rPr>
                <w:rFonts w:ascii="Times New Roman" w:hAnsi="Times New Roman" w:cs="Times New Roman"/>
                <w:sz w:val="22"/>
                <w:szCs w:val="22"/>
              </w:rPr>
            </w:pPr>
            <w:r w:rsidRPr="00FA100E">
              <w:rPr>
                <w:rFonts w:ascii="Times New Roman" w:hAnsi="Times New Roman" w:cs="Times New Roman"/>
                <w:sz w:val="22"/>
                <w:szCs w:val="22"/>
              </w:rPr>
              <w:t>no</w:t>
            </w:r>
          </w:p>
        </w:tc>
        <w:tc>
          <w:tcPr>
            <w:tcW w:w="1072" w:type="dxa"/>
          </w:tcPr>
          <w:p w14:paraId="757B19C8" w14:textId="77777777" w:rsidR="00C04E97" w:rsidRPr="00FA100E" w:rsidRDefault="00C04E97" w:rsidP="00C04E97">
            <w:pPr>
              <w:jc w:val="center"/>
              <w:rPr>
                <w:rFonts w:ascii="Times New Roman" w:hAnsi="Times New Roman" w:cs="Times New Roman"/>
                <w:sz w:val="22"/>
                <w:szCs w:val="22"/>
              </w:rPr>
            </w:pPr>
            <w:r w:rsidRPr="00FA100E">
              <w:rPr>
                <w:rFonts w:ascii="Times New Roman" w:hAnsi="Times New Roman" w:cs="Times New Roman"/>
                <w:sz w:val="22"/>
                <w:szCs w:val="22"/>
              </w:rPr>
              <w:t>19</w:t>
            </w:r>
          </w:p>
        </w:tc>
        <w:tc>
          <w:tcPr>
            <w:tcW w:w="1338" w:type="dxa"/>
          </w:tcPr>
          <w:p w14:paraId="0E99065E" w14:textId="77777777" w:rsidR="00C04E97" w:rsidRPr="00FA100E" w:rsidRDefault="00C04E97" w:rsidP="00C04E97">
            <w:pPr>
              <w:jc w:val="center"/>
              <w:rPr>
                <w:rFonts w:ascii="Times New Roman" w:hAnsi="Times New Roman" w:cs="Times New Roman"/>
                <w:sz w:val="22"/>
                <w:szCs w:val="22"/>
              </w:rPr>
            </w:pPr>
            <w:r w:rsidRPr="00FA100E">
              <w:rPr>
                <w:rFonts w:ascii="Times New Roman" w:hAnsi="Times New Roman" w:cs="Times New Roman"/>
                <w:sz w:val="22"/>
                <w:szCs w:val="22"/>
              </w:rPr>
              <w:t>yes</w:t>
            </w:r>
          </w:p>
        </w:tc>
      </w:tr>
      <w:tr w:rsidR="00FA100E" w:rsidRPr="00FA100E" w14:paraId="73FED601" w14:textId="77777777" w:rsidTr="00C04E97">
        <w:trPr>
          <w:trHeight w:hRule="exact" w:val="510"/>
        </w:trPr>
        <w:tc>
          <w:tcPr>
            <w:tcW w:w="2830" w:type="dxa"/>
          </w:tcPr>
          <w:p w14:paraId="5AE15D69" w14:textId="77777777" w:rsidR="00C04E97" w:rsidRPr="00FA100E" w:rsidRDefault="00C04E97" w:rsidP="00C04E97">
            <w:pPr>
              <w:rPr>
                <w:rFonts w:ascii="Times New Roman" w:hAnsi="Times New Roman" w:cs="Times New Roman"/>
                <w:sz w:val="22"/>
                <w:szCs w:val="22"/>
              </w:rPr>
            </w:pPr>
            <w:r w:rsidRPr="00FA100E">
              <w:rPr>
                <w:rFonts w:ascii="Times New Roman" w:hAnsi="Times New Roman" w:cs="Times New Roman"/>
                <w:sz w:val="22"/>
                <w:szCs w:val="22"/>
              </w:rPr>
              <w:t>Newfoundland and Labrador</w:t>
            </w:r>
          </w:p>
        </w:tc>
        <w:tc>
          <w:tcPr>
            <w:tcW w:w="2552" w:type="dxa"/>
          </w:tcPr>
          <w:p w14:paraId="12C97684" w14:textId="77777777" w:rsidR="00C04E97" w:rsidRPr="00FA100E" w:rsidRDefault="00C04E97" w:rsidP="00C04E97">
            <w:pPr>
              <w:autoSpaceDE w:val="0"/>
              <w:autoSpaceDN w:val="0"/>
              <w:adjustRightInd w:val="0"/>
              <w:rPr>
                <w:rFonts w:ascii="Times New Roman" w:hAnsi="Times New Roman" w:cs="Times New Roman"/>
                <w:sz w:val="22"/>
                <w:szCs w:val="22"/>
              </w:rPr>
            </w:pPr>
            <w:r w:rsidRPr="00FA100E">
              <w:rPr>
                <w:rFonts w:ascii="Times New Roman" w:hAnsi="Times New Roman" w:cs="Times New Roman"/>
                <w:sz w:val="22"/>
                <w:szCs w:val="22"/>
              </w:rPr>
              <w:t>Private in-person and govt online</w:t>
            </w:r>
          </w:p>
        </w:tc>
        <w:tc>
          <w:tcPr>
            <w:tcW w:w="1275" w:type="dxa"/>
          </w:tcPr>
          <w:p w14:paraId="55D4529C" w14:textId="77777777" w:rsidR="00C04E97" w:rsidRPr="00FA100E" w:rsidRDefault="00C04E97" w:rsidP="00C04E97">
            <w:pPr>
              <w:jc w:val="center"/>
              <w:rPr>
                <w:rFonts w:ascii="Times New Roman" w:hAnsi="Times New Roman" w:cs="Times New Roman"/>
                <w:sz w:val="22"/>
                <w:szCs w:val="22"/>
              </w:rPr>
            </w:pPr>
            <w:r w:rsidRPr="00FA100E">
              <w:rPr>
                <w:rFonts w:ascii="Times New Roman" w:hAnsi="Times New Roman" w:cs="Times New Roman"/>
                <w:sz w:val="22"/>
                <w:szCs w:val="22"/>
              </w:rPr>
              <w:t>30</w:t>
            </w:r>
          </w:p>
        </w:tc>
        <w:tc>
          <w:tcPr>
            <w:tcW w:w="1134" w:type="dxa"/>
          </w:tcPr>
          <w:p w14:paraId="4D720E67" w14:textId="77777777" w:rsidR="00C04E97" w:rsidRPr="00FA100E" w:rsidRDefault="00C04E97" w:rsidP="00C04E97">
            <w:pPr>
              <w:rPr>
                <w:rFonts w:ascii="Times New Roman" w:hAnsi="Times New Roman" w:cs="Times New Roman"/>
                <w:sz w:val="22"/>
                <w:szCs w:val="22"/>
              </w:rPr>
            </w:pPr>
            <w:r w:rsidRPr="00FA100E">
              <w:rPr>
                <w:rFonts w:ascii="Times New Roman" w:hAnsi="Times New Roman" w:cs="Times New Roman"/>
                <w:sz w:val="22"/>
                <w:szCs w:val="22"/>
              </w:rPr>
              <w:t>yes</w:t>
            </w:r>
          </w:p>
        </w:tc>
        <w:tc>
          <w:tcPr>
            <w:tcW w:w="891" w:type="dxa"/>
          </w:tcPr>
          <w:p w14:paraId="2B9F5631" w14:textId="4151C750" w:rsidR="00C04E97" w:rsidRPr="00FA100E" w:rsidRDefault="00C04E97" w:rsidP="00C04E97">
            <w:pPr>
              <w:rPr>
                <w:rFonts w:ascii="Times New Roman" w:hAnsi="Times New Roman" w:cs="Times New Roman"/>
                <w:sz w:val="22"/>
                <w:szCs w:val="22"/>
              </w:rPr>
            </w:pPr>
            <w:r w:rsidRPr="00FA100E">
              <w:rPr>
                <w:rFonts w:ascii="Times New Roman" w:hAnsi="Times New Roman" w:cs="Times New Roman"/>
                <w:sz w:val="22"/>
                <w:szCs w:val="22"/>
              </w:rPr>
              <w:t>no</w:t>
            </w:r>
          </w:p>
        </w:tc>
        <w:tc>
          <w:tcPr>
            <w:tcW w:w="1168" w:type="dxa"/>
          </w:tcPr>
          <w:p w14:paraId="1ABA684D" w14:textId="6974D720" w:rsidR="00C04E97" w:rsidRPr="00FA100E" w:rsidRDefault="00C04E97" w:rsidP="00C04E97">
            <w:pPr>
              <w:rPr>
                <w:rFonts w:ascii="Times New Roman" w:hAnsi="Times New Roman" w:cs="Times New Roman"/>
                <w:sz w:val="22"/>
                <w:szCs w:val="22"/>
              </w:rPr>
            </w:pPr>
            <w:r w:rsidRPr="00FA100E">
              <w:rPr>
                <w:rFonts w:ascii="Times New Roman" w:hAnsi="Times New Roman" w:cs="Times New Roman"/>
                <w:sz w:val="22"/>
                <w:szCs w:val="22"/>
              </w:rPr>
              <w:t>no</w:t>
            </w:r>
          </w:p>
        </w:tc>
        <w:tc>
          <w:tcPr>
            <w:tcW w:w="1072" w:type="dxa"/>
          </w:tcPr>
          <w:p w14:paraId="7C4004EC" w14:textId="77777777" w:rsidR="00C04E97" w:rsidRPr="00FA100E" w:rsidRDefault="00C04E97" w:rsidP="00C04E97">
            <w:pPr>
              <w:jc w:val="center"/>
              <w:rPr>
                <w:rFonts w:ascii="Times New Roman" w:hAnsi="Times New Roman" w:cs="Times New Roman"/>
                <w:sz w:val="22"/>
                <w:szCs w:val="22"/>
              </w:rPr>
            </w:pPr>
            <w:r w:rsidRPr="00FA100E">
              <w:rPr>
                <w:rFonts w:ascii="Times New Roman" w:hAnsi="Times New Roman" w:cs="Times New Roman"/>
                <w:sz w:val="22"/>
                <w:szCs w:val="22"/>
              </w:rPr>
              <w:t>19</w:t>
            </w:r>
          </w:p>
        </w:tc>
        <w:tc>
          <w:tcPr>
            <w:tcW w:w="1338" w:type="dxa"/>
          </w:tcPr>
          <w:p w14:paraId="3F09BF5B" w14:textId="77777777" w:rsidR="00C04E97" w:rsidRPr="00FA100E" w:rsidRDefault="00C04E97" w:rsidP="00C04E97">
            <w:pPr>
              <w:jc w:val="center"/>
              <w:rPr>
                <w:rFonts w:ascii="Times New Roman" w:hAnsi="Times New Roman" w:cs="Times New Roman"/>
                <w:sz w:val="22"/>
                <w:szCs w:val="22"/>
              </w:rPr>
            </w:pPr>
            <w:r w:rsidRPr="00FA100E">
              <w:rPr>
                <w:rFonts w:ascii="Times New Roman" w:hAnsi="Times New Roman" w:cs="Times New Roman"/>
                <w:sz w:val="22"/>
                <w:szCs w:val="22"/>
              </w:rPr>
              <w:t>yes</w:t>
            </w:r>
          </w:p>
        </w:tc>
      </w:tr>
      <w:tr w:rsidR="00FA100E" w:rsidRPr="00FA100E" w14:paraId="338458F5" w14:textId="77777777" w:rsidTr="00C04E97">
        <w:trPr>
          <w:trHeight w:hRule="exact" w:val="510"/>
        </w:trPr>
        <w:tc>
          <w:tcPr>
            <w:tcW w:w="2830" w:type="dxa"/>
          </w:tcPr>
          <w:p w14:paraId="1264DD4D" w14:textId="739E90C0" w:rsidR="00C04E97" w:rsidRPr="00FA100E" w:rsidRDefault="00C04E97" w:rsidP="00C04E97">
            <w:pPr>
              <w:rPr>
                <w:rFonts w:ascii="Times New Roman" w:hAnsi="Times New Roman" w:cs="Times New Roman"/>
                <w:sz w:val="22"/>
                <w:szCs w:val="22"/>
              </w:rPr>
            </w:pPr>
            <w:r w:rsidRPr="00FA100E">
              <w:rPr>
                <w:rFonts w:ascii="Times New Roman" w:hAnsi="Times New Roman" w:cs="Times New Roman"/>
                <w:sz w:val="22"/>
                <w:szCs w:val="22"/>
              </w:rPr>
              <w:t>Nova Scotia</w:t>
            </w:r>
          </w:p>
        </w:tc>
        <w:tc>
          <w:tcPr>
            <w:tcW w:w="2552" w:type="dxa"/>
          </w:tcPr>
          <w:p w14:paraId="428A8D0B" w14:textId="77777777" w:rsidR="00C04E97" w:rsidRPr="00FA100E" w:rsidRDefault="00C04E97" w:rsidP="00C04E97">
            <w:pPr>
              <w:rPr>
                <w:rFonts w:ascii="Times New Roman" w:hAnsi="Times New Roman" w:cs="Times New Roman"/>
                <w:sz w:val="22"/>
                <w:szCs w:val="22"/>
              </w:rPr>
            </w:pPr>
            <w:r w:rsidRPr="00FA100E">
              <w:rPr>
                <w:rFonts w:ascii="Times New Roman" w:hAnsi="Times New Roman" w:cs="Times New Roman"/>
                <w:sz w:val="22"/>
                <w:szCs w:val="22"/>
              </w:rPr>
              <w:t xml:space="preserve">Govt in-person and online </w:t>
            </w:r>
          </w:p>
        </w:tc>
        <w:tc>
          <w:tcPr>
            <w:tcW w:w="1275" w:type="dxa"/>
          </w:tcPr>
          <w:p w14:paraId="5851B011" w14:textId="77777777" w:rsidR="00C04E97" w:rsidRPr="00FA100E" w:rsidRDefault="00C04E97" w:rsidP="00C04E97">
            <w:pPr>
              <w:jc w:val="center"/>
              <w:rPr>
                <w:rFonts w:ascii="Times New Roman" w:hAnsi="Times New Roman" w:cs="Times New Roman"/>
                <w:sz w:val="22"/>
                <w:szCs w:val="22"/>
              </w:rPr>
            </w:pPr>
            <w:r w:rsidRPr="00FA100E">
              <w:rPr>
                <w:rFonts w:ascii="Times New Roman" w:hAnsi="Times New Roman" w:cs="Times New Roman"/>
                <w:sz w:val="22"/>
                <w:szCs w:val="22"/>
              </w:rPr>
              <w:t>30</w:t>
            </w:r>
          </w:p>
        </w:tc>
        <w:tc>
          <w:tcPr>
            <w:tcW w:w="1134" w:type="dxa"/>
          </w:tcPr>
          <w:p w14:paraId="50DC6A8B" w14:textId="77777777" w:rsidR="00C04E97" w:rsidRPr="00FA100E" w:rsidRDefault="00C04E97" w:rsidP="00C04E97">
            <w:pPr>
              <w:rPr>
                <w:rFonts w:ascii="Times New Roman" w:hAnsi="Times New Roman" w:cs="Times New Roman"/>
                <w:sz w:val="22"/>
                <w:szCs w:val="22"/>
              </w:rPr>
            </w:pPr>
            <w:r w:rsidRPr="00FA100E">
              <w:rPr>
                <w:rFonts w:ascii="Times New Roman" w:hAnsi="Times New Roman" w:cs="Times New Roman"/>
                <w:sz w:val="22"/>
                <w:szCs w:val="22"/>
              </w:rPr>
              <w:t>yes</w:t>
            </w:r>
          </w:p>
        </w:tc>
        <w:tc>
          <w:tcPr>
            <w:tcW w:w="891" w:type="dxa"/>
          </w:tcPr>
          <w:p w14:paraId="32F045B1" w14:textId="473B9405" w:rsidR="00C04E97" w:rsidRPr="00FA100E" w:rsidRDefault="00C04E97" w:rsidP="00C04E97">
            <w:pPr>
              <w:rPr>
                <w:rFonts w:ascii="Times New Roman" w:hAnsi="Times New Roman" w:cs="Times New Roman"/>
                <w:sz w:val="22"/>
                <w:szCs w:val="22"/>
              </w:rPr>
            </w:pPr>
            <w:r w:rsidRPr="00FA100E">
              <w:rPr>
                <w:rFonts w:ascii="Times New Roman" w:hAnsi="Times New Roman" w:cs="Times New Roman"/>
                <w:sz w:val="22"/>
                <w:szCs w:val="22"/>
              </w:rPr>
              <w:t>no</w:t>
            </w:r>
          </w:p>
        </w:tc>
        <w:tc>
          <w:tcPr>
            <w:tcW w:w="1168" w:type="dxa"/>
          </w:tcPr>
          <w:p w14:paraId="46AE600E" w14:textId="0A96C336" w:rsidR="00C04E97" w:rsidRPr="00FA100E" w:rsidRDefault="00C04E97" w:rsidP="00C04E97">
            <w:pPr>
              <w:rPr>
                <w:rFonts w:ascii="Times New Roman" w:hAnsi="Times New Roman" w:cs="Times New Roman"/>
                <w:sz w:val="22"/>
                <w:szCs w:val="22"/>
              </w:rPr>
            </w:pPr>
            <w:r w:rsidRPr="00FA100E">
              <w:rPr>
                <w:rFonts w:ascii="Times New Roman" w:hAnsi="Times New Roman" w:cs="Times New Roman"/>
                <w:sz w:val="22"/>
                <w:szCs w:val="22"/>
              </w:rPr>
              <w:t>no</w:t>
            </w:r>
          </w:p>
        </w:tc>
        <w:tc>
          <w:tcPr>
            <w:tcW w:w="1072" w:type="dxa"/>
          </w:tcPr>
          <w:p w14:paraId="2AA7E13D" w14:textId="77777777" w:rsidR="00C04E97" w:rsidRPr="00FA100E" w:rsidRDefault="00C04E97" w:rsidP="00C04E97">
            <w:pPr>
              <w:jc w:val="center"/>
              <w:rPr>
                <w:rFonts w:ascii="Times New Roman" w:hAnsi="Times New Roman" w:cs="Times New Roman"/>
                <w:sz w:val="22"/>
                <w:szCs w:val="22"/>
              </w:rPr>
            </w:pPr>
            <w:r w:rsidRPr="00FA100E">
              <w:rPr>
                <w:rFonts w:ascii="Times New Roman" w:hAnsi="Times New Roman" w:cs="Times New Roman"/>
                <w:sz w:val="22"/>
                <w:szCs w:val="22"/>
              </w:rPr>
              <w:t>19</w:t>
            </w:r>
          </w:p>
        </w:tc>
        <w:tc>
          <w:tcPr>
            <w:tcW w:w="1338" w:type="dxa"/>
          </w:tcPr>
          <w:p w14:paraId="0578A712" w14:textId="44B877F1" w:rsidR="00C04E97" w:rsidRPr="00FA100E" w:rsidRDefault="00C04E97" w:rsidP="00C04E97">
            <w:pPr>
              <w:jc w:val="center"/>
              <w:rPr>
                <w:rFonts w:ascii="Times New Roman" w:hAnsi="Times New Roman" w:cs="Times New Roman"/>
                <w:sz w:val="22"/>
                <w:szCs w:val="22"/>
              </w:rPr>
            </w:pPr>
            <w:r w:rsidRPr="00FA100E">
              <w:rPr>
                <w:rFonts w:ascii="Times New Roman" w:hAnsi="Times New Roman" w:cs="Times New Roman"/>
                <w:sz w:val="22"/>
                <w:szCs w:val="22"/>
              </w:rPr>
              <w:t>yes</w:t>
            </w:r>
          </w:p>
          <w:p w14:paraId="00AE2314" w14:textId="77777777" w:rsidR="00C04E97" w:rsidRPr="00FA100E" w:rsidRDefault="00C04E97" w:rsidP="00C04E97">
            <w:pPr>
              <w:jc w:val="center"/>
              <w:rPr>
                <w:rFonts w:ascii="Times New Roman" w:hAnsi="Times New Roman" w:cs="Times New Roman"/>
                <w:sz w:val="22"/>
                <w:szCs w:val="22"/>
              </w:rPr>
            </w:pPr>
          </w:p>
        </w:tc>
      </w:tr>
      <w:tr w:rsidR="00FA100E" w:rsidRPr="00FA100E" w14:paraId="12F7FFAC" w14:textId="77777777" w:rsidTr="00C04E97">
        <w:trPr>
          <w:trHeight w:hRule="exact" w:val="510"/>
        </w:trPr>
        <w:tc>
          <w:tcPr>
            <w:tcW w:w="2830" w:type="dxa"/>
          </w:tcPr>
          <w:p w14:paraId="77558CAA" w14:textId="77777777" w:rsidR="00C04E97" w:rsidRPr="00FA100E" w:rsidRDefault="00C04E97" w:rsidP="00C04E97">
            <w:pPr>
              <w:rPr>
                <w:rFonts w:ascii="Times New Roman" w:hAnsi="Times New Roman" w:cs="Times New Roman"/>
                <w:sz w:val="22"/>
                <w:szCs w:val="22"/>
              </w:rPr>
            </w:pPr>
            <w:r w:rsidRPr="00FA100E">
              <w:rPr>
                <w:rFonts w:ascii="Times New Roman" w:hAnsi="Times New Roman" w:cs="Times New Roman"/>
                <w:sz w:val="22"/>
                <w:szCs w:val="22"/>
              </w:rPr>
              <w:t>Ontario</w:t>
            </w:r>
          </w:p>
        </w:tc>
        <w:tc>
          <w:tcPr>
            <w:tcW w:w="2552" w:type="dxa"/>
          </w:tcPr>
          <w:p w14:paraId="28023D0C" w14:textId="77777777" w:rsidR="00C04E97" w:rsidRPr="00FA100E" w:rsidRDefault="00C04E97" w:rsidP="00C04E97">
            <w:pPr>
              <w:rPr>
                <w:rFonts w:ascii="Times New Roman" w:hAnsi="Times New Roman" w:cs="Times New Roman"/>
                <w:sz w:val="22"/>
                <w:szCs w:val="22"/>
              </w:rPr>
            </w:pPr>
            <w:r w:rsidRPr="00FA100E">
              <w:rPr>
                <w:rFonts w:ascii="Times New Roman" w:hAnsi="Times New Roman" w:cs="Times New Roman"/>
                <w:sz w:val="22"/>
                <w:szCs w:val="22"/>
              </w:rPr>
              <w:t>Private in person &amp; govt online</w:t>
            </w:r>
          </w:p>
        </w:tc>
        <w:tc>
          <w:tcPr>
            <w:tcW w:w="1275" w:type="dxa"/>
          </w:tcPr>
          <w:p w14:paraId="78ECCB26" w14:textId="77777777" w:rsidR="00C04E97" w:rsidRPr="00FA100E" w:rsidRDefault="00C04E97" w:rsidP="00C04E97">
            <w:pPr>
              <w:jc w:val="center"/>
              <w:rPr>
                <w:rFonts w:ascii="Times New Roman" w:hAnsi="Times New Roman" w:cs="Times New Roman"/>
                <w:sz w:val="22"/>
                <w:szCs w:val="22"/>
              </w:rPr>
            </w:pPr>
            <w:r w:rsidRPr="00FA100E">
              <w:rPr>
                <w:rFonts w:ascii="Times New Roman" w:hAnsi="Times New Roman" w:cs="Times New Roman"/>
                <w:sz w:val="22"/>
                <w:szCs w:val="22"/>
              </w:rPr>
              <w:t>613</w:t>
            </w:r>
          </w:p>
        </w:tc>
        <w:tc>
          <w:tcPr>
            <w:tcW w:w="1134" w:type="dxa"/>
          </w:tcPr>
          <w:p w14:paraId="2F3A702F" w14:textId="77777777" w:rsidR="00C04E97" w:rsidRPr="00FA100E" w:rsidRDefault="00C04E97" w:rsidP="00C04E97">
            <w:pPr>
              <w:rPr>
                <w:rFonts w:ascii="Times New Roman" w:hAnsi="Times New Roman" w:cs="Times New Roman"/>
                <w:sz w:val="22"/>
                <w:szCs w:val="22"/>
              </w:rPr>
            </w:pPr>
            <w:r w:rsidRPr="00FA100E">
              <w:rPr>
                <w:rFonts w:ascii="Times New Roman" w:hAnsi="Times New Roman" w:cs="Times New Roman"/>
                <w:sz w:val="22"/>
                <w:szCs w:val="22"/>
              </w:rPr>
              <w:t>yes</w:t>
            </w:r>
          </w:p>
        </w:tc>
        <w:tc>
          <w:tcPr>
            <w:tcW w:w="891" w:type="dxa"/>
          </w:tcPr>
          <w:p w14:paraId="6FEE8CD2" w14:textId="476AE3A3" w:rsidR="00C04E97" w:rsidRPr="00FA100E" w:rsidRDefault="00C04E97" w:rsidP="00C04E97">
            <w:pPr>
              <w:rPr>
                <w:rFonts w:ascii="Times New Roman" w:hAnsi="Times New Roman" w:cs="Times New Roman"/>
                <w:sz w:val="22"/>
                <w:szCs w:val="22"/>
              </w:rPr>
            </w:pPr>
            <w:r w:rsidRPr="00FA100E">
              <w:rPr>
                <w:rFonts w:ascii="Times New Roman" w:hAnsi="Times New Roman" w:cs="Times New Roman"/>
                <w:sz w:val="22"/>
                <w:szCs w:val="22"/>
              </w:rPr>
              <w:t>no</w:t>
            </w:r>
          </w:p>
        </w:tc>
        <w:tc>
          <w:tcPr>
            <w:tcW w:w="1168" w:type="dxa"/>
          </w:tcPr>
          <w:p w14:paraId="2D9D34A6" w14:textId="250A6DE4" w:rsidR="00C04E97" w:rsidRPr="00FA100E" w:rsidRDefault="00C04E97" w:rsidP="00C04E97">
            <w:pPr>
              <w:rPr>
                <w:rFonts w:ascii="Times New Roman" w:hAnsi="Times New Roman" w:cs="Times New Roman"/>
                <w:sz w:val="22"/>
                <w:szCs w:val="22"/>
              </w:rPr>
            </w:pPr>
            <w:r w:rsidRPr="00FA100E">
              <w:rPr>
                <w:rFonts w:ascii="Times New Roman" w:hAnsi="Times New Roman" w:cs="Times New Roman"/>
                <w:sz w:val="22"/>
                <w:szCs w:val="22"/>
              </w:rPr>
              <w:t>no</w:t>
            </w:r>
          </w:p>
        </w:tc>
        <w:tc>
          <w:tcPr>
            <w:tcW w:w="1072" w:type="dxa"/>
          </w:tcPr>
          <w:p w14:paraId="02F98E90" w14:textId="77777777" w:rsidR="00C04E97" w:rsidRPr="00FA100E" w:rsidRDefault="00C04E97" w:rsidP="00C04E97">
            <w:pPr>
              <w:jc w:val="center"/>
              <w:rPr>
                <w:rFonts w:ascii="Times New Roman" w:hAnsi="Times New Roman" w:cs="Times New Roman"/>
                <w:sz w:val="22"/>
                <w:szCs w:val="22"/>
              </w:rPr>
            </w:pPr>
            <w:r w:rsidRPr="00FA100E">
              <w:rPr>
                <w:rFonts w:ascii="Times New Roman" w:hAnsi="Times New Roman" w:cs="Times New Roman"/>
                <w:sz w:val="22"/>
                <w:szCs w:val="22"/>
              </w:rPr>
              <w:t>19</w:t>
            </w:r>
          </w:p>
        </w:tc>
        <w:tc>
          <w:tcPr>
            <w:tcW w:w="1338" w:type="dxa"/>
          </w:tcPr>
          <w:p w14:paraId="3ADEDE03" w14:textId="77777777" w:rsidR="00C04E97" w:rsidRPr="00FA100E" w:rsidRDefault="00C04E97" w:rsidP="00C04E97">
            <w:pPr>
              <w:jc w:val="center"/>
              <w:rPr>
                <w:rFonts w:ascii="Times New Roman" w:hAnsi="Times New Roman" w:cs="Times New Roman"/>
                <w:sz w:val="22"/>
                <w:szCs w:val="22"/>
              </w:rPr>
            </w:pPr>
            <w:r w:rsidRPr="00FA100E">
              <w:rPr>
                <w:rFonts w:ascii="Times New Roman" w:hAnsi="Times New Roman" w:cs="Times New Roman"/>
                <w:sz w:val="22"/>
                <w:szCs w:val="22"/>
              </w:rPr>
              <w:t>yes</w:t>
            </w:r>
          </w:p>
        </w:tc>
      </w:tr>
      <w:tr w:rsidR="00FA100E" w:rsidRPr="00FA100E" w14:paraId="19EAE2A0" w14:textId="77777777" w:rsidTr="00C04E97">
        <w:trPr>
          <w:trHeight w:hRule="exact" w:val="510"/>
        </w:trPr>
        <w:tc>
          <w:tcPr>
            <w:tcW w:w="2830" w:type="dxa"/>
          </w:tcPr>
          <w:p w14:paraId="4F182726" w14:textId="77777777" w:rsidR="00C04E97" w:rsidRPr="00FA100E" w:rsidRDefault="00C04E97" w:rsidP="00C04E97">
            <w:pPr>
              <w:rPr>
                <w:rFonts w:ascii="Times New Roman" w:hAnsi="Times New Roman" w:cs="Times New Roman"/>
                <w:sz w:val="22"/>
                <w:szCs w:val="22"/>
              </w:rPr>
            </w:pPr>
            <w:r w:rsidRPr="00FA100E">
              <w:rPr>
                <w:rFonts w:ascii="Times New Roman" w:hAnsi="Times New Roman" w:cs="Times New Roman"/>
                <w:sz w:val="22"/>
                <w:szCs w:val="22"/>
              </w:rPr>
              <w:t>Prince Edward Island</w:t>
            </w:r>
          </w:p>
        </w:tc>
        <w:tc>
          <w:tcPr>
            <w:tcW w:w="2552" w:type="dxa"/>
          </w:tcPr>
          <w:p w14:paraId="6CA2C973" w14:textId="77777777" w:rsidR="00C04E97" w:rsidRPr="00FA100E" w:rsidRDefault="00C04E97" w:rsidP="00C04E97">
            <w:pPr>
              <w:rPr>
                <w:rFonts w:ascii="Times New Roman" w:hAnsi="Times New Roman" w:cs="Times New Roman"/>
                <w:sz w:val="22"/>
                <w:szCs w:val="22"/>
              </w:rPr>
            </w:pPr>
            <w:r w:rsidRPr="00FA100E">
              <w:rPr>
                <w:rFonts w:ascii="Times New Roman" w:hAnsi="Times New Roman" w:cs="Times New Roman"/>
                <w:sz w:val="22"/>
                <w:szCs w:val="22"/>
              </w:rPr>
              <w:t xml:space="preserve">Govt in-person and online </w:t>
            </w:r>
          </w:p>
        </w:tc>
        <w:tc>
          <w:tcPr>
            <w:tcW w:w="1275" w:type="dxa"/>
          </w:tcPr>
          <w:p w14:paraId="3C172927" w14:textId="77777777" w:rsidR="00C04E97" w:rsidRPr="00FA100E" w:rsidRDefault="00C04E97" w:rsidP="00C04E97">
            <w:pPr>
              <w:jc w:val="center"/>
              <w:rPr>
                <w:rFonts w:ascii="Times New Roman" w:hAnsi="Times New Roman" w:cs="Times New Roman"/>
                <w:sz w:val="22"/>
                <w:szCs w:val="22"/>
              </w:rPr>
            </w:pPr>
            <w:r w:rsidRPr="00FA100E">
              <w:rPr>
                <w:rFonts w:ascii="Times New Roman" w:hAnsi="Times New Roman" w:cs="Times New Roman"/>
                <w:sz w:val="22"/>
                <w:szCs w:val="22"/>
              </w:rPr>
              <w:t>4</w:t>
            </w:r>
          </w:p>
        </w:tc>
        <w:tc>
          <w:tcPr>
            <w:tcW w:w="1134" w:type="dxa"/>
          </w:tcPr>
          <w:p w14:paraId="5F92980E" w14:textId="77777777" w:rsidR="00C04E97" w:rsidRPr="00FA100E" w:rsidRDefault="00C04E97" w:rsidP="00C04E97">
            <w:pPr>
              <w:rPr>
                <w:rFonts w:ascii="Times New Roman" w:hAnsi="Times New Roman" w:cs="Times New Roman"/>
                <w:sz w:val="22"/>
                <w:szCs w:val="22"/>
              </w:rPr>
            </w:pPr>
            <w:r w:rsidRPr="00FA100E">
              <w:rPr>
                <w:rFonts w:ascii="Times New Roman" w:hAnsi="Times New Roman" w:cs="Times New Roman"/>
                <w:sz w:val="22"/>
                <w:szCs w:val="22"/>
              </w:rPr>
              <w:t>yes</w:t>
            </w:r>
          </w:p>
        </w:tc>
        <w:tc>
          <w:tcPr>
            <w:tcW w:w="891" w:type="dxa"/>
          </w:tcPr>
          <w:p w14:paraId="15E03797" w14:textId="5AC0A415" w:rsidR="00C04E97" w:rsidRPr="00FA100E" w:rsidRDefault="00C04E97" w:rsidP="00C04E97">
            <w:pPr>
              <w:rPr>
                <w:rFonts w:ascii="Times New Roman" w:hAnsi="Times New Roman" w:cs="Times New Roman"/>
                <w:sz w:val="22"/>
                <w:szCs w:val="22"/>
              </w:rPr>
            </w:pPr>
            <w:r w:rsidRPr="00FA100E">
              <w:rPr>
                <w:rFonts w:ascii="Times New Roman" w:hAnsi="Times New Roman" w:cs="Times New Roman"/>
                <w:sz w:val="22"/>
                <w:szCs w:val="22"/>
              </w:rPr>
              <w:t>no</w:t>
            </w:r>
          </w:p>
        </w:tc>
        <w:tc>
          <w:tcPr>
            <w:tcW w:w="1168" w:type="dxa"/>
          </w:tcPr>
          <w:p w14:paraId="55C161EA" w14:textId="0C70A95B" w:rsidR="00C04E97" w:rsidRPr="00FA100E" w:rsidRDefault="00C04E97" w:rsidP="00C04E97">
            <w:pPr>
              <w:rPr>
                <w:rFonts w:ascii="Times New Roman" w:hAnsi="Times New Roman" w:cs="Times New Roman"/>
                <w:sz w:val="22"/>
                <w:szCs w:val="22"/>
              </w:rPr>
            </w:pPr>
            <w:r w:rsidRPr="00FA100E">
              <w:rPr>
                <w:rFonts w:ascii="Times New Roman" w:hAnsi="Times New Roman" w:cs="Times New Roman"/>
                <w:sz w:val="22"/>
                <w:szCs w:val="22"/>
              </w:rPr>
              <w:t>no</w:t>
            </w:r>
          </w:p>
        </w:tc>
        <w:tc>
          <w:tcPr>
            <w:tcW w:w="1072" w:type="dxa"/>
          </w:tcPr>
          <w:p w14:paraId="76D6217A" w14:textId="77777777" w:rsidR="00C04E97" w:rsidRPr="00FA100E" w:rsidRDefault="00C04E97" w:rsidP="00C04E97">
            <w:pPr>
              <w:jc w:val="center"/>
              <w:rPr>
                <w:rFonts w:ascii="Times New Roman" w:hAnsi="Times New Roman" w:cs="Times New Roman"/>
                <w:sz w:val="22"/>
                <w:szCs w:val="22"/>
              </w:rPr>
            </w:pPr>
            <w:r w:rsidRPr="00FA100E">
              <w:rPr>
                <w:rFonts w:ascii="Times New Roman" w:hAnsi="Times New Roman" w:cs="Times New Roman"/>
                <w:sz w:val="22"/>
                <w:szCs w:val="22"/>
              </w:rPr>
              <w:t>19</w:t>
            </w:r>
          </w:p>
        </w:tc>
        <w:tc>
          <w:tcPr>
            <w:tcW w:w="1338" w:type="dxa"/>
          </w:tcPr>
          <w:p w14:paraId="0FCF2C80" w14:textId="77777777" w:rsidR="00C04E97" w:rsidRPr="00FA100E" w:rsidRDefault="00C04E97" w:rsidP="00C04E97">
            <w:pPr>
              <w:jc w:val="center"/>
              <w:rPr>
                <w:rFonts w:ascii="Times New Roman" w:hAnsi="Times New Roman" w:cs="Times New Roman"/>
                <w:sz w:val="22"/>
                <w:szCs w:val="22"/>
              </w:rPr>
            </w:pPr>
            <w:r w:rsidRPr="00FA100E">
              <w:rPr>
                <w:rFonts w:ascii="Times New Roman" w:hAnsi="Times New Roman" w:cs="Times New Roman"/>
                <w:sz w:val="22"/>
                <w:szCs w:val="22"/>
              </w:rPr>
              <w:t>yes</w:t>
            </w:r>
          </w:p>
        </w:tc>
      </w:tr>
      <w:tr w:rsidR="00FA100E" w:rsidRPr="00FA100E" w14:paraId="2812AD39" w14:textId="77777777" w:rsidTr="00C04E97">
        <w:trPr>
          <w:trHeight w:hRule="exact" w:val="510"/>
        </w:trPr>
        <w:tc>
          <w:tcPr>
            <w:tcW w:w="2830" w:type="dxa"/>
          </w:tcPr>
          <w:p w14:paraId="6304C979" w14:textId="77777777" w:rsidR="00C04E97" w:rsidRPr="00FA100E" w:rsidRDefault="00C04E97" w:rsidP="00C04E97">
            <w:pPr>
              <w:rPr>
                <w:rFonts w:ascii="Times New Roman" w:hAnsi="Times New Roman" w:cs="Times New Roman"/>
                <w:sz w:val="22"/>
                <w:szCs w:val="22"/>
              </w:rPr>
            </w:pPr>
            <w:r w:rsidRPr="00FA100E">
              <w:rPr>
                <w:rFonts w:ascii="Times New Roman" w:hAnsi="Times New Roman" w:cs="Times New Roman"/>
                <w:sz w:val="22"/>
                <w:szCs w:val="22"/>
              </w:rPr>
              <w:t>Québec</w:t>
            </w:r>
          </w:p>
        </w:tc>
        <w:tc>
          <w:tcPr>
            <w:tcW w:w="2552" w:type="dxa"/>
          </w:tcPr>
          <w:p w14:paraId="49B20D62" w14:textId="77777777" w:rsidR="00C04E97" w:rsidRPr="00FA100E" w:rsidRDefault="00C04E97" w:rsidP="00C04E97">
            <w:pPr>
              <w:rPr>
                <w:rFonts w:ascii="Times New Roman" w:hAnsi="Times New Roman" w:cs="Times New Roman"/>
                <w:sz w:val="22"/>
                <w:szCs w:val="22"/>
              </w:rPr>
            </w:pPr>
            <w:r w:rsidRPr="00FA100E">
              <w:rPr>
                <w:rFonts w:ascii="Times New Roman" w:hAnsi="Times New Roman" w:cs="Times New Roman"/>
                <w:sz w:val="22"/>
                <w:szCs w:val="22"/>
              </w:rPr>
              <w:t xml:space="preserve">Government stores only </w:t>
            </w:r>
          </w:p>
        </w:tc>
        <w:tc>
          <w:tcPr>
            <w:tcW w:w="1275" w:type="dxa"/>
          </w:tcPr>
          <w:p w14:paraId="4EB84E0E" w14:textId="77777777" w:rsidR="00C04E97" w:rsidRPr="00FA100E" w:rsidRDefault="00C04E97" w:rsidP="00C04E97">
            <w:pPr>
              <w:jc w:val="center"/>
              <w:rPr>
                <w:rFonts w:ascii="Times New Roman" w:hAnsi="Times New Roman" w:cs="Times New Roman"/>
                <w:sz w:val="22"/>
                <w:szCs w:val="22"/>
              </w:rPr>
            </w:pPr>
            <w:r w:rsidRPr="00FA100E">
              <w:rPr>
                <w:rFonts w:ascii="Times New Roman" w:hAnsi="Times New Roman" w:cs="Times New Roman"/>
                <w:sz w:val="22"/>
                <w:szCs w:val="22"/>
              </w:rPr>
              <w:t>65</w:t>
            </w:r>
          </w:p>
        </w:tc>
        <w:tc>
          <w:tcPr>
            <w:tcW w:w="1134" w:type="dxa"/>
          </w:tcPr>
          <w:p w14:paraId="0F9746AE" w14:textId="77777777" w:rsidR="00C04E97" w:rsidRPr="00FA100E" w:rsidRDefault="00C04E97" w:rsidP="00C04E97">
            <w:pPr>
              <w:rPr>
                <w:rFonts w:ascii="Times New Roman" w:hAnsi="Times New Roman" w:cs="Times New Roman"/>
                <w:sz w:val="22"/>
                <w:szCs w:val="22"/>
              </w:rPr>
            </w:pPr>
            <w:r w:rsidRPr="00FA100E">
              <w:rPr>
                <w:rFonts w:ascii="Times New Roman" w:hAnsi="Times New Roman" w:cs="Times New Roman"/>
                <w:sz w:val="22"/>
                <w:szCs w:val="22"/>
              </w:rPr>
              <w:t>no</w:t>
            </w:r>
          </w:p>
        </w:tc>
        <w:tc>
          <w:tcPr>
            <w:tcW w:w="891" w:type="dxa"/>
          </w:tcPr>
          <w:p w14:paraId="397F41A6" w14:textId="28C395BF" w:rsidR="00C04E97" w:rsidRPr="00FA100E" w:rsidRDefault="00C04E97" w:rsidP="00C04E97">
            <w:pPr>
              <w:rPr>
                <w:rFonts w:ascii="Times New Roman" w:hAnsi="Times New Roman" w:cs="Times New Roman"/>
                <w:sz w:val="22"/>
                <w:szCs w:val="22"/>
              </w:rPr>
            </w:pPr>
            <w:r w:rsidRPr="00FA100E">
              <w:rPr>
                <w:rFonts w:ascii="Times New Roman" w:hAnsi="Times New Roman" w:cs="Times New Roman"/>
                <w:sz w:val="22"/>
                <w:szCs w:val="22"/>
              </w:rPr>
              <w:t>no</w:t>
            </w:r>
          </w:p>
        </w:tc>
        <w:tc>
          <w:tcPr>
            <w:tcW w:w="1168" w:type="dxa"/>
          </w:tcPr>
          <w:p w14:paraId="62065F3C" w14:textId="62BC1EF1" w:rsidR="00C04E97" w:rsidRPr="00FA100E" w:rsidRDefault="00C04E97" w:rsidP="00C04E97">
            <w:pPr>
              <w:rPr>
                <w:rFonts w:ascii="Times New Roman" w:hAnsi="Times New Roman" w:cs="Times New Roman"/>
                <w:sz w:val="22"/>
                <w:szCs w:val="22"/>
              </w:rPr>
            </w:pPr>
            <w:r w:rsidRPr="00FA100E">
              <w:rPr>
                <w:rFonts w:ascii="Times New Roman" w:hAnsi="Times New Roman" w:cs="Times New Roman"/>
                <w:sz w:val="22"/>
                <w:szCs w:val="22"/>
              </w:rPr>
              <w:t>no</w:t>
            </w:r>
          </w:p>
        </w:tc>
        <w:tc>
          <w:tcPr>
            <w:tcW w:w="1072" w:type="dxa"/>
          </w:tcPr>
          <w:p w14:paraId="29806A26" w14:textId="77777777" w:rsidR="00C04E97" w:rsidRPr="00FA100E" w:rsidRDefault="00C04E97" w:rsidP="00C04E97">
            <w:pPr>
              <w:jc w:val="center"/>
              <w:rPr>
                <w:rFonts w:ascii="Times New Roman" w:hAnsi="Times New Roman" w:cs="Times New Roman"/>
                <w:sz w:val="22"/>
                <w:szCs w:val="22"/>
              </w:rPr>
            </w:pPr>
            <w:r w:rsidRPr="00FA100E">
              <w:rPr>
                <w:rFonts w:ascii="Times New Roman" w:hAnsi="Times New Roman" w:cs="Times New Roman"/>
                <w:sz w:val="22"/>
                <w:szCs w:val="22"/>
              </w:rPr>
              <w:t>21</w:t>
            </w:r>
          </w:p>
        </w:tc>
        <w:tc>
          <w:tcPr>
            <w:tcW w:w="1338" w:type="dxa"/>
          </w:tcPr>
          <w:p w14:paraId="3E74F61E" w14:textId="77777777" w:rsidR="00C04E97" w:rsidRPr="00FA100E" w:rsidRDefault="00C04E97" w:rsidP="00C04E97">
            <w:pPr>
              <w:jc w:val="center"/>
              <w:rPr>
                <w:rFonts w:ascii="Times New Roman" w:hAnsi="Times New Roman" w:cs="Times New Roman"/>
                <w:sz w:val="22"/>
                <w:szCs w:val="22"/>
              </w:rPr>
            </w:pPr>
            <w:r w:rsidRPr="00FA100E">
              <w:rPr>
                <w:rFonts w:ascii="Times New Roman" w:hAnsi="Times New Roman" w:cs="Times New Roman"/>
                <w:sz w:val="22"/>
                <w:szCs w:val="22"/>
              </w:rPr>
              <w:t>no</w:t>
            </w:r>
          </w:p>
        </w:tc>
      </w:tr>
      <w:tr w:rsidR="00C04E97" w:rsidRPr="00FA100E" w14:paraId="4D2619CC" w14:textId="77777777" w:rsidTr="00C04E97">
        <w:trPr>
          <w:trHeight w:hRule="exact" w:val="510"/>
        </w:trPr>
        <w:tc>
          <w:tcPr>
            <w:tcW w:w="2830" w:type="dxa"/>
            <w:tcBorders>
              <w:bottom w:val="single" w:sz="4" w:space="0" w:color="auto"/>
            </w:tcBorders>
          </w:tcPr>
          <w:p w14:paraId="6F8C32C1" w14:textId="77777777" w:rsidR="00C04E97" w:rsidRPr="00FA100E" w:rsidRDefault="00C04E97" w:rsidP="00C04E97">
            <w:pPr>
              <w:rPr>
                <w:rFonts w:ascii="Times New Roman" w:hAnsi="Times New Roman" w:cs="Times New Roman"/>
                <w:sz w:val="22"/>
                <w:szCs w:val="22"/>
              </w:rPr>
            </w:pPr>
            <w:r w:rsidRPr="00FA100E">
              <w:rPr>
                <w:rFonts w:ascii="Times New Roman" w:hAnsi="Times New Roman" w:cs="Times New Roman"/>
                <w:sz w:val="22"/>
                <w:szCs w:val="22"/>
              </w:rPr>
              <w:t>Saskatchewan</w:t>
            </w:r>
          </w:p>
        </w:tc>
        <w:tc>
          <w:tcPr>
            <w:tcW w:w="2552" w:type="dxa"/>
            <w:tcBorders>
              <w:bottom w:val="single" w:sz="4" w:space="0" w:color="auto"/>
            </w:tcBorders>
          </w:tcPr>
          <w:p w14:paraId="70840827" w14:textId="77777777" w:rsidR="00C04E97" w:rsidRPr="00FA100E" w:rsidRDefault="00C04E97" w:rsidP="00C04E97">
            <w:pPr>
              <w:rPr>
                <w:rFonts w:ascii="Times New Roman" w:hAnsi="Times New Roman" w:cs="Times New Roman"/>
                <w:sz w:val="22"/>
                <w:szCs w:val="22"/>
              </w:rPr>
            </w:pPr>
            <w:r w:rsidRPr="00FA100E">
              <w:rPr>
                <w:rFonts w:ascii="Times New Roman" w:hAnsi="Times New Roman" w:cs="Times New Roman"/>
                <w:sz w:val="22"/>
                <w:szCs w:val="22"/>
              </w:rPr>
              <w:t>Private in person and online</w:t>
            </w:r>
          </w:p>
        </w:tc>
        <w:tc>
          <w:tcPr>
            <w:tcW w:w="1275" w:type="dxa"/>
            <w:tcBorders>
              <w:bottom w:val="single" w:sz="4" w:space="0" w:color="auto"/>
            </w:tcBorders>
          </w:tcPr>
          <w:p w14:paraId="1439ABB1" w14:textId="77777777" w:rsidR="00C04E97" w:rsidRPr="00FA100E" w:rsidRDefault="00C04E97" w:rsidP="00C04E97">
            <w:pPr>
              <w:jc w:val="center"/>
              <w:rPr>
                <w:rFonts w:ascii="Times New Roman" w:hAnsi="Times New Roman" w:cs="Times New Roman"/>
                <w:sz w:val="22"/>
                <w:szCs w:val="22"/>
              </w:rPr>
            </w:pPr>
            <w:r w:rsidRPr="00FA100E">
              <w:rPr>
                <w:rFonts w:ascii="Times New Roman" w:hAnsi="Times New Roman" w:cs="Times New Roman"/>
                <w:sz w:val="22"/>
                <w:szCs w:val="22"/>
              </w:rPr>
              <w:t>80</w:t>
            </w:r>
          </w:p>
        </w:tc>
        <w:tc>
          <w:tcPr>
            <w:tcW w:w="1134" w:type="dxa"/>
            <w:tcBorders>
              <w:bottom w:val="single" w:sz="4" w:space="0" w:color="auto"/>
            </w:tcBorders>
          </w:tcPr>
          <w:p w14:paraId="037C71F5" w14:textId="77777777" w:rsidR="00C04E97" w:rsidRPr="00FA100E" w:rsidRDefault="00C04E97" w:rsidP="00C04E97">
            <w:pPr>
              <w:rPr>
                <w:rFonts w:ascii="Times New Roman" w:hAnsi="Times New Roman" w:cs="Times New Roman"/>
                <w:sz w:val="22"/>
                <w:szCs w:val="22"/>
              </w:rPr>
            </w:pPr>
            <w:r w:rsidRPr="00FA100E">
              <w:rPr>
                <w:rFonts w:ascii="Times New Roman" w:hAnsi="Times New Roman" w:cs="Times New Roman"/>
                <w:sz w:val="22"/>
                <w:szCs w:val="22"/>
              </w:rPr>
              <w:t>yes</w:t>
            </w:r>
          </w:p>
        </w:tc>
        <w:tc>
          <w:tcPr>
            <w:tcW w:w="891" w:type="dxa"/>
            <w:tcBorders>
              <w:bottom w:val="single" w:sz="4" w:space="0" w:color="auto"/>
            </w:tcBorders>
          </w:tcPr>
          <w:p w14:paraId="582C7083" w14:textId="3096CCCC" w:rsidR="00C04E97" w:rsidRPr="00FA100E" w:rsidRDefault="00C04E97" w:rsidP="00C04E97">
            <w:pPr>
              <w:rPr>
                <w:rFonts w:ascii="Times New Roman" w:hAnsi="Times New Roman" w:cs="Times New Roman"/>
                <w:sz w:val="22"/>
                <w:szCs w:val="22"/>
              </w:rPr>
            </w:pPr>
            <w:r w:rsidRPr="00FA100E">
              <w:rPr>
                <w:rFonts w:ascii="Times New Roman" w:hAnsi="Times New Roman" w:cs="Times New Roman"/>
                <w:sz w:val="22"/>
                <w:szCs w:val="22"/>
              </w:rPr>
              <w:t>no</w:t>
            </w:r>
          </w:p>
        </w:tc>
        <w:tc>
          <w:tcPr>
            <w:tcW w:w="1168" w:type="dxa"/>
            <w:tcBorders>
              <w:bottom w:val="single" w:sz="4" w:space="0" w:color="auto"/>
            </w:tcBorders>
          </w:tcPr>
          <w:p w14:paraId="3BE52762" w14:textId="0E5169FF" w:rsidR="00C04E97" w:rsidRPr="00FA100E" w:rsidRDefault="00C04E97" w:rsidP="00C04E97">
            <w:pPr>
              <w:rPr>
                <w:rFonts w:ascii="Times New Roman" w:hAnsi="Times New Roman" w:cs="Times New Roman"/>
                <w:sz w:val="22"/>
                <w:szCs w:val="22"/>
              </w:rPr>
            </w:pPr>
            <w:r w:rsidRPr="00FA100E">
              <w:rPr>
                <w:rFonts w:ascii="Times New Roman" w:hAnsi="Times New Roman" w:cs="Times New Roman"/>
                <w:sz w:val="22"/>
                <w:szCs w:val="22"/>
              </w:rPr>
              <w:t>no</w:t>
            </w:r>
          </w:p>
        </w:tc>
        <w:tc>
          <w:tcPr>
            <w:tcW w:w="1072" w:type="dxa"/>
            <w:tcBorders>
              <w:bottom w:val="single" w:sz="4" w:space="0" w:color="auto"/>
            </w:tcBorders>
          </w:tcPr>
          <w:p w14:paraId="6124B39D" w14:textId="77777777" w:rsidR="00C04E97" w:rsidRPr="00FA100E" w:rsidRDefault="00C04E97" w:rsidP="00C04E97">
            <w:pPr>
              <w:jc w:val="center"/>
              <w:rPr>
                <w:rFonts w:ascii="Times New Roman" w:hAnsi="Times New Roman" w:cs="Times New Roman"/>
                <w:sz w:val="22"/>
                <w:szCs w:val="22"/>
              </w:rPr>
            </w:pPr>
            <w:r w:rsidRPr="00FA100E">
              <w:rPr>
                <w:rFonts w:ascii="Times New Roman" w:hAnsi="Times New Roman" w:cs="Times New Roman"/>
                <w:sz w:val="22"/>
                <w:szCs w:val="22"/>
              </w:rPr>
              <w:t>19</w:t>
            </w:r>
          </w:p>
        </w:tc>
        <w:tc>
          <w:tcPr>
            <w:tcW w:w="1338" w:type="dxa"/>
            <w:tcBorders>
              <w:bottom w:val="single" w:sz="4" w:space="0" w:color="auto"/>
            </w:tcBorders>
          </w:tcPr>
          <w:p w14:paraId="580B8625" w14:textId="77777777" w:rsidR="00C04E97" w:rsidRPr="00FA100E" w:rsidRDefault="00C04E97" w:rsidP="00C04E97">
            <w:pPr>
              <w:jc w:val="center"/>
              <w:rPr>
                <w:rFonts w:ascii="Times New Roman" w:hAnsi="Times New Roman" w:cs="Times New Roman"/>
                <w:sz w:val="22"/>
                <w:szCs w:val="22"/>
              </w:rPr>
            </w:pPr>
            <w:r w:rsidRPr="00FA100E">
              <w:rPr>
                <w:rFonts w:ascii="Times New Roman" w:hAnsi="Times New Roman" w:cs="Times New Roman"/>
                <w:sz w:val="22"/>
                <w:szCs w:val="22"/>
              </w:rPr>
              <w:t>yes</w:t>
            </w:r>
          </w:p>
        </w:tc>
      </w:tr>
    </w:tbl>
    <w:p w14:paraId="35CA9C63" w14:textId="77777777" w:rsidR="00C04E97" w:rsidRPr="00FA100E" w:rsidRDefault="00C04E97" w:rsidP="007667E9">
      <w:pPr>
        <w:rPr>
          <w:rFonts w:ascii="Times New Roman" w:hAnsi="Times New Roman" w:cs="Times New Roman"/>
        </w:rPr>
      </w:pPr>
    </w:p>
    <w:p w14:paraId="1DE42B25" w14:textId="77777777" w:rsidR="0043624F" w:rsidRPr="00FA100E" w:rsidRDefault="0043624F">
      <w:pPr>
        <w:rPr>
          <w:rFonts w:ascii="Times New Roman" w:hAnsi="Times New Roman" w:cs="Times New Roman"/>
          <w:b/>
          <w:i/>
        </w:rPr>
      </w:pPr>
      <w:r w:rsidRPr="00FA100E">
        <w:rPr>
          <w:rFonts w:ascii="Times New Roman" w:hAnsi="Times New Roman" w:cs="Times New Roman"/>
          <w:b/>
          <w:i/>
        </w:rPr>
        <w:br w:type="page"/>
      </w:r>
    </w:p>
    <w:p w14:paraId="1DB28108" w14:textId="02E9F419" w:rsidR="004E1819" w:rsidRPr="00FA100E" w:rsidRDefault="004E1819" w:rsidP="001244A8">
      <w:pPr>
        <w:pStyle w:val="Heading1"/>
      </w:pPr>
      <w:bookmarkStart w:id="9" w:name="_Toc128412287"/>
      <w:bookmarkStart w:id="10" w:name="_Toc102056886"/>
      <w:r w:rsidRPr="00FA100E">
        <w:lastRenderedPageBreak/>
        <w:t xml:space="preserve">S2. </w:t>
      </w:r>
      <w:r w:rsidR="001244A8" w:rsidRPr="00FA100E">
        <w:t>Main Canadian population surveys that have reported data on cannabis use in the context of legalisation</w:t>
      </w:r>
      <w:bookmarkEnd w:id="9"/>
    </w:p>
    <w:p w14:paraId="49B89794" w14:textId="582850D9" w:rsidR="007667E9" w:rsidRPr="00FA100E" w:rsidRDefault="007667E9" w:rsidP="00DE2B90">
      <w:pPr>
        <w:pStyle w:val="Heading2"/>
      </w:pPr>
      <w:r w:rsidRPr="00FA100E">
        <w:t xml:space="preserve">Table </w:t>
      </w:r>
      <w:r w:rsidR="000C0411" w:rsidRPr="00FA100E">
        <w:t>S</w:t>
      </w:r>
      <w:r w:rsidRPr="00FA100E">
        <w:t>2: Canadian surveys of cannabis use</w:t>
      </w:r>
      <w:bookmarkEnd w:id="10"/>
      <w:r w:rsidRPr="00FA100E">
        <w:t xml:space="preserve"> </w:t>
      </w:r>
    </w:p>
    <w:tbl>
      <w:tblPr>
        <w:tblStyle w:val="TableGrid"/>
        <w:tblW w:w="9721"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1343"/>
        <w:gridCol w:w="860"/>
        <w:gridCol w:w="3139"/>
        <w:gridCol w:w="1019"/>
        <w:gridCol w:w="1238"/>
      </w:tblGrid>
      <w:tr w:rsidR="00FA100E" w:rsidRPr="00FA100E" w14:paraId="7A3207F4" w14:textId="77777777" w:rsidTr="000C0411">
        <w:trPr>
          <w:trHeight w:val="501"/>
        </w:trPr>
        <w:tc>
          <w:tcPr>
            <w:tcW w:w="2122" w:type="dxa"/>
            <w:tcBorders>
              <w:top w:val="single" w:sz="4" w:space="0" w:color="auto"/>
              <w:bottom w:val="single" w:sz="4" w:space="0" w:color="auto"/>
            </w:tcBorders>
            <w:shd w:val="clear" w:color="auto" w:fill="000000" w:themeFill="text1"/>
          </w:tcPr>
          <w:p w14:paraId="7A431DA5" w14:textId="77777777" w:rsidR="007667E9" w:rsidRPr="00FA100E" w:rsidRDefault="007667E9" w:rsidP="007667E9">
            <w:pPr>
              <w:rPr>
                <w:rFonts w:ascii="Times New Roman" w:hAnsi="Times New Roman" w:cs="Times New Roman"/>
                <w:b/>
                <w:sz w:val="22"/>
                <w:szCs w:val="22"/>
              </w:rPr>
            </w:pPr>
            <w:r w:rsidRPr="00FA100E">
              <w:rPr>
                <w:rFonts w:ascii="Times New Roman" w:hAnsi="Times New Roman" w:cs="Times New Roman"/>
                <w:b/>
                <w:sz w:val="22"/>
                <w:szCs w:val="22"/>
              </w:rPr>
              <w:t>Name of survey</w:t>
            </w:r>
          </w:p>
        </w:tc>
        <w:tc>
          <w:tcPr>
            <w:tcW w:w="1343" w:type="dxa"/>
            <w:tcBorders>
              <w:top w:val="single" w:sz="4" w:space="0" w:color="auto"/>
              <w:bottom w:val="single" w:sz="4" w:space="0" w:color="auto"/>
            </w:tcBorders>
            <w:shd w:val="clear" w:color="auto" w:fill="000000" w:themeFill="text1"/>
          </w:tcPr>
          <w:p w14:paraId="7BD53594" w14:textId="77777777" w:rsidR="007667E9" w:rsidRPr="00FA100E" w:rsidRDefault="007667E9" w:rsidP="007667E9">
            <w:pPr>
              <w:rPr>
                <w:rFonts w:ascii="Times New Roman" w:hAnsi="Times New Roman" w:cs="Times New Roman"/>
                <w:b/>
                <w:sz w:val="22"/>
                <w:szCs w:val="22"/>
              </w:rPr>
            </w:pPr>
            <w:r w:rsidRPr="00FA100E">
              <w:rPr>
                <w:rFonts w:ascii="Times New Roman" w:hAnsi="Times New Roman" w:cs="Times New Roman"/>
                <w:b/>
                <w:sz w:val="22"/>
                <w:szCs w:val="22"/>
              </w:rPr>
              <w:t>When conducted</w:t>
            </w:r>
          </w:p>
        </w:tc>
        <w:tc>
          <w:tcPr>
            <w:tcW w:w="860" w:type="dxa"/>
            <w:tcBorders>
              <w:top w:val="single" w:sz="4" w:space="0" w:color="auto"/>
              <w:bottom w:val="single" w:sz="4" w:space="0" w:color="auto"/>
            </w:tcBorders>
            <w:shd w:val="clear" w:color="auto" w:fill="000000" w:themeFill="text1"/>
          </w:tcPr>
          <w:p w14:paraId="3D756BAC" w14:textId="77777777" w:rsidR="007667E9" w:rsidRPr="00FA100E" w:rsidRDefault="007667E9" w:rsidP="007667E9">
            <w:pPr>
              <w:rPr>
                <w:rFonts w:ascii="Times New Roman" w:hAnsi="Times New Roman" w:cs="Times New Roman"/>
                <w:b/>
                <w:sz w:val="22"/>
                <w:szCs w:val="22"/>
              </w:rPr>
            </w:pPr>
            <w:r w:rsidRPr="00FA100E">
              <w:rPr>
                <w:rFonts w:ascii="Times New Roman" w:hAnsi="Times New Roman" w:cs="Times New Roman"/>
                <w:b/>
                <w:sz w:val="22"/>
                <w:szCs w:val="22"/>
              </w:rPr>
              <w:t>Age</w:t>
            </w:r>
          </w:p>
          <w:p w14:paraId="5CB07788" w14:textId="77777777" w:rsidR="007667E9" w:rsidRPr="00FA100E" w:rsidRDefault="007667E9" w:rsidP="007667E9">
            <w:pPr>
              <w:rPr>
                <w:rFonts w:ascii="Times New Roman" w:hAnsi="Times New Roman" w:cs="Times New Roman"/>
                <w:b/>
                <w:sz w:val="22"/>
                <w:szCs w:val="22"/>
              </w:rPr>
            </w:pPr>
            <w:r w:rsidRPr="00FA100E">
              <w:rPr>
                <w:rFonts w:ascii="Times New Roman" w:hAnsi="Times New Roman" w:cs="Times New Roman"/>
                <w:b/>
                <w:sz w:val="22"/>
                <w:szCs w:val="22"/>
              </w:rPr>
              <w:t xml:space="preserve">range </w:t>
            </w:r>
          </w:p>
        </w:tc>
        <w:tc>
          <w:tcPr>
            <w:tcW w:w="3139" w:type="dxa"/>
            <w:tcBorders>
              <w:top w:val="single" w:sz="4" w:space="0" w:color="auto"/>
              <w:bottom w:val="single" w:sz="4" w:space="0" w:color="auto"/>
            </w:tcBorders>
            <w:shd w:val="clear" w:color="auto" w:fill="000000" w:themeFill="text1"/>
          </w:tcPr>
          <w:p w14:paraId="78E67245" w14:textId="77777777" w:rsidR="007667E9" w:rsidRPr="00FA100E" w:rsidRDefault="007667E9" w:rsidP="007667E9">
            <w:pPr>
              <w:rPr>
                <w:rFonts w:ascii="Times New Roman" w:hAnsi="Times New Roman" w:cs="Times New Roman"/>
                <w:b/>
                <w:sz w:val="22"/>
                <w:szCs w:val="22"/>
              </w:rPr>
            </w:pPr>
            <w:r w:rsidRPr="00FA100E">
              <w:rPr>
                <w:rFonts w:ascii="Times New Roman" w:hAnsi="Times New Roman" w:cs="Times New Roman"/>
                <w:b/>
                <w:sz w:val="22"/>
                <w:szCs w:val="22"/>
              </w:rPr>
              <w:t>Key measures of cannabis use</w:t>
            </w:r>
          </w:p>
        </w:tc>
        <w:tc>
          <w:tcPr>
            <w:tcW w:w="1019" w:type="dxa"/>
            <w:tcBorders>
              <w:top w:val="single" w:sz="4" w:space="0" w:color="auto"/>
              <w:bottom w:val="single" w:sz="4" w:space="0" w:color="auto"/>
            </w:tcBorders>
            <w:shd w:val="clear" w:color="auto" w:fill="000000" w:themeFill="text1"/>
          </w:tcPr>
          <w:p w14:paraId="3BBAC76A" w14:textId="77777777" w:rsidR="007667E9" w:rsidRPr="00FA100E" w:rsidRDefault="007667E9" w:rsidP="007667E9">
            <w:pPr>
              <w:rPr>
                <w:rFonts w:ascii="Times New Roman" w:hAnsi="Times New Roman" w:cs="Times New Roman"/>
                <w:b/>
                <w:sz w:val="22"/>
                <w:szCs w:val="22"/>
              </w:rPr>
            </w:pPr>
            <w:r w:rsidRPr="00FA100E">
              <w:rPr>
                <w:rFonts w:ascii="Times New Roman" w:hAnsi="Times New Roman" w:cs="Times New Roman"/>
                <w:b/>
                <w:sz w:val="22"/>
                <w:szCs w:val="22"/>
              </w:rPr>
              <w:t xml:space="preserve">N </w:t>
            </w:r>
          </w:p>
        </w:tc>
        <w:tc>
          <w:tcPr>
            <w:tcW w:w="1238" w:type="dxa"/>
            <w:tcBorders>
              <w:top w:val="single" w:sz="4" w:space="0" w:color="auto"/>
              <w:bottom w:val="single" w:sz="4" w:space="0" w:color="auto"/>
            </w:tcBorders>
            <w:shd w:val="clear" w:color="auto" w:fill="000000" w:themeFill="text1"/>
          </w:tcPr>
          <w:p w14:paraId="0780FB36" w14:textId="77777777" w:rsidR="007667E9" w:rsidRPr="00FA100E" w:rsidRDefault="007667E9" w:rsidP="007667E9">
            <w:pPr>
              <w:rPr>
                <w:rFonts w:ascii="Times New Roman" w:hAnsi="Times New Roman" w:cs="Times New Roman"/>
                <w:b/>
                <w:sz w:val="22"/>
                <w:szCs w:val="22"/>
              </w:rPr>
            </w:pPr>
            <w:r w:rsidRPr="00FA100E">
              <w:rPr>
                <w:rFonts w:ascii="Times New Roman" w:hAnsi="Times New Roman" w:cs="Times New Roman"/>
                <w:b/>
                <w:sz w:val="22"/>
                <w:szCs w:val="22"/>
              </w:rPr>
              <w:t>Method</w:t>
            </w:r>
          </w:p>
        </w:tc>
      </w:tr>
      <w:tr w:rsidR="00FA100E" w:rsidRPr="00FA100E" w14:paraId="44644BB1" w14:textId="77777777" w:rsidTr="000C0411">
        <w:trPr>
          <w:trHeight w:val="1033"/>
        </w:trPr>
        <w:tc>
          <w:tcPr>
            <w:tcW w:w="2122" w:type="dxa"/>
            <w:tcBorders>
              <w:top w:val="single" w:sz="4" w:space="0" w:color="auto"/>
            </w:tcBorders>
          </w:tcPr>
          <w:p w14:paraId="6C680477" w14:textId="77777777" w:rsidR="007667E9" w:rsidRPr="00FA100E" w:rsidRDefault="007667E9" w:rsidP="007667E9">
            <w:pPr>
              <w:rPr>
                <w:rFonts w:ascii="Times New Roman" w:hAnsi="Times New Roman" w:cs="Times New Roman"/>
                <w:sz w:val="22"/>
                <w:szCs w:val="22"/>
              </w:rPr>
            </w:pPr>
            <w:r w:rsidRPr="00FA100E">
              <w:rPr>
                <w:rFonts w:ascii="Times New Roman" w:hAnsi="Times New Roman" w:cs="Times New Roman"/>
                <w:sz w:val="22"/>
                <w:szCs w:val="22"/>
              </w:rPr>
              <w:t>National Cannabis Survey</w:t>
            </w:r>
          </w:p>
        </w:tc>
        <w:tc>
          <w:tcPr>
            <w:tcW w:w="1343" w:type="dxa"/>
            <w:tcBorders>
              <w:top w:val="single" w:sz="4" w:space="0" w:color="auto"/>
            </w:tcBorders>
          </w:tcPr>
          <w:p w14:paraId="6D802790" w14:textId="77777777" w:rsidR="007667E9" w:rsidRPr="00FA100E" w:rsidRDefault="007667E9" w:rsidP="007667E9">
            <w:pPr>
              <w:rPr>
                <w:rFonts w:ascii="Times New Roman" w:hAnsi="Times New Roman" w:cs="Times New Roman"/>
                <w:sz w:val="22"/>
                <w:szCs w:val="22"/>
              </w:rPr>
            </w:pPr>
            <w:r w:rsidRPr="00FA100E">
              <w:rPr>
                <w:rFonts w:ascii="Times New Roman" w:hAnsi="Times New Roman" w:cs="Times New Roman"/>
                <w:sz w:val="22"/>
                <w:szCs w:val="22"/>
              </w:rPr>
              <w:t>Quarterly since 2018 to 2020</w:t>
            </w:r>
          </w:p>
        </w:tc>
        <w:tc>
          <w:tcPr>
            <w:tcW w:w="860" w:type="dxa"/>
            <w:tcBorders>
              <w:top w:val="single" w:sz="4" w:space="0" w:color="auto"/>
            </w:tcBorders>
          </w:tcPr>
          <w:p w14:paraId="687AB386" w14:textId="77777777" w:rsidR="007667E9" w:rsidRPr="00FA100E" w:rsidRDefault="007667E9" w:rsidP="007667E9">
            <w:pPr>
              <w:rPr>
                <w:rFonts w:ascii="Times New Roman" w:hAnsi="Times New Roman" w:cs="Times New Roman"/>
                <w:sz w:val="22"/>
                <w:szCs w:val="22"/>
              </w:rPr>
            </w:pPr>
            <w:r w:rsidRPr="00FA100E">
              <w:rPr>
                <w:rFonts w:ascii="Times New Roman" w:hAnsi="Times New Roman" w:cs="Times New Roman"/>
                <w:sz w:val="22"/>
                <w:szCs w:val="22"/>
              </w:rPr>
              <w:t>15+</w:t>
            </w:r>
          </w:p>
        </w:tc>
        <w:tc>
          <w:tcPr>
            <w:tcW w:w="3139" w:type="dxa"/>
            <w:tcBorders>
              <w:top w:val="single" w:sz="4" w:space="0" w:color="auto"/>
            </w:tcBorders>
          </w:tcPr>
          <w:p w14:paraId="46461164" w14:textId="77777777" w:rsidR="007667E9" w:rsidRPr="00FA100E" w:rsidRDefault="007667E9" w:rsidP="007667E9">
            <w:pPr>
              <w:rPr>
                <w:rFonts w:ascii="Times New Roman" w:hAnsi="Times New Roman" w:cs="Times New Roman"/>
                <w:sz w:val="22"/>
                <w:szCs w:val="22"/>
              </w:rPr>
            </w:pPr>
            <w:r w:rsidRPr="00FA100E">
              <w:rPr>
                <w:rFonts w:ascii="Times New Roman" w:hAnsi="Times New Roman" w:cs="Times New Roman"/>
                <w:sz w:val="22"/>
                <w:szCs w:val="22"/>
              </w:rPr>
              <w:t>Use in past 3 months</w:t>
            </w:r>
          </w:p>
          <w:p w14:paraId="091610E2" w14:textId="77777777" w:rsidR="007667E9" w:rsidRPr="00FA100E" w:rsidRDefault="007667E9" w:rsidP="007667E9">
            <w:pPr>
              <w:rPr>
                <w:rFonts w:ascii="Times New Roman" w:hAnsi="Times New Roman" w:cs="Times New Roman"/>
                <w:sz w:val="22"/>
                <w:szCs w:val="22"/>
              </w:rPr>
            </w:pPr>
            <w:r w:rsidRPr="00FA100E">
              <w:rPr>
                <w:rFonts w:ascii="Times New Roman" w:hAnsi="Times New Roman" w:cs="Times New Roman"/>
                <w:sz w:val="22"/>
                <w:szCs w:val="22"/>
              </w:rPr>
              <w:t>Daily use</w:t>
            </w:r>
          </w:p>
          <w:p w14:paraId="2E9262A1" w14:textId="77777777" w:rsidR="007667E9" w:rsidRPr="00FA100E" w:rsidRDefault="007667E9" w:rsidP="007667E9">
            <w:pPr>
              <w:rPr>
                <w:rFonts w:ascii="Times New Roman" w:hAnsi="Times New Roman" w:cs="Times New Roman"/>
                <w:sz w:val="22"/>
                <w:szCs w:val="22"/>
              </w:rPr>
            </w:pPr>
            <w:r w:rsidRPr="00FA100E">
              <w:rPr>
                <w:rFonts w:ascii="Times New Roman" w:hAnsi="Times New Roman" w:cs="Times New Roman"/>
                <w:sz w:val="22"/>
                <w:szCs w:val="22"/>
              </w:rPr>
              <w:t>Source of cannabis</w:t>
            </w:r>
            <w:r w:rsidR="00C40318" w:rsidRPr="00FA100E">
              <w:rPr>
                <w:rFonts w:ascii="Times New Roman" w:hAnsi="Times New Roman" w:cs="Times New Roman"/>
                <w:sz w:val="22"/>
                <w:szCs w:val="22"/>
              </w:rPr>
              <w:t xml:space="preserve"> </w:t>
            </w:r>
          </w:p>
          <w:p w14:paraId="40DE7AA1" w14:textId="77777777" w:rsidR="007667E9" w:rsidRPr="00FA100E" w:rsidRDefault="007667E9" w:rsidP="007667E9">
            <w:pPr>
              <w:rPr>
                <w:rFonts w:ascii="Times New Roman" w:hAnsi="Times New Roman" w:cs="Times New Roman"/>
                <w:sz w:val="22"/>
                <w:szCs w:val="22"/>
              </w:rPr>
            </w:pPr>
            <w:r w:rsidRPr="00FA100E">
              <w:rPr>
                <w:rFonts w:ascii="Times New Roman" w:hAnsi="Times New Roman" w:cs="Times New Roman"/>
                <w:sz w:val="22"/>
                <w:szCs w:val="22"/>
              </w:rPr>
              <w:t>Driving after using cannabis</w:t>
            </w:r>
          </w:p>
        </w:tc>
        <w:tc>
          <w:tcPr>
            <w:tcW w:w="1019" w:type="dxa"/>
            <w:tcBorders>
              <w:top w:val="single" w:sz="4" w:space="0" w:color="auto"/>
            </w:tcBorders>
          </w:tcPr>
          <w:p w14:paraId="3213388C" w14:textId="77777777" w:rsidR="007667E9" w:rsidRPr="00FA100E" w:rsidRDefault="007667E9" w:rsidP="007667E9">
            <w:pPr>
              <w:rPr>
                <w:rFonts w:ascii="Times New Roman" w:hAnsi="Times New Roman" w:cs="Times New Roman"/>
                <w:sz w:val="22"/>
                <w:szCs w:val="22"/>
              </w:rPr>
            </w:pPr>
            <w:r w:rsidRPr="00FA100E">
              <w:rPr>
                <w:rFonts w:ascii="Times New Roman" w:hAnsi="Times New Roman" w:cs="Times New Roman"/>
                <w:sz w:val="22"/>
                <w:szCs w:val="22"/>
              </w:rPr>
              <w:t>5400-6200</w:t>
            </w:r>
          </w:p>
        </w:tc>
        <w:tc>
          <w:tcPr>
            <w:tcW w:w="1238" w:type="dxa"/>
            <w:tcBorders>
              <w:top w:val="single" w:sz="4" w:space="0" w:color="auto"/>
            </w:tcBorders>
          </w:tcPr>
          <w:p w14:paraId="266D2655" w14:textId="3054B15D" w:rsidR="007667E9" w:rsidRPr="00FA100E" w:rsidRDefault="0064276D" w:rsidP="007667E9">
            <w:pPr>
              <w:rPr>
                <w:rFonts w:ascii="Times New Roman" w:hAnsi="Times New Roman" w:cs="Times New Roman"/>
                <w:sz w:val="22"/>
                <w:szCs w:val="22"/>
              </w:rPr>
            </w:pPr>
            <w:r w:rsidRPr="00FA100E">
              <w:rPr>
                <w:rFonts w:ascii="Times New Roman" w:hAnsi="Times New Roman" w:cs="Times New Roman"/>
                <w:sz w:val="22"/>
                <w:szCs w:val="22"/>
              </w:rPr>
              <w:t>O</w:t>
            </w:r>
            <w:r w:rsidR="007667E9" w:rsidRPr="00FA100E">
              <w:rPr>
                <w:rFonts w:ascii="Times New Roman" w:hAnsi="Times New Roman" w:cs="Times New Roman"/>
                <w:sz w:val="22"/>
                <w:szCs w:val="22"/>
              </w:rPr>
              <w:t>nline</w:t>
            </w:r>
          </w:p>
        </w:tc>
      </w:tr>
      <w:tr w:rsidR="00FA100E" w:rsidRPr="00FA100E" w14:paraId="150F56FE" w14:textId="77777777" w:rsidTr="000C0411">
        <w:trPr>
          <w:trHeight w:val="1276"/>
        </w:trPr>
        <w:tc>
          <w:tcPr>
            <w:tcW w:w="2122" w:type="dxa"/>
          </w:tcPr>
          <w:p w14:paraId="70EA4F78" w14:textId="5CB39F35" w:rsidR="007667E9" w:rsidRPr="00FA100E" w:rsidRDefault="007667E9" w:rsidP="00C04E97">
            <w:pPr>
              <w:autoSpaceDE w:val="0"/>
              <w:autoSpaceDN w:val="0"/>
              <w:adjustRightInd w:val="0"/>
              <w:rPr>
                <w:rFonts w:ascii="Times New Roman" w:hAnsi="Times New Roman" w:cs="Times New Roman"/>
                <w:sz w:val="22"/>
                <w:szCs w:val="22"/>
              </w:rPr>
            </w:pPr>
            <w:r w:rsidRPr="00FA100E">
              <w:rPr>
                <w:rFonts w:ascii="Times New Roman" w:hAnsi="Times New Roman" w:cs="Times New Roman"/>
                <w:sz w:val="22"/>
                <w:szCs w:val="22"/>
              </w:rPr>
              <w:t>Canadian</w:t>
            </w:r>
            <w:r w:rsidR="00C04E97" w:rsidRPr="00FA100E">
              <w:rPr>
                <w:rFonts w:ascii="Times New Roman" w:hAnsi="Times New Roman" w:cs="Times New Roman"/>
                <w:sz w:val="22"/>
                <w:szCs w:val="22"/>
              </w:rPr>
              <w:t xml:space="preserve"> </w:t>
            </w:r>
            <w:r w:rsidRPr="00FA100E">
              <w:rPr>
                <w:rFonts w:ascii="Times New Roman" w:hAnsi="Times New Roman" w:cs="Times New Roman"/>
                <w:sz w:val="22"/>
                <w:szCs w:val="22"/>
              </w:rPr>
              <w:t>Cannabis</w:t>
            </w:r>
            <w:r w:rsidR="00C04E97" w:rsidRPr="00FA100E">
              <w:rPr>
                <w:rFonts w:ascii="Times New Roman" w:hAnsi="Times New Roman" w:cs="Times New Roman"/>
                <w:sz w:val="22"/>
                <w:szCs w:val="22"/>
              </w:rPr>
              <w:t xml:space="preserve"> </w:t>
            </w:r>
            <w:r w:rsidRPr="00FA100E">
              <w:rPr>
                <w:rFonts w:ascii="Times New Roman" w:hAnsi="Times New Roman" w:cs="Times New Roman"/>
                <w:sz w:val="22"/>
                <w:szCs w:val="22"/>
              </w:rPr>
              <w:t>Survey</w:t>
            </w:r>
          </w:p>
        </w:tc>
        <w:tc>
          <w:tcPr>
            <w:tcW w:w="1343" w:type="dxa"/>
          </w:tcPr>
          <w:p w14:paraId="49FE8A7F" w14:textId="042CA9DA" w:rsidR="007667E9" w:rsidRPr="00FA100E" w:rsidRDefault="007667E9" w:rsidP="00C04E97">
            <w:pPr>
              <w:autoSpaceDE w:val="0"/>
              <w:autoSpaceDN w:val="0"/>
              <w:adjustRightInd w:val="0"/>
              <w:rPr>
                <w:rFonts w:ascii="Times New Roman" w:hAnsi="Times New Roman" w:cs="Times New Roman"/>
                <w:sz w:val="22"/>
                <w:szCs w:val="22"/>
              </w:rPr>
            </w:pPr>
            <w:r w:rsidRPr="00FA100E">
              <w:rPr>
                <w:rFonts w:ascii="Times New Roman" w:hAnsi="Times New Roman" w:cs="Times New Roman"/>
                <w:sz w:val="22"/>
                <w:szCs w:val="22"/>
              </w:rPr>
              <w:t>Annual</w:t>
            </w:r>
            <w:r w:rsidR="00C04E97" w:rsidRPr="00FA100E">
              <w:rPr>
                <w:rFonts w:ascii="Times New Roman" w:hAnsi="Times New Roman" w:cs="Times New Roman"/>
                <w:sz w:val="22"/>
                <w:szCs w:val="22"/>
              </w:rPr>
              <w:t xml:space="preserve"> </w:t>
            </w:r>
            <w:r w:rsidRPr="00FA100E">
              <w:rPr>
                <w:rFonts w:ascii="Times New Roman" w:hAnsi="Times New Roman" w:cs="Times New Roman"/>
                <w:sz w:val="22"/>
                <w:szCs w:val="22"/>
              </w:rPr>
              <w:t>from 2017</w:t>
            </w:r>
            <w:r w:rsidR="00C04E97" w:rsidRPr="00FA100E">
              <w:rPr>
                <w:rFonts w:ascii="Times New Roman" w:hAnsi="Times New Roman" w:cs="Times New Roman"/>
                <w:sz w:val="22"/>
                <w:szCs w:val="22"/>
              </w:rPr>
              <w:t xml:space="preserve"> </w:t>
            </w:r>
            <w:r w:rsidRPr="00FA100E">
              <w:rPr>
                <w:rFonts w:ascii="Times New Roman" w:hAnsi="Times New Roman" w:cs="Times New Roman"/>
                <w:sz w:val="22"/>
                <w:szCs w:val="22"/>
              </w:rPr>
              <w:t>to 2020.</w:t>
            </w:r>
          </w:p>
        </w:tc>
        <w:tc>
          <w:tcPr>
            <w:tcW w:w="860" w:type="dxa"/>
          </w:tcPr>
          <w:p w14:paraId="45140613" w14:textId="77777777" w:rsidR="007667E9" w:rsidRPr="00FA100E" w:rsidRDefault="007667E9" w:rsidP="007667E9">
            <w:pPr>
              <w:rPr>
                <w:rFonts w:ascii="Times New Roman" w:hAnsi="Times New Roman" w:cs="Times New Roman"/>
                <w:sz w:val="22"/>
                <w:szCs w:val="22"/>
              </w:rPr>
            </w:pPr>
            <w:r w:rsidRPr="00FA100E">
              <w:rPr>
                <w:rFonts w:ascii="Times New Roman" w:hAnsi="Times New Roman" w:cs="Times New Roman"/>
                <w:sz w:val="22"/>
                <w:szCs w:val="22"/>
              </w:rPr>
              <w:t>16 +</w:t>
            </w:r>
          </w:p>
        </w:tc>
        <w:tc>
          <w:tcPr>
            <w:tcW w:w="3139" w:type="dxa"/>
          </w:tcPr>
          <w:p w14:paraId="2C39DBDF" w14:textId="6767809F" w:rsidR="007667E9" w:rsidRPr="00FA100E" w:rsidRDefault="007667E9" w:rsidP="007667E9">
            <w:pPr>
              <w:autoSpaceDE w:val="0"/>
              <w:autoSpaceDN w:val="0"/>
              <w:adjustRightInd w:val="0"/>
              <w:rPr>
                <w:rFonts w:ascii="Times New Roman" w:hAnsi="Times New Roman" w:cs="Times New Roman"/>
                <w:sz w:val="22"/>
                <w:szCs w:val="22"/>
              </w:rPr>
            </w:pPr>
            <w:r w:rsidRPr="00FA100E">
              <w:rPr>
                <w:rFonts w:ascii="Times New Roman" w:hAnsi="Times New Roman" w:cs="Times New Roman"/>
                <w:sz w:val="22"/>
                <w:szCs w:val="22"/>
              </w:rPr>
              <w:t>Use in past 12 or 1 month</w:t>
            </w:r>
          </w:p>
          <w:p w14:paraId="42B4D31A" w14:textId="07380CF6" w:rsidR="007667E9" w:rsidRPr="00FA100E" w:rsidRDefault="007667E9" w:rsidP="007667E9">
            <w:pPr>
              <w:autoSpaceDE w:val="0"/>
              <w:autoSpaceDN w:val="0"/>
              <w:adjustRightInd w:val="0"/>
              <w:rPr>
                <w:rFonts w:ascii="Times New Roman" w:hAnsi="Times New Roman" w:cs="Times New Roman"/>
                <w:sz w:val="22"/>
                <w:szCs w:val="22"/>
              </w:rPr>
            </w:pPr>
            <w:r w:rsidRPr="00FA100E">
              <w:rPr>
                <w:rFonts w:ascii="Times New Roman" w:hAnsi="Times New Roman" w:cs="Times New Roman"/>
                <w:sz w:val="22"/>
                <w:szCs w:val="22"/>
              </w:rPr>
              <w:t>Daily use</w:t>
            </w:r>
          </w:p>
          <w:p w14:paraId="2E136529" w14:textId="7A4941A0" w:rsidR="007667E9" w:rsidRPr="00FA100E" w:rsidRDefault="007667E9" w:rsidP="007667E9">
            <w:pPr>
              <w:autoSpaceDE w:val="0"/>
              <w:autoSpaceDN w:val="0"/>
              <w:adjustRightInd w:val="0"/>
              <w:rPr>
                <w:rFonts w:ascii="Times New Roman" w:hAnsi="Times New Roman" w:cs="Times New Roman"/>
                <w:sz w:val="22"/>
                <w:szCs w:val="22"/>
              </w:rPr>
            </w:pPr>
            <w:r w:rsidRPr="00FA100E">
              <w:rPr>
                <w:rFonts w:ascii="Times New Roman" w:hAnsi="Times New Roman" w:cs="Times New Roman"/>
                <w:sz w:val="22"/>
                <w:szCs w:val="22"/>
              </w:rPr>
              <w:t>Driving after using cannabis</w:t>
            </w:r>
          </w:p>
          <w:p w14:paraId="391CB222" w14:textId="1AD792DE" w:rsidR="007667E9" w:rsidRPr="00FA100E" w:rsidRDefault="0064276D" w:rsidP="007667E9">
            <w:pPr>
              <w:autoSpaceDE w:val="0"/>
              <w:autoSpaceDN w:val="0"/>
              <w:adjustRightInd w:val="0"/>
              <w:rPr>
                <w:rFonts w:ascii="Times New Roman" w:hAnsi="Times New Roman" w:cs="Times New Roman"/>
                <w:sz w:val="22"/>
                <w:szCs w:val="22"/>
              </w:rPr>
            </w:pPr>
            <w:r w:rsidRPr="00FA100E">
              <w:rPr>
                <w:rFonts w:ascii="Times New Roman" w:hAnsi="Times New Roman" w:cs="Times New Roman"/>
                <w:sz w:val="22"/>
                <w:szCs w:val="22"/>
              </w:rPr>
              <w:t>S</w:t>
            </w:r>
            <w:r w:rsidR="007667E9" w:rsidRPr="00FA100E">
              <w:rPr>
                <w:rFonts w:ascii="Times New Roman" w:hAnsi="Times New Roman" w:cs="Times New Roman"/>
                <w:sz w:val="22"/>
                <w:szCs w:val="22"/>
              </w:rPr>
              <w:t>ource of cannabis</w:t>
            </w:r>
          </w:p>
          <w:p w14:paraId="1CEA8CD5" w14:textId="41FBDB6C" w:rsidR="007667E9" w:rsidRPr="00FA100E" w:rsidRDefault="0064276D" w:rsidP="007667E9">
            <w:pPr>
              <w:autoSpaceDE w:val="0"/>
              <w:autoSpaceDN w:val="0"/>
              <w:adjustRightInd w:val="0"/>
              <w:rPr>
                <w:rFonts w:ascii="Times New Roman" w:hAnsi="Times New Roman" w:cs="Times New Roman"/>
                <w:sz w:val="22"/>
                <w:szCs w:val="22"/>
              </w:rPr>
            </w:pPr>
            <w:r w:rsidRPr="00FA100E">
              <w:rPr>
                <w:rFonts w:ascii="Times New Roman" w:hAnsi="Times New Roman" w:cs="Times New Roman"/>
                <w:sz w:val="22"/>
                <w:szCs w:val="22"/>
              </w:rPr>
              <w:t>P</w:t>
            </w:r>
            <w:r w:rsidR="007667E9" w:rsidRPr="00FA100E">
              <w:rPr>
                <w:rFonts w:ascii="Times New Roman" w:hAnsi="Times New Roman" w:cs="Times New Roman"/>
                <w:sz w:val="22"/>
                <w:szCs w:val="22"/>
              </w:rPr>
              <w:t>erception of health risks</w:t>
            </w:r>
          </w:p>
        </w:tc>
        <w:tc>
          <w:tcPr>
            <w:tcW w:w="1019" w:type="dxa"/>
          </w:tcPr>
          <w:p w14:paraId="6D298FFB" w14:textId="77777777" w:rsidR="007667E9" w:rsidRPr="00FA100E" w:rsidRDefault="007667E9" w:rsidP="007667E9">
            <w:pPr>
              <w:rPr>
                <w:rFonts w:ascii="Times New Roman" w:hAnsi="Times New Roman" w:cs="Times New Roman"/>
                <w:sz w:val="22"/>
                <w:szCs w:val="22"/>
              </w:rPr>
            </w:pPr>
            <w:r w:rsidRPr="00FA100E">
              <w:rPr>
                <w:rFonts w:ascii="Times New Roman" w:hAnsi="Times New Roman" w:cs="Times New Roman"/>
                <w:sz w:val="22"/>
                <w:szCs w:val="22"/>
              </w:rPr>
              <w:t>11,000</w:t>
            </w:r>
          </w:p>
        </w:tc>
        <w:tc>
          <w:tcPr>
            <w:tcW w:w="1238" w:type="dxa"/>
          </w:tcPr>
          <w:p w14:paraId="6E8590C2" w14:textId="5B90A172" w:rsidR="007667E9" w:rsidRPr="00FA100E" w:rsidRDefault="0064276D" w:rsidP="007667E9">
            <w:pPr>
              <w:rPr>
                <w:rFonts w:ascii="Times New Roman" w:hAnsi="Times New Roman" w:cs="Times New Roman"/>
                <w:sz w:val="22"/>
                <w:szCs w:val="22"/>
              </w:rPr>
            </w:pPr>
            <w:r w:rsidRPr="00FA100E">
              <w:rPr>
                <w:rFonts w:ascii="Times New Roman" w:hAnsi="Times New Roman" w:cs="Times New Roman"/>
                <w:sz w:val="22"/>
                <w:szCs w:val="22"/>
              </w:rPr>
              <w:t>O</w:t>
            </w:r>
            <w:r w:rsidR="007667E9" w:rsidRPr="00FA100E">
              <w:rPr>
                <w:rFonts w:ascii="Times New Roman" w:hAnsi="Times New Roman" w:cs="Times New Roman"/>
                <w:sz w:val="22"/>
                <w:szCs w:val="22"/>
              </w:rPr>
              <w:t>nline</w:t>
            </w:r>
          </w:p>
        </w:tc>
      </w:tr>
      <w:tr w:rsidR="00FA100E" w:rsidRPr="00FA100E" w14:paraId="658552BC" w14:textId="77777777" w:rsidTr="000C0411">
        <w:trPr>
          <w:trHeight w:val="1276"/>
        </w:trPr>
        <w:tc>
          <w:tcPr>
            <w:tcW w:w="2122" w:type="dxa"/>
          </w:tcPr>
          <w:p w14:paraId="51A62A0E" w14:textId="46000F07" w:rsidR="007667E9" w:rsidRPr="00FA100E" w:rsidRDefault="007667E9" w:rsidP="00C04E97">
            <w:pPr>
              <w:autoSpaceDE w:val="0"/>
              <w:autoSpaceDN w:val="0"/>
              <w:adjustRightInd w:val="0"/>
              <w:rPr>
                <w:rFonts w:ascii="Times New Roman" w:hAnsi="Times New Roman" w:cs="Times New Roman"/>
                <w:sz w:val="22"/>
                <w:szCs w:val="22"/>
              </w:rPr>
            </w:pPr>
            <w:r w:rsidRPr="00FA100E">
              <w:rPr>
                <w:rFonts w:ascii="Times New Roman" w:hAnsi="Times New Roman" w:cs="Times New Roman"/>
                <w:sz w:val="22"/>
                <w:szCs w:val="22"/>
              </w:rPr>
              <w:t>Canadian</w:t>
            </w:r>
            <w:r w:rsidR="00C04E97" w:rsidRPr="00FA100E">
              <w:rPr>
                <w:rFonts w:ascii="Times New Roman" w:hAnsi="Times New Roman" w:cs="Times New Roman"/>
                <w:sz w:val="22"/>
                <w:szCs w:val="22"/>
              </w:rPr>
              <w:t xml:space="preserve"> </w:t>
            </w:r>
            <w:r w:rsidRPr="00FA100E">
              <w:rPr>
                <w:rFonts w:ascii="Times New Roman" w:hAnsi="Times New Roman" w:cs="Times New Roman"/>
                <w:sz w:val="22"/>
                <w:szCs w:val="22"/>
              </w:rPr>
              <w:t>Student</w:t>
            </w:r>
            <w:r w:rsidR="00C04E97" w:rsidRPr="00FA100E">
              <w:rPr>
                <w:rFonts w:ascii="Times New Roman" w:hAnsi="Times New Roman" w:cs="Times New Roman"/>
                <w:sz w:val="22"/>
                <w:szCs w:val="22"/>
              </w:rPr>
              <w:t xml:space="preserve"> </w:t>
            </w:r>
            <w:r w:rsidRPr="00FA100E">
              <w:rPr>
                <w:rFonts w:ascii="Times New Roman" w:hAnsi="Times New Roman" w:cs="Times New Roman"/>
                <w:sz w:val="22"/>
                <w:szCs w:val="22"/>
              </w:rPr>
              <w:t>Tobacco,</w:t>
            </w:r>
            <w:r w:rsidR="00C04E97" w:rsidRPr="00FA100E">
              <w:rPr>
                <w:rFonts w:ascii="Times New Roman" w:hAnsi="Times New Roman" w:cs="Times New Roman"/>
                <w:sz w:val="22"/>
                <w:szCs w:val="22"/>
              </w:rPr>
              <w:t xml:space="preserve"> </w:t>
            </w:r>
            <w:r w:rsidRPr="00FA100E">
              <w:rPr>
                <w:rFonts w:ascii="Times New Roman" w:hAnsi="Times New Roman" w:cs="Times New Roman"/>
                <w:sz w:val="22"/>
                <w:szCs w:val="22"/>
              </w:rPr>
              <w:t>Alcohol and</w:t>
            </w:r>
            <w:r w:rsidR="00C04E97" w:rsidRPr="00FA100E">
              <w:rPr>
                <w:rFonts w:ascii="Times New Roman" w:hAnsi="Times New Roman" w:cs="Times New Roman"/>
                <w:sz w:val="22"/>
                <w:szCs w:val="22"/>
              </w:rPr>
              <w:t xml:space="preserve"> </w:t>
            </w:r>
            <w:r w:rsidRPr="00FA100E">
              <w:rPr>
                <w:rFonts w:ascii="Times New Roman" w:hAnsi="Times New Roman" w:cs="Times New Roman"/>
                <w:sz w:val="22"/>
                <w:szCs w:val="22"/>
              </w:rPr>
              <w:t>Drugs Survey</w:t>
            </w:r>
          </w:p>
        </w:tc>
        <w:tc>
          <w:tcPr>
            <w:tcW w:w="1343" w:type="dxa"/>
          </w:tcPr>
          <w:p w14:paraId="6EA8361F" w14:textId="4CFA713E" w:rsidR="007667E9" w:rsidRPr="00FA100E" w:rsidRDefault="007667E9" w:rsidP="007667E9">
            <w:pPr>
              <w:autoSpaceDE w:val="0"/>
              <w:autoSpaceDN w:val="0"/>
              <w:adjustRightInd w:val="0"/>
              <w:rPr>
                <w:rFonts w:ascii="Times New Roman" w:hAnsi="Times New Roman" w:cs="Times New Roman"/>
                <w:sz w:val="22"/>
                <w:szCs w:val="22"/>
              </w:rPr>
            </w:pPr>
            <w:r w:rsidRPr="00FA100E">
              <w:rPr>
                <w:rFonts w:ascii="Times New Roman" w:hAnsi="Times New Roman" w:cs="Times New Roman"/>
                <w:sz w:val="22"/>
                <w:szCs w:val="22"/>
              </w:rPr>
              <w:t>2014-15</w:t>
            </w:r>
          </w:p>
          <w:p w14:paraId="463137B3" w14:textId="614C7391" w:rsidR="007667E9" w:rsidRPr="00FA100E" w:rsidRDefault="007667E9" w:rsidP="007667E9">
            <w:pPr>
              <w:autoSpaceDE w:val="0"/>
              <w:autoSpaceDN w:val="0"/>
              <w:adjustRightInd w:val="0"/>
              <w:rPr>
                <w:rFonts w:ascii="Times New Roman" w:hAnsi="Times New Roman" w:cs="Times New Roman"/>
                <w:sz w:val="22"/>
                <w:szCs w:val="22"/>
              </w:rPr>
            </w:pPr>
            <w:r w:rsidRPr="00FA100E">
              <w:rPr>
                <w:rFonts w:ascii="Times New Roman" w:hAnsi="Times New Roman" w:cs="Times New Roman"/>
                <w:sz w:val="22"/>
                <w:szCs w:val="22"/>
              </w:rPr>
              <w:t>2016-17</w:t>
            </w:r>
          </w:p>
          <w:p w14:paraId="6932B25B" w14:textId="5B6C357A" w:rsidR="007667E9" w:rsidRPr="00FA100E" w:rsidRDefault="007667E9" w:rsidP="007667E9">
            <w:pPr>
              <w:rPr>
                <w:rFonts w:ascii="Times New Roman" w:hAnsi="Times New Roman" w:cs="Times New Roman"/>
                <w:sz w:val="22"/>
                <w:szCs w:val="22"/>
              </w:rPr>
            </w:pPr>
            <w:r w:rsidRPr="00FA100E">
              <w:rPr>
                <w:rFonts w:ascii="Times New Roman" w:hAnsi="Times New Roman" w:cs="Times New Roman"/>
                <w:sz w:val="22"/>
                <w:szCs w:val="22"/>
              </w:rPr>
              <w:t>2018-19</w:t>
            </w:r>
          </w:p>
        </w:tc>
        <w:tc>
          <w:tcPr>
            <w:tcW w:w="860" w:type="dxa"/>
          </w:tcPr>
          <w:p w14:paraId="58F12F37" w14:textId="77777777" w:rsidR="007667E9" w:rsidRPr="00FA100E" w:rsidRDefault="007667E9" w:rsidP="007667E9">
            <w:pPr>
              <w:rPr>
                <w:rFonts w:ascii="Times New Roman" w:hAnsi="Times New Roman" w:cs="Times New Roman"/>
                <w:sz w:val="22"/>
                <w:szCs w:val="22"/>
              </w:rPr>
            </w:pPr>
            <w:r w:rsidRPr="00FA100E">
              <w:rPr>
                <w:rFonts w:ascii="Times New Roman" w:hAnsi="Times New Roman" w:cs="Times New Roman"/>
                <w:sz w:val="22"/>
                <w:szCs w:val="22"/>
              </w:rPr>
              <w:t>12-18</w:t>
            </w:r>
          </w:p>
        </w:tc>
        <w:tc>
          <w:tcPr>
            <w:tcW w:w="3139" w:type="dxa"/>
          </w:tcPr>
          <w:p w14:paraId="37AD28DF" w14:textId="6336CFCE" w:rsidR="007667E9" w:rsidRPr="00FA100E" w:rsidRDefault="007667E9" w:rsidP="007667E9">
            <w:pPr>
              <w:autoSpaceDE w:val="0"/>
              <w:autoSpaceDN w:val="0"/>
              <w:adjustRightInd w:val="0"/>
              <w:rPr>
                <w:rFonts w:ascii="Times New Roman" w:hAnsi="Times New Roman" w:cs="Times New Roman"/>
                <w:sz w:val="22"/>
                <w:szCs w:val="22"/>
              </w:rPr>
            </w:pPr>
            <w:r w:rsidRPr="00FA100E">
              <w:rPr>
                <w:rFonts w:ascii="Times New Roman" w:hAnsi="Times New Roman" w:cs="Times New Roman"/>
                <w:sz w:val="22"/>
                <w:szCs w:val="22"/>
              </w:rPr>
              <w:t>Use in past 12 months</w:t>
            </w:r>
          </w:p>
          <w:p w14:paraId="0905CF54" w14:textId="37E76914" w:rsidR="007667E9" w:rsidRPr="00FA100E" w:rsidRDefault="0064276D" w:rsidP="007667E9">
            <w:pPr>
              <w:autoSpaceDE w:val="0"/>
              <w:autoSpaceDN w:val="0"/>
              <w:adjustRightInd w:val="0"/>
              <w:rPr>
                <w:rFonts w:ascii="Times New Roman" w:hAnsi="Times New Roman" w:cs="Times New Roman"/>
                <w:sz w:val="22"/>
                <w:szCs w:val="22"/>
              </w:rPr>
            </w:pPr>
            <w:r w:rsidRPr="00FA100E">
              <w:rPr>
                <w:rFonts w:ascii="Times New Roman" w:hAnsi="Times New Roman" w:cs="Times New Roman"/>
                <w:sz w:val="22"/>
                <w:szCs w:val="22"/>
              </w:rPr>
              <w:t>M</w:t>
            </w:r>
            <w:r w:rsidR="007667E9" w:rsidRPr="00FA100E">
              <w:rPr>
                <w:rFonts w:ascii="Times New Roman" w:hAnsi="Times New Roman" w:cs="Times New Roman"/>
                <w:sz w:val="22"/>
                <w:szCs w:val="22"/>
              </w:rPr>
              <w:t>ethod of us</w:t>
            </w:r>
            <w:r w:rsidR="004E4DD6" w:rsidRPr="00FA100E">
              <w:rPr>
                <w:rFonts w:ascii="Times New Roman" w:hAnsi="Times New Roman" w:cs="Times New Roman"/>
                <w:sz w:val="22"/>
                <w:szCs w:val="22"/>
              </w:rPr>
              <w:t>e</w:t>
            </w:r>
          </w:p>
          <w:p w14:paraId="3EEF749A" w14:textId="531B6964" w:rsidR="007667E9" w:rsidRPr="00FA100E" w:rsidRDefault="0064276D" w:rsidP="007667E9">
            <w:pPr>
              <w:autoSpaceDE w:val="0"/>
              <w:autoSpaceDN w:val="0"/>
              <w:adjustRightInd w:val="0"/>
              <w:rPr>
                <w:rFonts w:ascii="Times New Roman" w:hAnsi="Times New Roman" w:cs="Times New Roman"/>
                <w:sz w:val="22"/>
                <w:szCs w:val="22"/>
              </w:rPr>
            </w:pPr>
            <w:r w:rsidRPr="00FA100E">
              <w:rPr>
                <w:rFonts w:ascii="Times New Roman" w:hAnsi="Times New Roman" w:cs="Times New Roman"/>
                <w:sz w:val="22"/>
                <w:szCs w:val="22"/>
              </w:rPr>
              <w:t>P</w:t>
            </w:r>
            <w:r w:rsidR="007667E9" w:rsidRPr="00FA100E">
              <w:rPr>
                <w:rFonts w:ascii="Times New Roman" w:hAnsi="Times New Roman" w:cs="Times New Roman"/>
                <w:sz w:val="22"/>
                <w:szCs w:val="22"/>
              </w:rPr>
              <w:t>erceived health risks</w:t>
            </w:r>
          </w:p>
        </w:tc>
        <w:tc>
          <w:tcPr>
            <w:tcW w:w="1019" w:type="dxa"/>
          </w:tcPr>
          <w:p w14:paraId="0358FC6F" w14:textId="77777777" w:rsidR="007667E9" w:rsidRPr="00FA100E" w:rsidRDefault="007667E9" w:rsidP="007667E9">
            <w:pPr>
              <w:rPr>
                <w:rFonts w:ascii="Times New Roman" w:hAnsi="Times New Roman" w:cs="Times New Roman"/>
                <w:sz w:val="22"/>
                <w:szCs w:val="22"/>
              </w:rPr>
            </w:pPr>
            <w:r w:rsidRPr="00FA100E">
              <w:rPr>
                <w:rFonts w:ascii="Times New Roman" w:hAnsi="Times New Roman" w:cs="Times New Roman"/>
                <w:sz w:val="22"/>
                <w:szCs w:val="22"/>
              </w:rPr>
              <w:t>62,000</w:t>
            </w:r>
          </w:p>
        </w:tc>
        <w:tc>
          <w:tcPr>
            <w:tcW w:w="1238" w:type="dxa"/>
          </w:tcPr>
          <w:p w14:paraId="07D8E28E" w14:textId="4C64104D" w:rsidR="007667E9" w:rsidRPr="00FA100E" w:rsidRDefault="0064276D" w:rsidP="007667E9">
            <w:pPr>
              <w:rPr>
                <w:rFonts w:ascii="Times New Roman" w:hAnsi="Times New Roman" w:cs="Times New Roman"/>
                <w:sz w:val="22"/>
                <w:szCs w:val="22"/>
              </w:rPr>
            </w:pPr>
            <w:r w:rsidRPr="00FA100E">
              <w:rPr>
                <w:rFonts w:ascii="Times New Roman" w:hAnsi="Times New Roman" w:cs="Times New Roman"/>
                <w:sz w:val="22"/>
                <w:szCs w:val="22"/>
              </w:rPr>
              <w:t>P</w:t>
            </w:r>
            <w:r w:rsidR="007667E9" w:rsidRPr="00FA100E">
              <w:rPr>
                <w:rFonts w:ascii="Times New Roman" w:hAnsi="Times New Roman" w:cs="Times New Roman"/>
                <w:sz w:val="22"/>
                <w:szCs w:val="22"/>
              </w:rPr>
              <w:t>encil and paper and</w:t>
            </w:r>
          </w:p>
          <w:p w14:paraId="267805DA" w14:textId="77777777" w:rsidR="007667E9" w:rsidRPr="00FA100E" w:rsidRDefault="007667E9" w:rsidP="007667E9">
            <w:pPr>
              <w:rPr>
                <w:rFonts w:ascii="Times New Roman" w:hAnsi="Times New Roman" w:cs="Times New Roman"/>
                <w:sz w:val="22"/>
                <w:szCs w:val="22"/>
              </w:rPr>
            </w:pPr>
            <w:r w:rsidRPr="00FA100E">
              <w:rPr>
                <w:rFonts w:ascii="Times New Roman" w:hAnsi="Times New Roman" w:cs="Times New Roman"/>
                <w:sz w:val="22"/>
                <w:szCs w:val="22"/>
              </w:rPr>
              <w:t>interviews</w:t>
            </w:r>
          </w:p>
        </w:tc>
      </w:tr>
      <w:tr w:rsidR="00FA100E" w:rsidRPr="00FA100E" w14:paraId="3029ED29" w14:textId="77777777" w:rsidTr="000C0411">
        <w:trPr>
          <w:trHeight w:val="1777"/>
        </w:trPr>
        <w:tc>
          <w:tcPr>
            <w:tcW w:w="2122" w:type="dxa"/>
          </w:tcPr>
          <w:p w14:paraId="414C28DB" w14:textId="1CCE88DC" w:rsidR="007667E9" w:rsidRPr="00FA100E" w:rsidRDefault="007667E9" w:rsidP="00C04E97">
            <w:pPr>
              <w:autoSpaceDE w:val="0"/>
              <w:autoSpaceDN w:val="0"/>
              <w:adjustRightInd w:val="0"/>
              <w:rPr>
                <w:rFonts w:ascii="Times New Roman" w:hAnsi="Times New Roman" w:cs="Times New Roman"/>
                <w:sz w:val="22"/>
                <w:szCs w:val="22"/>
              </w:rPr>
            </w:pPr>
            <w:r w:rsidRPr="00FA100E">
              <w:rPr>
                <w:rFonts w:ascii="Times New Roman" w:hAnsi="Times New Roman" w:cs="Times New Roman"/>
                <w:sz w:val="22"/>
                <w:szCs w:val="22"/>
              </w:rPr>
              <w:t>International</w:t>
            </w:r>
            <w:r w:rsidR="00C04E97" w:rsidRPr="00FA100E">
              <w:rPr>
                <w:rFonts w:ascii="Times New Roman" w:hAnsi="Times New Roman" w:cs="Times New Roman"/>
                <w:sz w:val="22"/>
                <w:szCs w:val="22"/>
              </w:rPr>
              <w:t xml:space="preserve"> </w:t>
            </w:r>
            <w:r w:rsidRPr="00FA100E">
              <w:rPr>
                <w:rFonts w:ascii="Times New Roman" w:hAnsi="Times New Roman" w:cs="Times New Roman"/>
                <w:sz w:val="22"/>
                <w:szCs w:val="22"/>
              </w:rPr>
              <w:t>Cannabis</w:t>
            </w:r>
            <w:r w:rsidR="00C04E97" w:rsidRPr="00FA100E">
              <w:rPr>
                <w:rFonts w:ascii="Times New Roman" w:hAnsi="Times New Roman" w:cs="Times New Roman"/>
                <w:sz w:val="22"/>
                <w:szCs w:val="22"/>
              </w:rPr>
              <w:t xml:space="preserve"> </w:t>
            </w:r>
            <w:r w:rsidRPr="00FA100E">
              <w:rPr>
                <w:rFonts w:ascii="Times New Roman" w:hAnsi="Times New Roman" w:cs="Times New Roman"/>
                <w:sz w:val="22"/>
                <w:szCs w:val="22"/>
              </w:rPr>
              <w:t>Policy Study</w:t>
            </w:r>
          </w:p>
        </w:tc>
        <w:tc>
          <w:tcPr>
            <w:tcW w:w="1343" w:type="dxa"/>
          </w:tcPr>
          <w:p w14:paraId="21C826D0" w14:textId="77777777" w:rsidR="007667E9" w:rsidRPr="00FA100E" w:rsidRDefault="007667E9" w:rsidP="007667E9">
            <w:pPr>
              <w:rPr>
                <w:rFonts w:ascii="Times New Roman" w:hAnsi="Times New Roman" w:cs="Times New Roman"/>
                <w:sz w:val="22"/>
                <w:szCs w:val="22"/>
              </w:rPr>
            </w:pPr>
            <w:r w:rsidRPr="00FA100E">
              <w:rPr>
                <w:rFonts w:ascii="Times New Roman" w:hAnsi="Times New Roman" w:cs="Times New Roman"/>
                <w:sz w:val="22"/>
                <w:szCs w:val="22"/>
              </w:rPr>
              <w:t>Annually since 2018</w:t>
            </w:r>
          </w:p>
        </w:tc>
        <w:tc>
          <w:tcPr>
            <w:tcW w:w="860" w:type="dxa"/>
          </w:tcPr>
          <w:p w14:paraId="1685B775" w14:textId="77777777" w:rsidR="007667E9" w:rsidRPr="00FA100E" w:rsidRDefault="007667E9" w:rsidP="007667E9">
            <w:pPr>
              <w:rPr>
                <w:rFonts w:ascii="Times New Roman" w:hAnsi="Times New Roman" w:cs="Times New Roman"/>
                <w:sz w:val="22"/>
                <w:szCs w:val="22"/>
              </w:rPr>
            </w:pPr>
            <w:r w:rsidRPr="00FA100E">
              <w:rPr>
                <w:rFonts w:ascii="Times New Roman" w:hAnsi="Times New Roman" w:cs="Times New Roman"/>
                <w:sz w:val="22"/>
                <w:szCs w:val="22"/>
              </w:rPr>
              <w:t>16-65</w:t>
            </w:r>
          </w:p>
        </w:tc>
        <w:tc>
          <w:tcPr>
            <w:tcW w:w="3139" w:type="dxa"/>
          </w:tcPr>
          <w:p w14:paraId="22DBB855" w14:textId="77777777" w:rsidR="007667E9" w:rsidRPr="00FA100E" w:rsidRDefault="007667E9" w:rsidP="007667E9">
            <w:pPr>
              <w:autoSpaceDE w:val="0"/>
              <w:autoSpaceDN w:val="0"/>
              <w:adjustRightInd w:val="0"/>
              <w:rPr>
                <w:rFonts w:ascii="Times New Roman" w:hAnsi="Times New Roman" w:cs="Times New Roman"/>
                <w:sz w:val="22"/>
                <w:szCs w:val="22"/>
              </w:rPr>
            </w:pPr>
            <w:r w:rsidRPr="00FA100E">
              <w:rPr>
                <w:rFonts w:ascii="Times New Roman" w:hAnsi="Times New Roman" w:cs="Times New Roman"/>
                <w:sz w:val="22"/>
                <w:szCs w:val="22"/>
              </w:rPr>
              <w:t>Use within different</w:t>
            </w:r>
          </w:p>
          <w:p w14:paraId="623B4A87" w14:textId="1394D799" w:rsidR="007667E9" w:rsidRPr="00FA100E" w:rsidRDefault="007667E9" w:rsidP="007667E9">
            <w:pPr>
              <w:autoSpaceDE w:val="0"/>
              <w:autoSpaceDN w:val="0"/>
              <w:adjustRightInd w:val="0"/>
              <w:rPr>
                <w:rFonts w:ascii="Times New Roman" w:hAnsi="Times New Roman" w:cs="Times New Roman"/>
                <w:sz w:val="22"/>
                <w:szCs w:val="22"/>
              </w:rPr>
            </w:pPr>
            <w:r w:rsidRPr="00FA100E">
              <w:rPr>
                <w:rFonts w:ascii="Times New Roman" w:hAnsi="Times New Roman" w:cs="Times New Roman"/>
                <w:sz w:val="22"/>
                <w:szCs w:val="22"/>
              </w:rPr>
              <w:t>time periods</w:t>
            </w:r>
          </w:p>
          <w:p w14:paraId="17A6F8FC" w14:textId="29738D1F" w:rsidR="007667E9" w:rsidRPr="00FA100E" w:rsidRDefault="0064276D" w:rsidP="007667E9">
            <w:pPr>
              <w:autoSpaceDE w:val="0"/>
              <w:autoSpaceDN w:val="0"/>
              <w:adjustRightInd w:val="0"/>
              <w:rPr>
                <w:rFonts w:ascii="Times New Roman" w:hAnsi="Times New Roman" w:cs="Times New Roman"/>
                <w:sz w:val="22"/>
                <w:szCs w:val="22"/>
              </w:rPr>
            </w:pPr>
            <w:r w:rsidRPr="00FA100E">
              <w:rPr>
                <w:rFonts w:ascii="Times New Roman" w:hAnsi="Times New Roman" w:cs="Times New Roman"/>
                <w:sz w:val="22"/>
                <w:szCs w:val="22"/>
              </w:rPr>
              <w:t>M</w:t>
            </w:r>
            <w:r w:rsidR="007667E9" w:rsidRPr="00FA100E">
              <w:rPr>
                <w:rFonts w:ascii="Times New Roman" w:hAnsi="Times New Roman" w:cs="Times New Roman"/>
                <w:sz w:val="22"/>
                <w:szCs w:val="22"/>
              </w:rPr>
              <w:t>ethods of use</w:t>
            </w:r>
          </w:p>
          <w:p w14:paraId="7BAA8A26" w14:textId="0C55E2CE" w:rsidR="007667E9" w:rsidRPr="00FA100E" w:rsidRDefault="0064276D" w:rsidP="007667E9">
            <w:pPr>
              <w:autoSpaceDE w:val="0"/>
              <w:autoSpaceDN w:val="0"/>
              <w:adjustRightInd w:val="0"/>
              <w:rPr>
                <w:rFonts w:ascii="Times New Roman" w:hAnsi="Times New Roman" w:cs="Times New Roman"/>
                <w:sz w:val="22"/>
                <w:szCs w:val="22"/>
              </w:rPr>
            </w:pPr>
            <w:r w:rsidRPr="00FA100E">
              <w:rPr>
                <w:rFonts w:ascii="Times New Roman" w:hAnsi="Times New Roman" w:cs="Times New Roman"/>
                <w:sz w:val="22"/>
                <w:szCs w:val="22"/>
              </w:rPr>
              <w:t>Q</w:t>
            </w:r>
            <w:r w:rsidR="007667E9" w:rsidRPr="00FA100E">
              <w:rPr>
                <w:rFonts w:ascii="Times New Roman" w:hAnsi="Times New Roman" w:cs="Times New Roman"/>
                <w:sz w:val="22"/>
                <w:szCs w:val="22"/>
              </w:rPr>
              <w:t>uantity used</w:t>
            </w:r>
          </w:p>
          <w:p w14:paraId="5882D342" w14:textId="1ADEBF6E" w:rsidR="007667E9" w:rsidRPr="00FA100E" w:rsidRDefault="007667E9" w:rsidP="007667E9">
            <w:pPr>
              <w:autoSpaceDE w:val="0"/>
              <w:autoSpaceDN w:val="0"/>
              <w:adjustRightInd w:val="0"/>
              <w:rPr>
                <w:rFonts w:ascii="Times New Roman" w:hAnsi="Times New Roman" w:cs="Times New Roman"/>
                <w:sz w:val="22"/>
                <w:szCs w:val="22"/>
              </w:rPr>
            </w:pPr>
            <w:r w:rsidRPr="00FA100E">
              <w:rPr>
                <w:rFonts w:ascii="Times New Roman" w:hAnsi="Times New Roman" w:cs="Times New Roman"/>
                <w:sz w:val="22"/>
                <w:szCs w:val="22"/>
              </w:rPr>
              <w:t>Daily or near daily use</w:t>
            </w:r>
          </w:p>
          <w:p w14:paraId="2DEF63C5" w14:textId="700214A4" w:rsidR="007667E9" w:rsidRPr="00FA100E" w:rsidRDefault="0064276D" w:rsidP="007667E9">
            <w:pPr>
              <w:autoSpaceDE w:val="0"/>
              <w:autoSpaceDN w:val="0"/>
              <w:adjustRightInd w:val="0"/>
              <w:rPr>
                <w:rFonts w:ascii="Times New Roman" w:hAnsi="Times New Roman" w:cs="Times New Roman"/>
                <w:sz w:val="22"/>
                <w:szCs w:val="22"/>
              </w:rPr>
            </w:pPr>
            <w:r w:rsidRPr="00FA100E">
              <w:rPr>
                <w:rFonts w:ascii="Times New Roman" w:hAnsi="Times New Roman" w:cs="Times New Roman"/>
                <w:sz w:val="22"/>
                <w:szCs w:val="22"/>
              </w:rPr>
              <w:t>C</w:t>
            </w:r>
            <w:r w:rsidR="007667E9" w:rsidRPr="00FA100E">
              <w:rPr>
                <w:rFonts w:ascii="Times New Roman" w:hAnsi="Times New Roman" w:cs="Times New Roman"/>
                <w:sz w:val="22"/>
                <w:szCs w:val="22"/>
              </w:rPr>
              <w:t>annabis-impaired driving</w:t>
            </w:r>
          </w:p>
          <w:p w14:paraId="53D33968" w14:textId="1CABBAF1" w:rsidR="007667E9" w:rsidRPr="00FA100E" w:rsidRDefault="0064276D" w:rsidP="007667E9">
            <w:pPr>
              <w:autoSpaceDE w:val="0"/>
              <w:autoSpaceDN w:val="0"/>
              <w:adjustRightInd w:val="0"/>
              <w:rPr>
                <w:rFonts w:ascii="Times New Roman" w:hAnsi="Times New Roman" w:cs="Times New Roman"/>
                <w:sz w:val="22"/>
                <w:szCs w:val="22"/>
              </w:rPr>
            </w:pPr>
            <w:r w:rsidRPr="00FA100E">
              <w:rPr>
                <w:rFonts w:ascii="Times New Roman" w:hAnsi="Times New Roman" w:cs="Times New Roman"/>
                <w:sz w:val="22"/>
                <w:szCs w:val="22"/>
              </w:rPr>
              <w:t>S</w:t>
            </w:r>
            <w:r w:rsidR="007667E9" w:rsidRPr="00FA100E">
              <w:rPr>
                <w:rFonts w:ascii="Times New Roman" w:hAnsi="Times New Roman" w:cs="Times New Roman"/>
                <w:sz w:val="22"/>
                <w:szCs w:val="22"/>
              </w:rPr>
              <w:t>ources of cannabis</w:t>
            </w:r>
          </w:p>
        </w:tc>
        <w:tc>
          <w:tcPr>
            <w:tcW w:w="1019" w:type="dxa"/>
          </w:tcPr>
          <w:p w14:paraId="694E3780" w14:textId="77777777" w:rsidR="007667E9" w:rsidRPr="00FA100E" w:rsidRDefault="007667E9" w:rsidP="007667E9">
            <w:pPr>
              <w:rPr>
                <w:rFonts w:ascii="Times New Roman" w:hAnsi="Times New Roman" w:cs="Times New Roman"/>
                <w:sz w:val="22"/>
                <w:szCs w:val="22"/>
              </w:rPr>
            </w:pPr>
            <w:r w:rsidRPr="00FA100E">
              <w:rPr>
                <w:rFonts w:ascii="Times New Roman" w:hAnsi="Times New Roman" w:cs="Times New Roman"/>
                <w:sz w:val="22"/>
                <w:szCs w:val="22"/>
              </w:rPr>
              <w:t>10,000-15,000</w:t>
            </w:r>
          </w:p>
        </w:tc>
        <w:tc>
          <w:tcPr>
            <w:tcW w:w="1238" w:type="dxa"/>
          </w:tcPr>
          <w:p w14:paraId="78B418D7" w14:textId="77777777" w:rsidR="007667E9" w:rsidRPr="00FA100E" w:rsidRDefault="007667E9" w:rsidP="007667E9">
            <w:pPr>
              <w:rPr>
                <w:rFonts w:ascii="Times New Roman" w:hAnsi="Times New Roman" w:cs="Times New Roman"/>
                <w:sz w:val="22"/>
                <w:szCs w:val="22"/>
              </w:rPr>
            </w:pPr>
            <w:r w:rsidRPr="00FA100E">
              <w:rPr>
                <w:rFonts w:ascii="Times New Roman" w:hAnsi="Times New Roman" w:cs="Times New Roman"/>
                <w:sz w:val="22"/>
                <w:szCs w:val="22"/>
              </w:rPr>
              <w:t>Online</w:t>
            </w:r>
          </w:p>
        </w:tc>
      </w:tr>
    </w:tbl>
    <w:p w14:paraId="3757E95A" w14:textId="544C034D" w:rsidR="001244A8" w:rsidRPr="00FA100E" w:rsidRDefault="005A3A2F" w:rsidP="00844B84">
      <w:pPr>
        <w:autoSpaceDE w:val="0"/>
        <w:autoSpaceDN w:val="0"/>
        <w:adjustRightInd w:val="0"/>
        <w:spacing w:after="0" w:line="240" w:lineRule="auto"/>
        <w:rPr>
          <w:rFonts w:asciiTheme="minorHAnsi" w:hAnsiTheme="minorHAnsi" w:cstheme="minorBidi"/>
          <w:sz w:val="22"/>
          <w:szCs w:val="22"/>
        </w:rPr>
      </w:pPr>
      <w:r w:rsidRPr="00FA100E">
        <w:rPr>
          <w:rFonts w:ascii="Times New Roman" w:hAnsi="Times New Roman" w:cs="Times New Roman"/>
          <w:sz w:val="22"/>
          <w:szCs w:val="22"/>
        </w:rPr>
        <w:t xml:space="preserve">Note. </w:t>
      </w:r>
      <w:r w:rsidR="002C2FB3" w:rsidRPr="00FA100E">
        <w:rPr>
          <w:rFonts w:ascii="Times New Roman" w:hAnsi="Times New Roman" w:cs="Times New Roman"/>
          <w:sz w:val="22"/>
          <w:szCs w:val="22"/>
        </w:rPr>
        <w:t>Pre-legalization: before 17 Oct 2018</w:t>
      </w:r>
      <w:r w:rsidRPr="00FA100E">
        <w:rPr>
          <w:rFonts w:ascii="Times New Roman" w:hAnsi="Times New Roman" w:cs="Times New Roman"/>
          <w:sz w:val="22"/>
          <w:szCs w:val="22"/>
        </w:rPr>
        <w:t xml:space="preserve">, </w:t>
      </w:r>
      <w:r w:rsidR="002C2FB3" w:rsidRPr="00FA100E">
        <w:rPr>
          <w:rFonts w:ascii="Times New Roman" w:hAnsi="Times New Roman" w:cs="Times New Roman"/>
          <w:sz w:val="22"/>
          <w:szCs w:val="22"/>
        </w:rPr>
        <w:t>Phase 1 / peri-legalization: 17 Oct 2018</w:t>
      </w:r>
      <w:r w:rsidRPr="00FA100E">
        <w:rPr>
          <w:rFonts w:ascii="Times New Roman" w:hAnsi="Times New Roman" w:cs="Times New Roman"/>
          <w:sz w:val="22"/>
          <w:szCs w:val="22"/>
        </w:rPr>
        <w:t xml:space="preserve"> – 16 Oct 2019, </w:t>
      </w:r>
      <w:r w:rsidR="002C2FB3" w:rsidRPr="00FA100E">
        <w:rPr>
          <w:rFonts w:ascii="Times New Roman" w:hAnsi="Times New Roman" w:cs="Times New Roman"/>
          <w:sz w:val="22"/>
          <w:szCs w:val="22"/>
        </w:rPr>
        <w:t>Phase 2 / post-legalization: 17 Oct 2019 onwards</w:t>
      </w:r>
      <w:r w:rsidR="001244A8" w:rsidRPr="00FA100E">
        <w:rPr>
          <w:rFonts w:asciiTheme="minorHAnsi" w:hAnsiTheme="minorHAnsi" w:cstheme="minorBidi"/>
          <w:sz w:val="22"/>
          <w:szCs w:val="22"/>
        </w:rPr>
        <w:br w:type="page"/>
      </w:r>
    </w:p>
    <w:p w14:paraId="51D7D01A" w14:textId="400C3D84" w:rsidR="007667E9" w:rsidRPr="00FA100E" w:rsidRDefault="001244A8" w:rsidP="007711FC">
      <w:pPr>
        <w:pStyle w:val="Heading1"/>
      </w:pPr>
      <w:bookmarkStart w:id="11" w:name="_Toc128412288"/>
      <w:r w:rsidRPr="00FA100E">
        <w:t>S3. Search string used</w:t>
      </w:r>
      <w:r w:rsidR="007711FC" w:rsidRPr="00FA100E">
        <w:t xml:space="preserve"> in systematic review of the public health impacts of cannabis legalisation in Canada</w:t>
      </w:r>
      <w:bookmarkEnd w:id="11"/>
    </w:p>
    <w:p w14:paraId="21F2B20B" w14:textId="043F289D" w:rsidR="00710CB5" w:rsidRPr="00FA100E" w:rsidRDefault="007711FC" w:rsidP="007667E9">
      <w:pPr>
        <w:rPr>
          <w:rFonts w:asciiTheme="minorHAnsi" w:hAnsiTheme="minorHAnsi" w:cstheme="minorBidi"/>
          <w:sz w:val="22"/>
          <w:szCs w:val="22"/>
        </w:rPr>
      </w:pPr>
      <w:r w:rsidRPr="00FA100E">
        <w:rPr>
          <w:rFonts w:asciiTheme="minorHAnsi" w:hAnsiTheme="minorHAnsi" w:cstheme="minorBidi"/>
          <w:sz w:val="22"/>
          <w:szCs w:val="22"/>
        </w:rPr>
        <w:t>(accidents, traffic [MeSH Terms] OR cannabis-impaired drivers [Title/Abstract] OR cannabis-impaired driving [Title/Abstract] OR cannabis-intoxicated drivers [Title/Abstract] OR cannabis-intoxicated driving [Title/Abstract] OR Motor vehicle accident* [Title/Abstract] OR MVA [Title/Abstract] OR MVAs [Title/Abstract] OR car crash*[tiab] OR car accident*[tiab] OR motor vehicle crash*[tiab] OR traffic crash*[tiab] OR traffic accident*[tiab] OR fatal* [Title/Abstract] OR injur* [Title/Abstract] OR Death, Sudden, Cardiac [MeSH Terms] OR Drug-Related Side Effects and Adverse Reactions [MeSH Terms] OR Emergency Service, Hospital [MeSH Terms] OR Hospitalization [MeSH Terms] OR Hyperemesis Gravidarum [MeSH Terms] OR Neoplasms [MeSH Terms] OR Poisoning [MeSH Terms] OR Residential Treatment [MeSH Terms] OR Substance Abuse Treatment Centers [MeSH Terms] OR Pregnancy Outcome [MeSH Terms] OR Vomiting [MeSH Terms]) AND (Canada [MeSH Terms] OR Canada [Title/Abstract]) AND (legalisation [Title/Abstract] OR legalization [Title/Abstract] OR legislation [Title/Abstract] OR decriminalization [Title/Abstract] OR decriminalisation [Title/Abstract] OR Medical marijuana laws [Title/Abstract] OR Medical marijuana law [Title/Abstract] OR MML [Title/Abstract] OR MMLs[Title/Abstract] OR medical cannabis laws [Title/Abstract] OR medical cannabis laws [Title/Abstract] OR policy [Title/Abstract] OR policies [Title/Abstract] OR regulation [Title/Abstract] OR regulations [Title/Abstract] OR Legislation as Topic [MeSH Terms] OR Legislation, Medical [MeSH Terms] OR Jurisprudence [MeSH Terms] OR Legislation, Drug [MeSH Terms] OR Government Regulation [MeSH Terms]) AND (cannabis[Title/Abstract] OR marijuana[Title/Abstract] OR Cannabis[MeSH Terms] OR Marijuana Use[MeSH Terms] OR Medical Marijuana[MeSH Terms])</w:t>
      </w:r>
    </w:p>
    <w:p w14:paraId="0605AE95" w14:textId="77777777" w:rsidR="00710CB5" w:rsidRPr="00FA100E" w:rsidRDefault="00710CB5">
      <w:pPr>
        <w:rPr>
          <w:rFonts w:asciiTheme="minorHAnsi" w:hAnsiTheme="minorHAnsi" w:cstheme="minorBidi"/>
          <w:sz w:val="22"/>
          <w:szCs w:val="22"/>
        </w:rPr>
      </w:pPr>
      <w:r w:rsidRPr="00FA100E">
        <w:rPr>
          <w:rFonts w:asciiTheme="minorHAnsi" w:hAnsiTheme="minorHAnsi" w:cstheme="minorBidi"/>
          <w:sz w:val="22"/>
          <w:szCs w:val="22"/>
        </w:rPr>
        <w:br w:type="page"/>
      </w:r>
    </w:p>
    <w:p w14:paraId="2491B0FA" w14:textId="21E0331C" w:rsidR="007711FC" w:rsidRPr="00FA100E" w:rsidRDefault="00710CB5" w:rsidP="00F35B85">
      <w:pPr>
        <w:pStyle w:val="Heading1"/>
      </w:pPr>
      <w:bookmarkStart w:id="12" w:name="_Toc128412289"/>
      <w:r w:rsidRPr="00FA100E">
        <w:t xml:space="preserve">S4. </w:t>
      </w:r>
      <w:r w:rsidR="00F35B85" w:rsidRPr="00FA100E">
        <w:t>PRISMA 2020 flow diagram for</w:t>
      </w:r>
      <w:r w:rsidR="00E87B4A" w:rsidRPr="00FA100E">
        <w:t xml:space="preserve"> the</w:t>
      </w:r>
      <w:r w:rsidR="00F35B85" w:rsidRPr="00FA100E">
        <w:t xml:space="preserve"> systematic </w:t>
      </w:r>
      <w:r w:rsidR="002E7E7D" w:rsidRPr="00FA100E">
        <w:t>search</w:t>
      </w:r>
      <w:bookmarkEnd w:id="12"/>
    </w:p>
    <w:p w14:paraId="4F0A7730" w14:textId="194A7243" w:rsidR="00F35B85" w:rsidRPr="00FA100E" w:rsidRDefault="008703C5" w:rsidP="00BD6362">
      <w:pPr>
        <w:pStyle w:val="Body"/>
      </w:pPr>
      <w:r w:rsidRPr="00FA100E">
        <w:rPr>
          <w:noProof/>
        </w:rPr>
        <w:drawing>
          <wp:inline distT="0" distB="0" distL="0" distR="0" wp14:anchorId="0749E381" wp14:editId="580E3693">
            <wp:extent cx="5731510" cy="597090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31510" cy="5970905"/>
                    </a:xfrm>
                    <a:prstGeom prst="rect">
                      <a:avLst/>
                    </a:prstGeom>
                  </pic:spPr>
                </pic:pic>
              </a:graphicData>
            </a:graphic>
          </wp:inline>
        </w:drawing>
      </w:r>
    </w:p>
    <w:p w14:paraId="27ECC0AB" w14:textId="5D7B859F" w:rsidR="003912CC" w:rsidRPr="00FA100E" w:rsidRDefault="002A2594" w:rsidP="002A2594">
      <w:pPr>
        <w:pStyle w:val="Heading2"/>
      </w:pPr>
      <w:r w:rsidRPr="00FA100E">
        <w:t>Figure S4. Flow diagram on identification of studies vias database and supplementary search</w:t>
      </w:r>
    </w:p>
    <w:p w14:paraId="7DC5ED1A" w14:textId="77777777" w:rsidR="00170584" w:rsidRPr="00FA100E" w:rsidRDefault="003912CC">
      <w:r w:rsidRPr="00FA100E">
        <w:br w:type="page"/>
      </w:r>
    </w:p>
    <w:p w14:paraId="63DACB32" w14:textId="0E5601AF" w:rsidR="00170584" w:rsidRPr="00FA100E" w:rsidRDefault="00170584" w:rsidP="004C4998">
      <w:pPr>
        <w:pStyle w:val="Heading1"/>
      </w:pPr>
      <w:bookmarkStart w:id="13" w:name="_Toc128412290"/>
      <w:r w:rsidRPr="00FA100E">
        <w:t>S5</w:t>
      </w:r>
      <w:r w:rsidR="004C4998" w:rsidRPr="00FA100E">
        <w:t xml:space="preserve">. </w:t>
      </w:r>
      <w:r w:rsidR="00A41029" w:rsidRPr="00FA100E">
        <w:t>Cannabis-related arrests</w:t>
      </w:r>
      <w:bookmarkEnd w:id="13"/>
    </w:p>
    <w:p w14:paraId="3AE6D067" w14:textId="77777777" w:rsidR="003912CC" w:rsidRPr="00FA100E" w:rsidRDefault="003912CC">
      <w:pPr>
        <w:rPr>
          <w:b/>
          <w:i/>
        </w:rPr>
      </w:pPr>
    </w:p>
    <w:p w14:paraId="13434B11" w14:textId="77777777" w:rsidR="003912CC" w:rsidRPr="00FA100E" w:rsidRDefault="003912CC" w:rsidP="003912CC">
      <w:r w:rsidRPr="00FA100E">
        <w:rPr>
          <w:rFonts w:ascii="Times New Roman" w:hAnsi="Times New Roman"/>
          <w:noProof/>
        </w:rPr>
        <w:drawing>
          <wp:inline distT="0" distB="0" distL="0" distR="0" wp14:anchorId="33CE1A70" wp14:editId="04D8F91B">
            <wp:extent cx="5115560" cy="4107297"/>
            <wp:effectExtent l="0" t="0" r="8890" b="7620"/>
            <wp:docPr id="3" name="Picture 3"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hart, line chart&#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5120287" cy="4111092"/>
                    </a:xfrm>
                    <a:prstGeom prst="rect">
                      <a:avLst/>
                    </a:prstGeom>
                  </pic:spPr>
                </pic:pic>
              </a:graphicData>
            </a:graphic>
          </wp:inline>
        </w:drawing>
      </w:r>
    </w:p>
    <w:p w14:paraId="17A38326" w14:textId="559490B4" w:rsidR="003912CC" w:rsidRPr="00FA100E" w:rsidRDefault="003912CC" w:rsidP="003912CC">
      <w:pPr>
        <w:pStyle w:val="Heading2"/>
      </w:pPr>
      <w:r w:rsidRPr="00FA100E">
        <w:t xml:space="preserve">Figure </w:t>
      </w:r>
      <w:r w:rsidR="004C4998" w:rsidRPr="00FA100E">
        <w:t>S5</w:t>
      </w:r>
      <w:r w:rsidRPr="00FA100E">
        <w:t>. Police-reported drug offences per 100,000 population for cannabis, cocaine, and other drugs. Data provided by Moreau and colleagues</w:t>
      </w:r>
      <w:r w:rsidR="00FB5C54" w:rsidRPr="00FA100E">
        <w:t xml:space="preserve"> (14)</w:t>
      </w:r>
      <w:r w:rsidRPr="00FA100E">
        <w:t>.</w:t>
      </w:r>
    </w:p>
    <w:p w14:paraId="76EB1694" w14:textId="77777777" w:rsidR="003912CC" w:rsidRPr="00FA100E" w:rsidRDefault="003912CC" w:rsidP="003912CC">
      <w:pPr>
        <w:pStyle w:val="Figurecaption"/>
      </w:pPr>
      <w:r w:rsidRPr="00FA100E">
        <w:rPr>
          <w:b/>
        </w:rPr>
        <w:t>N.B.</w:t>
      </w:r>
      <w:r w:rsidRPr="00FA100E">
        <w:t xml:space="preserve"> </w:t>
      </w:r>
      <w:r w:rsidRPr="00FA100E">
        <w:rPr>
          <w:vertAlign w:val="superscript"/>
        </w:rPr>
        <w:t>1</w:t>
      </w:r>
      <w:r w:rsidRPr="00FA100E">
        <w:t xml:space="preserve">Cannabis offences include those that fall under the </w:t>
      </w:r>
      <w:r w:rsidRPr="00FA100E">
        <w:rPr>
          <w:i/>
        </w:rPr>
        <w:t>Controlled Drugs and Substances Act</w:t>
      </w:r>
      <w:r w:rsidRPr="00FA100E">
        <w:t xml:space="preserve"> prior to 17 October 2018. Following 17 October 2018 cannabis offences include those falling under the </w:t>
      </w:r>
      <w:r w:rsidRPr="00FA100E">
        <w:rPr>
          <w:i/>
        </w:rPr>
        <w:t>Cannabis Act</w:t>
      </w:r>
      <w:r w:rsidRPr="00FA100E">
        <w:t>. Offences include possession, trafficking, importation or exportation, production, distribution, sale and “other” cannabis violations.</w:t>
      </w:r>
      <w:r w:rsidRPr="00FA100E">
        <w:br/>
      </w:r>
      <w:r w:rsidRPr="00FA100E">
        <w:rPr>
          <w:vertAlign w:val="superscript"/>
        </w:rPr>
        <w:t>2</w:t>
      </w:r>
      <w:r w:rsidRPr="00FA100E">
        <w:t>Offences include possession, trafficking, production, importation and exportation.</w:t>
      </w:r>
      <w:r w:rsidRPr="00FA100E">
        <w:br/>
      </w:r>
      <w:r w:rsidRPr="00FA100E">
        <w:rPr>
          <w:vertAlign w:val="superscript"/>
        </w:rPr>
        <w:t>3</w:t>
      </w:r>
      <w:r w:rsidRPr="00FA100E">
        <w:t>Other drugs includes heroin, methamphetamines (including crystal), methylenedioxyamphetamine (MDMA or ecstasy), opioids (including fentanyl but excluding heroin) and other controlled drugs and substances, as well as possession of precursors and equipment.</w:t>
      </w:r>
    </w:p>
    <w:p w14:paraId="47C39585" w14:textId="4192E4A4" w:rsidR="00A41029" w:rsidRPr="00FA100E" w:rsidRDefault="00A41029">
      <w:r w:rsidRPr="00FA100E">
        <w:br w:type="page"/>
      </w:r>
    </w:p>
    <w:p w14:paraId="3B5A3F8B" w14:textId="0105A5CA" w:rsidR="003912CC" w:rsidRPr="00FA100E" w:rsidRDefault="00A41029" w:rsidP="00485BBB">
      <w:pPr>
        <w:pStyle w:val="Heading1"/>
      </w:pPr>
      <w:bookmarkStart w:id="14" w:name="_Toc128412291"/>
      <w:r w:rsidRPr="00FA100E">
        <w:t>S6. Cannabis prices and markets</w:t>
      </w:r>
      <w:bookmarkEnd w:id="14"/>
    </w:p>
    <w:p w14:paraId="354BF91E" w14:textId="77777777" w:rsidR="003912CC" w:rsidRPr="00FA100E" w:rsidRDefault="003912CC" w:rsidP="003912CC">
      <w:pPr>
        <w:rPr>
          <w:rFonts w:ascii="Times New Roman" w:hAnsi="Times New Roman"/>
          <w:highlight w:val="yellow"/>
        </w:rPr>
      </w:pPr>
      <w:r w:rsidRPr="00FA100E">
        <w:rPr>
          <w:rFonts w:ascii="Times New Roman" w:hAnsi="Times New Roman"/>
          <w:noProof/>
        </w:rPr>
        <w:drawing>
          <wp:inline distT="0" distB="0" distL="0" distR="0" wp14:anchorId="16288650" wp14:editId="1DAA2404">
            <wp:extent cx="4306343" cy="3457575"/>
            <wp:effectExtent l="0" t="0" r="0" b="0"/>
            <wp:docPr id="4" name="Picture 4"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hart, line chart&#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318513" cy="3467346"/>
                    </a:xfrm>
                    <a:prstGeom prst="rect">
                      <a:avLst/>
                    </a:prstGeom>
                  </pic:spPr>
                </pic:pic>
              </a:graphicData>
            </a:graphic>
          </wp:inline>
        </w:drawing>
      </w:r>
    </w:p>
    <w:p w14:paraId="3EA0B9A8" w14:textId="77777777" w:rsidR="003912CC" w:rsidRPr="00FA100E" w:rsidRDefault="003912CC" w:rsidP="003912CC">
      <w:pPr>
        <w:jc w:val="both"/>
      </w:pPr>
      <w:r w:rsidRPr="00FA100E">
        <w:rPr>
          <w:noProof/>
        </w:rPr>
        <w:drawing>
          <wp:inline distT="0" distB="0" distL="0" distR="0" wp14:anchorId="673AEE57" wp14:editId="586186BD">
            <wp:extent cx="4247027" cy="3409950"/>
            <wp:effectExtent l="0" t="0" r="1270" b="0"/>
            <wp:docPr id="6" name="Picture 6"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hart, line chart&#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251028" cy="3413163"/>
                    </a:xfrm>
                    <a:prstGeom prst="rect">
                      <a:avLst/>
                    </a:prstGeom>
                  </pic:spPr>
                </pic:pic>
              </a:graphicData>
            </a:graphic>
          </wp:inline>
        </w:drawing>
      </w:r>
    </w:p>
    <w:p w14:paraId="36FF3FFE" w14:textId="74BDAE59" w:rsidR="003912CC" w:rsidRPr="00FA100E" w:rsidRDefault="003912CC" w:rsidP="003912CC">
      <w:pPr>
        <w:pStyle w:val="Heading2"/>
      </w:pPr>
      <w:r w:rsidRPr="00FA100E">
        <w:t xml:space="preserve">Figure </w:t>
      </w:r>
      <w:r w:rsidR="00485BBB" w:rsidRPr="00FA100E">
        <w:t>S6.1</w:t>
      </w:r>
      <w:r w:rsidRPr="00FA100E">
        <w:t xml:space="preserve">. Cumulative number of legal cannabis stores (top) and cannabis sales (bottom) by jurisdiction. Data provided by </w:t>
      </w:r>
      <w:r w:rsidR="006B058E" w:rsidRPr="00FA100E">
        <w:t xml:space="preserve">Roterman </w:t>
      </w:r>
      <w:r w:rsidR="00FB5C54" w:rsidRPr="00FA100E">
        <w:t>(16)</w:t>
      </w:r>
      <w:r w:rsidRPr="00FA100E">
        <w:t>.</w:t>
      </w:r>
    </w:p>
    <w:p w14:paraId="2EC69E24" w14:textId="14598BAC" w:rsidR="00721259" w:rsidRPr="00FA100E" w:rsidRDefault="003912CC" w:rsidP="005A3A21">
      <w:pPr>
        <w:spacing w:line="240" w:lineRule="auto"/>
        <w:rPr>
          <w:rFonts w:ascii="Times New Roman" w:hAnsi="Times New Roman"/>
        </w:rPr>
      </w:pPr>
      <w:r w:rsidRPr="00FA100E">
        <w:rPr>
          <w:rFonts w:ascii="Times New Roman" w:hAnsi="Times New Roman"/>
        </w:rPr>
        <w:t>Note: Yukon and Northwest Territories are combined when reporting the number of legal cannabis stores (top).</w:t>
      </w:r>
      <w:r w:rsidR="006956E7" w:rsidRPr="00FA100E">
        <w:rPr>
          <w:rFonts w:ascii="Times New Roman" w:hAnsi="Times New Roman"/>
        </w:rPr>
        <w:t xml:space="preserve"> </w:t>
      </w:r>
      <w:r w:rsidR="00721259" w:rsidRPr="00FA100E">
        <w:rPr>
          <w:rFonts w:ascii="Times New Roman" w:hAnsi="Times New Roman"/>
        </w:rPr>
        <w:t>Pre-legalization: before 17 Oct 2018, Phase 1 / peri-legalization: 17 Oct 2018 – 16 Oct 2019, Phase 2 / post-legalization: 17 Oct 2019 onwards</w:t>
      </w:r>
      <w:r w:rsidR="006956E7" w:rsidRPr="00FA100E">
        <w:rPr>
          <w:rFonts w:ascii="Times New Roman" w:hAnsi="Times New Roman"/>
        </w:rPr>
        <w:t xml:space="preserve">. </w:t>
      </w:r>
      <w:r w:rsidR="005A3A21" w:rsidRPr="00FA100E">
        <w:rPr>
          <w:rFonts w:ascii="Times New Roman" w:hAnsi="Times New Roman"/>
        </w:rPr>
        <w:t>Dates for Q1: January 1 – March 31, Q2: April 1 – June 3, Q3: July 1 – September 30, Q4: October 1 – December 31.</w:t>
      </w:r>
    </w:p>
    <w:p w14:paraId="2AEFF1F4" w14:textId="77777777" w:rsidR="003912CC" w:rsidRPr="00FA100E" w:rsidRDefault="003912CC" w:rsidP="003912CC">
      <w:r w:rsidRPr="00FA100E">
        <w:br w:type="page"/>
      </w:r>
    </w:p>
    <w:p w14:paraId="5221DA1B" w14:textId="77777777" w:rsidR="003912CC" w:rsidRPr="00FA100E" w:rsidRDefault="003912CC" w:rsidP="003912CC">
      <w:pPr>
        <w:rPr>
          <w:rFonts w:ascii="Times New Roman" w:hAnsi="Times New Roman"/>
          <w:highlight w:val="yellow"/>
        </w:rPr>
      </w:pPr>
      <w:r w:rsidRPr="00FA100E">
        <w:rPr>
          <w:noProof/>
        </w:rPr>
        <w:drawing>
          <wp:inline distT="0" distB="0" distL="0" distR="0" wp14:anchorId="6CA536E9" wp14:editId="2DB6E270">
            <wp:extent cx="5488077" cy="5135270"/>
            <wp:effectExtent l="0" t="0" r="0" b="8255"/>
            <wp:docPr id="7" name="Picture 7">
              <a:extLst xmlns:a="http://schemas.openxmlformats.org/drawingml/2006/main">
                <a:ext uri="{FF2B5EF4-FFF2-40B4-BE49-F238E27FC236}">
                  <a16:creationId xmlns:a16="http://schemas.microsoft.com/office/drawing/2014/main" id="{C594988B-5F26-4566-B9B3-93090F19D3A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ntent Placeholder 4">
                      <a:extLst>
                        <a:ext uri="{FF2B5EF4-FFF2-40B4-BE49-F238E27FC236}">
                          <a16:creationId xmlns:a16="http://schemas.microsoft.com/office/drawing/2014/main" id="{C594988B-5F26-4566-B9B3-93090F19D3A1}"/>
                        </a:ext>
                      </a:extLst>
                    </pic:cNvPr>
                    <pic:cNvPicPr>
                      <a:picLocks noChangeAspect="1"/>
                    </pic:cNvPicPr>
                  </pic:nvPicPr>
                  <pic:blipFill>
                    <a:blip r:embed="rId15"/>
                    <a:stretch>
                      <a:fillRect/>
                    </a:stretch>
                  </pic:blipFill>
                  <pic:spPr bwMode="auto">
                    <a:xfrm>
                      <a:off x="0" y="0"/>
                      <a:ext cx="5536054" cy="5180162"/>
                    </a:xfrm>
                    <a:prstGeom prst="rect">
                      <a:avLst/>
                    </a:prstGeom>
                    <a:noFill/>
                    <a:ln>
                      <a:noFill/>
                    </a:ln>
                  </pic:spPr>
                </pic:pic>
              </a:graphicData>
            </a:graphic>
          </wp:inline>
        </w:drawing>
      </w:r>
    </w:p>
    <w:p w14:paraId="77B92E0C" w14:textId="13B5DC0F" w:rsidR="003912CC" w:rsidRPr="00FA100E" w:rsidRDefault="003912CC" w:rsidP="003912CC">
      <w:pPr>
        <w:pStyle w:val="Heading2"/>
      </w:pPr>
      <w:r w:rsidRPr="00FA100E">
        <w:t xml:space="preserve">Figure </w:t>
      </w:r>
      <w:r w:rsidR="0008513E" w:rsidRPr="00FA100E">
        <w:t>S6.2</w:t>
      </w:r>
      <w:r w:rsidRPr="00FA100E">
        <w:t>. Cannabis sales by jurisdiction. Note: Q3 2021 and Q4 2021 sales data not reported for Northwest Territories, Prince Edward Island and Yukon.</w:t>
      </w:r>
      <w:r w:rsidR="004A20F1" w:rsidRPr="00FA100E">
        <w:t xml:space="preserve"> </w:t>
      </w:r>
      <w:r w:rsidR="00D80AB2" w:rsidRPr="00FA100E">
        <w:t>Figure reproduced from</w:t>
      </w:r>
      <w:r w:rsidR="00B50666" w:rsidRPr="00FA100E">
        <w:t xml:space="preserve"> (10)</w:t>
      </w:r>
      <w:r w:rsidR="00DE34BE" w:rsidRPr="00FA100E">
        <w:t>.</w:t>
      </w:r>
    </w:p>
    <w:p w14:paraId="0AC8D9BD" w14:textId="0EA85EC9" w:rsidR="003C3DC9" w:rsidRPr="00FA100E" w:rsidRDefault="003C3DC9" w:rsidP="00844B84">
      <w:r w:rsidRPr="00FA100E">
        <w:rPr>
          <w:i/>
          <w:iCs/>
        </w:rPr>
        <w:t>Note. Pre-legalization: before 17 Oct 2018, Phase 1 / peri-legalization: 17 Oct 2018 – 16 Oct 2019, Phase 2 / post-legalization: 17 Oct 2019 onwards.</w:t>
      </w:r>
    </w:p>
    <w:p w14:paraId="5A29BAD5" w14:textId="77777777" w:rsidR="003912CC" w:rsidRPr="00FA100E" w:rsidRDefault="003912CC">
      <w:pPr>
        <w:rPr>
          <w:b/>
          <w:i/>
        </w:rPr>
      </w:pPr>
      <w:r w:rsidRPr="00FA100E">
        <w:br w:type="page"/>
      </w:r>
    </w:p>
    <w:p w14:paraId="0DF154D3" w14:textId="77777777" w:rsidR="003912CC" w:rsidRPr="00FA100E" w:rsidRDefault="003912CC" w:rsidP="003912CC">
      <w:pPr>
        <w:rPr>
          <w:highlight w:val="yellow"/>
        </w:rPr>
      </w:pPr>
      <w:r w:rsidRPr="00FA100E">
        <w:rPr>
          <w:noProof/>
        </w:rPr>
        <w:drawing>
          <wp:inline distT="0" distB="0" distL="0" distR="0" wp14:anchorId="5B239BA3" wp14:editId="1761422C">
            <wp:extent cx="5559140" cy="4169664"/>
            <wp:effectExtent l="0" t="0" r="3810" b="2540"/>
            <wp:docPr id="10" name="Picture 10"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Chart, bar chart&#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602869" cy="4202463"/>
                    </a:xfrm>
                    <a:prstGeom prst="rect">
                      <a:avLst/>
                    </a:prstGeom>
                  </pic:spPr>
                </pic:pic>
              </a:graphicData>
            </a:graphic>
          </wp:inline>
        </w:drawing>
      </w:r>
    </w:p>
    <w:p w14:paraId="7E4FEC27" w14:textId="408C6A16" w:rsidR="003912CC" w:rsidRPr="00FA100E" w:rsidRDefault="003912CC" w:rsidP="003912CC">
      <w:pPr>
        <w:pStyle w:val="Heading2"/>
      </w:pPr>
      <w:r w:rsidRPr="00FA100E">
        <w:t xml:space="preserve">Figure </w:t>
      </w:r>
      <w:r w:rsidR="0008513E" w:rsidRPr="00FA100E">
        <w:t>S6.3</w:t>
      </w:r>
      <w:r w:rsidRPr="00FA100E">
        <w:t xml:space="preserve">. Proportion of total cannabis packaged units sold by product type. </w:t>
      </w:r>
      <w:r w:rsidR="002D2A1B" w:rsidRPr="00FA100E">
        <w:t xml:space="preserve">Data drawn from </w:t>
      </w:r>
      <w:r w:rsidR="00B50666" w:rsidRPr="00FA100E">
        <w:t>(</w:t>
      </w:r>
      <w:r w:rsidR="00962098" w:rsidRPr="00FA100E">
        <w:fldChar w:fldCharType="begin"/>
      </w:r>
      <w:r w:rsidR="00962098" w:rsidRPr="00FA100E">
        <w:instrText xml:space="preserve"> ADDIN ZOTERO_ITEM CSL_CITATION {"citationID":"a1bpnd09uc5","properties":{"formattedCitation":"(4)","plainCitation":"(4)","noteIndex":0},"citationItems":[{"id":170019,"uris":["http://zotero.org/users/57477/items/G6HUHRER"],"itemData":{"id":170019,"type":"report","number":"Table 36-10-0124-01","title":"Detailed household final consumption expenditure","URL":"https://www150.statcan.gc.ca/t1/tbl1/en/tv.action?pid=3610012401","author":[{"literal":"Statistics Canada"}],"issued":{"date-parts":[["2021",11,30]]}}}],"schema":"https://github.com/citation-style-language/schema/raw/master/csl-citation.json"} </w:instrText>
      </w:r>
      <w:r w:rsidR="00962098" w:rsidRPr="00FA100E">
        <w:fldChar w:fldCharType="separate"/>
      </w:r>
      <w:r w:rsidR="00962098" w:rsidRPr="00FA100E">
        <w:rPr>
          <w:rFonts w:cs="Times New Roman"/>
          <w:lang w:val="en-GB"/>
        </w:rPr>
        <w:t>18</w:t>
      </w:r>
      <w:r w:rsidR="00962098" w:rsidRPr="00FA100E">
        <w:fldChar w:fldCharType="end"/>
      </w:r>
      <w:r w:rsidR="00B50666" w:rsidRPr="00FA100E">
        <w:t>)</w:t>
      </w:r>
      <w:r w:rsidR="00FA2F48" w:rsidRPr="00FA100E">
        <w:t>.</w:t>
      </w:r>
    </w:p>
    <w:p w14:paraId="7724B601" w14:textId="54A70C2E" w:rsidR="003C3DC9" w:rsidRPr="00FA100E" w:rsidRDefault="003C3DC9" w:rsidP="00844B84">
      <w:r w:rsidRPr="00FA100E">
        <w:rPr>
          <w:i/>
          <w:iCs/>
        </w:rPr>
        <w:t xml:space="preserve">Note. </w:t>
      </w:r>
      <w:r w:rsidRPr="00FA100E">
        <w:t>Pre-legalization: before 17 Oct 2018, Phase 1 / peri-legalization: 17 Oct 2018 – 16 Oct 2019, Phase 2 / post-legalization: 17 Oct 2019 onwards. Dates for Q1: January 1 – March 31, Q2: April 1 – June 3, Q3: July 1 – September 30, Q4: October 1 – December 31.</w:t>
      </w:r>
    </w:p>
    <w:p w14:paraId="26DB21F5" w14:textId="77777777" w:rsidR="003912CC" w:rsidRPr="00FA100E" w:rsidRDefault="003912CC">
      <w:pPr>
        <w:rPr>
          <w:b/>
          <w:i/>
        </w:rPr>
      </w:pPr>
      <w:r w:rsidRPr="00FA100E">
        <w:br w:type="page"/>
      </w:r>
    </w:p>
    <w:p w14:paraId="3FB283A7" w14:textId="77777777" w:rsidR="003912CC" w:rsidRPr="00FA100E" w:rsidRDefault="003912CC" w:rsidP="003912CC">
      <w:pPr>
        <w:jc w:val="both"/>
      </w:pPr>
      <w:r w:rsidRPr="00FA100E">
        <w:rPr>
          <w:noProof/>
        </w:rPr>
        <w:drawing>
          <wp:inline distT="0" distB="0" distL="0" distR="0" wp14:anchorId="227E2257" wp14:editId="62DA6E9D">
            <wp:extent cx="5695682" cy="4272077"/>
            <wp:effectExtent l="0" t="0" r="635" b="0"/>
            <wp:docPr id="8" name="Picture 8"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Chart, line chart&#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717023" cy="4288084"/>
                    </a:xfrm>
                    <a:prstGeom prst="rect">
                      <a:avLst/>
                    </a:prstGeom>
                  </pic:spPr>
                </pic:pic>
              </a:graphicData>
            </a:graphic>
          </wp:inline>
        </w:drawing>
      </w:r>
    </w:p>
    <w:p w14:paraId="3E717ABB" w14:textId="3BCA0428" w:rsidR="0000276A" w:rsidRPr="00FA100E" w:rsidRDefault="003912CC" w:rsidP="003912CC">
      <w:pPr>
        <w:pStyle w:val="Heading2"/>
      </w:pPr>
      <w:r w:rsidRPr="00FA100E">
        <w:t xml:space="preserve">Figure </w:t>
      </w:r>
      <w:r w:rsidR="0008513E" w:rsidRPr="00FA100E">
        <w:t>S6.4</w:t>
      </w:r>
      <w:r w:rsidRPr="00FA100E">
        <w:t>. Household expenditure on cannabis sourced from the illegal recreational, legal recreational and medicinal markets. Data provided by Statistics Canada</w:t>
      </w:r>
      <w:r w:rsidR="00962098" w:rsidRPr="00FA100E">
        <w:t xml:space="preserve"> (14)</w:t>
      </w:r>
      <w:r w:rsidRPr="00FA100E">
        <w:t>.</w:t>
      </w:r>
    </w:p>
    <w:p w14:paraId="1BFF3FFE" w14:textId="77777777" w:rsidR="00093F7E" w:rsidRPr="00FA100E" w:rsidRDefault="00093F7E" w:rsidP="00093F7E">
      <w:pPr>
        <w:rPr>
          <w:i/>
          <w:iCs/>
        </w:rPr>
      </w:pPr>
      <w:r w:rsidRPr="00FA100E">
        <w:rPr>
          <w:i/>
          <w:iCs/>
        </w:rPr>
        <w:t xml:space="preserve">Note. </w:t>
      </w:r>
      <w:r w:rsidRPr="00FA100E">
        <w:t>Pre-legalization: before 17 Oct 2018, Phase 1 / peri-legalization: 17 Oct 2018 – 16 Oct 2019, Phase 2 / post-legalization: 17 Oct 2019 onwards. Dates for Q1: January 1 – March 31, Q2: April 1 – June 3, Q3: July 1 – September 30, Q4: October 1 – December 31.</w:t>
      </w:r>
    </w:p>
    <w:p w14:paraId="086BF745" w14:textId="77777777" w:rsidR="00093F7E" w:rsidRPr="00FA100E" w:rsidRDefault="00093F7E" w:rsidP="00844B84"/>
    <w:p w14:paraId="18774027" w14:textId="77777777" w:rsidR="0000276A" w:rsidRPr="00FA100E" w:rsidRDefault="0000276A">
      <w:pPr>
        <w:rPr>
          <w:b/>
          <w:i/>
        </w:rPr>
      </w:pPr>
      <w:r w:rsidRPr="00FA100E">
        <w:br w:type="page"/>
      </w:r>
    </w:p>
    <w:p w14:paraId="31E4DD07" w14:textId="77777777" w:rsidR="0000276A" w:rsidRPr="00FA100E" w:rsidRDefault="0000276A" w:rsidP="0000276A">
      <w:pPr>
        <w:rPr>
          <w:rFonts w:ascii="Times New Roman" w:hAnsi="Times New Roman"/>
        </w:rPr>
      </w:pPr>
      <w:r w:rsidRPr="00FA100E">
        <w:rPr>
          <w:rFonts w:ascii="Times New Roman" w:hAnsi="Times New Roman"/>
          <w:noProof/>
        </w:rPr>
        <w:drawing>
          <wp:inline distT="0" distB="0" distL="0" distR="0" wp14:anchorId="2AF12103" wp14:editId="7B8810DD">
            <wp:extent cx="5773704" cy="4330598"/>
            <wp:effectExtent l="0" t="0" r="0" b="0"/>
            <wp:docPr id="14" name="Picture 14"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Chart, line chart&#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789390" cy="4342363"/>
                    </a:xfrm>
                    <a:prstGeom prst="rect">
                      <a:avLst/>
                    </a:prstGeom>
                  </pic:spPr>
                </pic:pic>
              </a:graphicData>
            </a:graphic>
          </wp:inline>
        </w:drawing>
      </w:r>
    </w:p>
    <w:p w14:paraId="34002C9C" w14:textId="7D93E4AE" w:rsidR="0000276A" w:rsidRPr="00FA100E" w:rsidRDefault="0000276A" w:rsidP="0000276A">
      <w:pPr>
        <w:pStyle w:val="Heading2"/>
      </w:pPr>
      <w:r w:rsidRPr="00FA100E">
        <w:t xml:space="preserve">Figure </w:t>
      </w:r>
      <w:r w:rsidR="0008513E" w:rsidRPr="00FA100E">
        <w:t>S7</w:t>
      </w:r>
      <w:r w:rsidRPr="00FA100E">
        <w:t>. Prevalence of daily or near daily cannabis use over past three months.</w:t>
      </w:r>
      <w:r w:rsidR="00CE3065" w:rsidRPr="00FA100E">
        <w:t xml:space="preserve"> Data drawn from Roterma</w:t>
      </w:r>
      <w:r w:rsidR="00960C57" w:rsidRPr="00FA100E">
        <w:t>n</w:t>
      </w:r>
      <w:r w:rsidR="00CE3065" w:rsidRPr="00FA100E">
        <w:t xml:space="preserve">n and Macdonald </w:t>
      </w:r>
      <w:r w:rsidR="003554F8" w:rsidRPr="00FA100E">
        <w:t>(21)</w:t>
      </w:r>
      <w:r w:rsidR="00CE3065" w:rsidRPr="00FA100E">
        <w:fldChar w:fldCharType="begin"/>
      </w:r>
      <w:r w:rsidR="00ED5F30" w:rsidRPr="00FA100E">
        <w:instrText xml:space="preserve"> ADDIN ZOTERO_ITEM CSL_CITATION {"citationID":"a2i4rbhjqa0","properties":{"formattedCitation":"(5)","plainCitation":"(5)","noteIndex":0},"citationItems":[{"id":94464,"uris":["http://zotero.org/users/57477/items/PTCU38K2"],"itemData":{"id":94464,"type":"article-journal","abstract":"The Canadian federal government legalized non-medical cannabis use by adults in October 2018. Ongoing monitoring of the effects of the change is needed because uncertainty remains about the impact of this legislation on cannabis use behaviours and whether the impact will affect some more than others. This study used data from Canadian Alcohol and Drugs Survey and its predecessor to examine longer-term historical rates of use during 2004 to 2017. Five iterations of National Cannabis Surveys (2018/2019) were used to examine current use (overall, daily/almost daily, quantities, and types of products) in the months before and after legalization.","container-title":"Health Reports","DOI":"10.25318/82-003-x201900600001-eng","issue":"6","note":"publisher: Government of Canada, Statistics Canada","page":"3-13","source":"DOI.org (Datacite)","title":"Analysis of trends in the prevalence of cannabis use and related metrics in Canada","volume":"30","author":[{"family":"Rotermann","given":"Michelle"},{"family":"Macdonald","given":"Ryan"}],"issued":{"date-parts":[["2019",6,19]]}}}],"schema":"https://github.com/citation-style-language/schema/raw/master/csl-citation.json"} </w:instrText>
      </w:r>
      <w:r w:rsidR="00FF3ECB">
        <w:fldChar w:fldCharType="separate"/>
      </w:r>
      <w:r w:rsidR="00CE3065" w:rsidRPr="00FA100E">
        <w:fldChar w:fldCharType="end"/>
      </w:r>
      <w:r w:rsidR="00960C57" w:rsidRPr="00FA100E">
        <w:t>.</w:t>
      </w:r>
    </w:p>
    <w:p w14:paraId="05BC3910" w14:textId="77777777" w:rsidR="0000276A" w:rsidRPr="00FA100E" w:rsidRDefault="0000276A" w:rsidP="0000276A">
      <w:pPr>
        <w:rPr>
          <w:rFonts w:ascii="Times New Roman" w:hAnsi="Times New Roman"/>
          <w:sz w:val="18"/>
          <w:szCs w:val="18"/>
        </w:rPr>
      </w:pPr>
      <w:r w:rsidRPr="00FA100E">
        <w:rPr>
          <w:rFonts w:ascii="Times New Roman" w:hAnsi="Times New Roman"/>
          <w:b/>
          <w:sz w:val="18"/>
          <w:szCs w:val="18"/>
        </w:rPr>
        <w:t>N.B.</w:t>
      </w:r>
      <w:r w:rsidRPr="00FA100E">
        <w:rPr>
          <w:rFonts w:ascii="Times New Roman" w:hAnsi="Times New Roman"/>
          <w:sz w:val="18"/>
          <w:szCs w:val="18"/>
        </w:rPr>
        <w:t xml:space="preserve"> Linear trends are not statistically significant (</w:t>
      </w:r>
      <w:r w:rsidRPr="00FA100E">
        <w:rPr>
          <w:rFonts w:ascii="Times New Roman" w:hAnsi="Times New Roman"/>
          <w:i/>
          <w:sz w:val="18"/>
          <w:szCs w:val="18"/>
        </w:rPr>
        <w:t>p</w:t>
      </w:r>
      <w:r w:rsidRPr="00FA100E">
        <w:rPr>
          <w:rFonts w:ascii="Times New Roman" w:hAnsi="Times New Roman"/>
          <w:sz w:val="18"/>
          <w:szCs w:val="18"/>
        </w:rPr>
        <w:t xml:space="preserve"> &gt; .05). § This data point should be interpreted with caution.</w:t>
      </w:r>
    </w:p>
    <w:p w14:paraId="0CB1B1F5" w14:textId="62B46671" w:rsidR="006A261E" w:rsidRPr="00FA100E" w:rsidRDefault="00093F7E" w:rsidP="00093F7E">
      <w:r w:rsidRPr="00FA100E">
        <w:rPr>
          <w:i/>
          <w:iCs/>
        </w:rPr>
        <w:t xml:space="preserve">Note. </w:t>
      </w:r>
      <w:r w:rsidRPr="00FA100E">
        <w:t>Pre-legalization: before 17 Oct 2018, Phase 1 / peri-legalization: 17 Oct 2018 – 16 Oct 2019, Phase 2 / post-legalization: 17 Oct 2019 onwards. Dates for Q1: January 1 – March 31, Q2: April 1 – June 3, Q3: July 1 – September 30, Q4: October 1 – December 31.</w:t>
      </w:r>
    </w:p>
    <w:p w14:paraId="3460881D" w14:textId="77777777" w:rsidR="001F7FCE" w:rsidRPr="00FA100E" w:rsidRDefault="001F7FCE">
      <w:pPr>
        <w:sectPr w:rsidR="001F7FCE" w:rsidRPr="00FA100E" w:rsidSect="00601D73">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08" w:footer="708" w:gutter="0"/>
          <w:pgNumType w:start="1"/>
          <w:cols w:space="708"/>
          <w:docGrid w:linePitch="360"/>
        </w:sectPr>
      </w:pPr>
    </w:p>
    <w:p w14:paraId="7E1CF260" w14:textId="77777777" w:rsidR="00EA0446" w:rsidRPr="00FA100E" w:rsidRDefault="006A261E" w:rsidP="001F7FCE">
      <w:pPr>
        <w:pStyle w:val="Heading1"/>
      </w:pPr>
      <w:bookmarkStart w:id="15" w:name="_Toc128412292"/>
      <w:r w:rsidRPr="00FA100E">
        <w:t>S</w:t>
      </w:r>
      <w:r w:rsidR="00BF43F2" w:rsidRPr="00FA100E">
        <w:t>7</w:t>
      </w:r>
      <w:r w:rsidRPr="00FA100E">
        <w:t>. Quality assessment of studies</w:t>
      </w:r>
      <w:r w:rsidR="001F7FCE" w:rsidRPr="00FA100E">
        <w:t xml:space="preserve"> based on the Joanna Briggs Institute (JBI) critical appraisal tool</w:t>
      </w:r>
      <w:bookmarkEnd w:id="15"/>
      <w:r w:rsidR="001F7FCE" w:rsidRPr="00FA100E">
        <w:t xml:space="preserve"> </w:t>
      </w:r>
    </w:p>
    <w:tbl>
      <w:tblPr>
        <w:tblW w:w="12860" w:type="dxa"/>
        <w:tblLayout w:type="fixed"/>
        <w:tblLook w:val="04A0" w:firstRow="1" w:lastRow="0" w:firstColumn="1" w:lastColumn="0" w:noHBand="0" w:noVBand="1"/>
      </w:tblPr>
      <w:tblGrid>
        <w:gridCol w:w="1881"/>
        <w:gridCol w:w="1220"/>
        <w:gridCol w:w="1222"/>
        <w:gridCol w:w="1222"/>
        <w:gridCol w:w="1543"/>
        <w:gridCol w:w="1012"/>
        <w:gridCol w:w="1239"/>
        <w:gridCol w:w="1225"/>
        <w:gridCol w:w="1236"/>
        <w:gridCol w:w="1060"/>
      </w:tblGrid>
      <w:tr w:rsidR="00FA100E" w:rsidRPr="00FA100E" w14:paraId="4EB74E79" w14:textId="77777777" w:rsidTr="00CF4CE3">
        <w:trPr>
          <w:trHeight w:val="1110"/>
        </w:trPr>
        <w:tc>
          <w:tcPr>
            <w:tcW w:w="1881" w:type="dxa"/>
            <w:tcBorders>
              <w:top w:val="nil"/>
              <w:left w:val="nil"/>
              <w:bottom w:val="nil"/>
              <w:right w:val="nil"/>
            </w:tcBorders>
            <w:shd w:val="clear" w:color="000000" w:fill="000000"/>
            <w:hideMark/>
          </w:tcPr>
          <w:p w14:paraId="383BD026" w14:textId="77777777" w:rsidR="00CF4CE3" w:rsidRPr="00FA100E" w:rsidRDefault="00CF4CE3" w:rsidP="00CF4CE3">
            <w:pPr>
              <w:spacing w:after="0" w:line="240" w:lineRule="auto"/>
              <w:jc w:val="center"/>
              <w:rPr>
                <w:rFonts w:ascii="Times New Roman" w:eastAsia="Times New Roman" w:hAnsi="Times New Roman" w:cs="Times New Roman"/>
                <w:sz w:val="20"/>
                <w:szCs w:val="20"/>
                <w:lang w:val="en-GB" w:eastAsia="en-GB"/>
              </w:rPr>
            </w:pPr>
            <w:r w:rsidRPr="00FA100E">
              <w:rPr>
                <w:rFonts w:ascii="Times New Roman" w:eastAsia="Times New Roman" w:hAnsi="Times New Roman" w:cs="Times New Roman"/>
                <w:sz w:val="20"/>
                <w:szCs w:val="20"/>
                <w:lang w:val="en-GB" w:eastAsia="en-GB"/>
              </w:rPr>
              <w:t>Study</w:t>
            </w:r>
          </w:p>
        </w:tc>
        <w:tc>
          <w:tcPr>
            <w:tcW w:w="1220" w:type="dxa"/>
            <w:tcBorders>
              <w:top w:val="nil"/>
              <w:left w:val="nil"/>
              <w:bottom w:val="nil"/>
              <w:right w:val="nil"/>
            </w:tcBorders>
            <w:shd w:val="clear" w:color="000000" w:fill="000000"/>
            <w:hideMark/>
          </w:tcPr>
          <w:p w14:paraId="69AD2109" w14:textId="77777777" w:rsidR="00CF4CE3" w:rsidRPr="00FA100E" w:rsidRDefault="00CF4CE3" w:rsidP="00CF4CE3">
            <w:pPr>
              <w:spacing w:after="0" w:line="240" w:lineRule="auto"/>
              <w:jc w:val="center"/>
              <w:rPr>
                <w:rFonts w:ascii="Times New Roman" w:eastAsia="Times New Roman" w:hAnsi="Times New Roman" w:cs="Times New Roman"/>
                <w:sz w:val="20"/>
                <w:szCs w:val="20"/>
                <w:lang w:val="en-GB" w:eastAsia="en-GB"/>
              </w:rPr>
            </w:pPr>
            <w:r w:rsidRPr="00FA100E">
              <w:rPr>
                <w:rFonts w:ascii="Times New Roman" w:eastAsia="Times New Roman" w:hAnsi="Times New Roman" w:cs="Times New Roman"/>
                <w:sz w:val="20"/>
                <w:szCs w:val="20"/>
                <w:lang w:val="en-GB" w:eastAsia="en-GB"/>
              </w:rPr>
              <w:t>Criteria for inclusion in the sample clearly defined</w:t>
            </w:r>
          </w:p>
        </w:tc>
        <w:tc>
          <w:tcPr>
            <w:tcW w:w="1222" w:type="dxa"/>
            <w:tcBorders>
              <w:top w:val="nil"/>
              <w:left w:val="nil"/>
              <w:bottom w:val="nil"/>
              <w:right w:val="nil"/>
            </w:tcBorders>
            <w:shd w:val="clear" w:color="000000" w:fill="000000"/>
            <w:hideMark/>
          </w:tcPr>
          <w:p w14:paraId="31D9514E" w14:textId="77777777" w:rsidR="00CF4CE3" w:rsidRPr="00FA100E" w:rsidRDefault="00CF4CE3" w:rsidP="00CF4CE3">
            <w:pPr>
              <w:spacing w:after="0" w:line="240" w:lineRule="auto"/>
              <w:jc w:val="center"/>
              <w:rPr>
                <w:rFonts w:ascii="Times New Roman" w:eastAsia="Times New Roman" w:hAnsi="Times New Roman" w:cs="Times New Roman"/>
                <w:sz w:val="20"/>
                <w:szCs w:val="20"/>
                <w:lang w:val="en-GB" w:eastAsia="en-GB"/>
              </w:rPr>
            </w:pPr>
            <w:r w:rsidRPr="00FA100E">
              <w:rPr>
                <w:rFonts w:ascii="Times New Roman" w:eastAsia="Times New Roman" w:hAnsi="Times New Roman" w:cs="Times New Roman"/>
                <w:sz w:val="20"/>
                <w:szCs w:val="20"/>
                <w:lang w:val="en-GB" w:eastAsia="en-GB"/>
              </w:rPr>
              <w:t xml:space="preserve"> Study subjects and the setting described in detail</w:t>
            </w:r>
          </w:p>
        </w:tc>
        <w:tc>
          <w:tcPr>
            <w:tcW w:w="1222" w:type="dxa"/>
            <w:tcBorders>
              <w:top w:val="nil"/>
              <w:left w:val="nil"/>
              <w:bottom w:val="nil"/>
              <w:right w:val="nil"/>
            </w:tcBorders>
            <w:shd w:val="clear" w:color="000000" w:fill="000000"/>
            <w:hideMark/>
          </w:tcPr>
          <w:p w14:paraId="7910DA8D" w14:textId="77777777" w:rsidR="00CF4CE3" w:rsidRPr="00FA100E" w:rsidRDefault="00CF4CE3" w:rsidP="00CF4CE3">
            <w:pPr>
              <w:spacing w:after="0" w:line="240" w:lineRule="auto"/>
              <w:jc w:val="center"/>
              <w:rPr>
                <w:rFonts w:ascii="Times New Roman" w:eastAsia="Times New Roman" w:hAnsi="Times New Roman" w:cs="Times New Roman"/>
                <w:sz w:val="20"/>
                <w:szCs w:val="20"/>
                <w:lang w:val="en-GB" w:eastAsia="en-GB"/>
              </w:rPr>
            </w:pPr>
            <w:r w:rsidRPr="00FA100E">
              <w:rPr>
                <w:rFonts w:ascii="Times New Roman" w:eastAsia="Times New Roman" w:hAnsi="Times New Roman" w:cs="Times New Roman"/>
                <w:sz w:val="20"/>
                <w:szCs w:val="20"/>
                <w:lang w:val="en-GB" w:eastAsia="en-GB"/>
              </w:rPr>
              <w:t>Exposure measured in a valid and reliable way</w:t>
            </w:r>
          </w:p>
        </w:tc>
        <w:tc>
          <w:tcPr>
            <w:tcW w:w="1543" w:type="dxa"/>
            <w:tcBorders>
              <w:top w:val="nil"/>
              <w:left w:val="nil"/>
              <w:bottom w:val="nil"/>
              <w:right w:val="nil"/>
            </w:tcBorders>
            <w:shd w:val="clear" w:color="000000" w:fill="000000"/>
            <w:hideMark/>
          </w:tcPr>
          <w:p w14:paraId="169D3C6D" w14:textId="77777777" w:rsidR="00CF4CE3" w:rsidRPr="00FA100E" w:rsidRDefault="00CF4CE3" w:rsidP="00CF4CE3">
            <w:pPr>
              <w:spacing w:after="0" w:line="240" w:lineRule="auto"/>
              <w:jc w:val="center"/>
              <w:rPr>
                <w:rFonts w:ascii="Times New Roman" w:eastAsia="Times New Roman" w:hAnsi="Times New Roman" w:cs="Times New Roman"/>
                <w:sz w:val="20"/>
                <w:szCs w:val="20"/>
                <w:lang w:val="en-GB" w:eastAsia="en-GB"/>
              </w:rPr>
            </w:pPr>
            <w:r w:rsidRPr="00FA100E">
              <w:rPr>
                <w:rFonts w:ascii="Times New Roman" w:eastAsia="Times New Roman" w:hAnsi="Times New Roman" w:cs="Times New Roman"/>
                <w:sz w:val="20"/>
                <w:szCs w:val="20"/>
                <w:lang w:val="en-GB" w:eastAsia="en-GB"/>
              </w:rPr>
              <w:t xml:space="preserve"> Objective, standard criteria used for measurement of the condition</w:t>
            </w:r>
          </w:p>
        </w:tc>
        <w:tc>
          <w:tcPr>
            <w:tcW w:w="1012" w:type="dxa"/>
            <w:tcBorders>
              <w:top w:val="nil"/>
              <w:left w:val="nil"/>
              <w:bottom w:val="nil"/>
              <w:right w:val="nil"/>
            </w:tcBorders>
            <w:shd w:val="clear" w:color="000000" w:fill="000000"/>
            <w:hideMark/>
          </w:tcPr>
          <w:p w14:paraId="2923D5F9" w14:textId="77777777" w:rsidR="00CF4CE3" w:rsidRPr="00FA100E" w:rsidRDefault="00CF4CE3" w:rsidP="00CF4CE3">
            <w:pPr>
              <w:spacing w:after="0" w:line="240" w:lineRule="auto"/>
              <w:jc w:val="center"/>
              <w:rPr>
                <w:rFonts w:ascii="Times New Roman" w:eastAsia="Times New Roman" w:hAnsi="Times New Roman" w:cs="Times New Roman"/>
                <w:sz w:val="20"/>
                <w:szCs w:val="20"/>
                <w:lang w:val="en-GB" w:eastAsia="en-GB"/>
              </w:rPr>
            </w:pPr>
            <w:r w:rsidRPr="00FA100E">
              <w:rPr>
                <w:rFonts w:ascii="Times New Roman" w:eastAsia="Times New Roman" w:hAnsi="Times New Roman" w:cs="Times New Roman"/>
                <w:sz w:val="20"/>
                <w:szCs w:val="20"/>
                <w:lang w:val="en-GB" w:eastAsia="en-GB"/>
              </w:rPr>
              <w:t>Confounding factors identified</w:t>
            </w:r>
          </w:p>
        </w:tc>
        <w:tc>
          <w:tcPr>
            <w:tcW w:w="1239" w:type="dxa"/>
            <w:tcBorders>
              <w:top w:val="nil"/>
              <w:left w:val="nil"/>
              <w:bottom w:val="nil"/>
              <w:right w:val="nil"/>
            </w:tcBorders>
            <w:shd w:val="clear" w:color="000000" w:fill="000000"/>
            <w:hideMark/>
          </w:tcPr>
          <w:p w14:paraId="5ED48A05" w14:textId="77777777" w:rsidR="00CF4CE3" w:rsidRPr="00FA100E" w:rsidRDefault="00CF4CE3" w:rsidP="00CF4CE3">
            <w:pPr>
              <w:spacing w:after="0" w:line="240" w:lineRule="auto"/>
              <w:jc w:val="center"/>
              <w:rPr>
                <w:rFonts w:ascii="Times New Roman" w:eastAsia="Times New Roman" w:hAnsi="Times New Roman" w:cs="Times New Roman"/>
                <w:sz w:val="20"/>
                <w:szCs w:val="20"/>
                <w:lang w:val="en-GB" w:eastAsia="en-GB"/>
              </w:rPr>
            </w:pPr>
            <w:r w:rsidRPr="00FA100E">
              <w:rPr>
                <w:rFonts w:ascii="Times New Roman" w:eastAsia="Times New Roman" w:hAnsi="Times New Roman" w:cs="Times New Roman"/>
                <w:sz w:val="20"/>
                <w:szCs w:val="20"/>
                <w:lang w:val="en-GB" w:eastAsia="en-GB"/>
              </w:rPr>
              <w:t>Strategies to deal with confounding factors stated</w:t>
            </w:r>
          </w:p>
        </w:tc>
        <w:tc>
          <w:tcPr>
            <w:tcW w:w="1225" w:type="dxa"/>
            <w:tcBorders>
              <w:top w:val="nil"/>
              <w:left w:val="nil"/>
              <w:bottom w:val="nil"/>
              <w:right w:val="nil"/>
            </w:tcBorders>
            <w:shd w:val="clear" w:color="000000" w:fill="000000"/>
            <w:hideMark/>
          </w:tcPr>
          <w:p w14:paraId="1ABFD67B" w14:textId="77777777" w:rsidR="00CF4CE3" w:rsidRPr="00FA100E" w:rsidRDefault="00CF4CE3" w:rsidP="00CF4CE3">
            <w:pPr>
              <w:spacing w:after="0" w:line="240" w:lineRule="auto"/>
              <w:jc w:val="center"/>
              <w:rPr>
                <w:rFonts w:ascii="Times New Roman" w:eastAsia="Times New Roman" w:hAnsi="Times New Roman" w:cs="Times New Roman"/>
                <w:sz w:val="20"/>
                <w:szCs w:val="20"/>
                <w:lang w:val="en-GB" w:eastAsia="en-GB"/>
              </w:rPr>
            </w:pPr>
            <w:r w:rsidRPr="00FA100E">
              <w:rPr>
                <w:rFonts w:ascii="Times New Roman" w:eastAsia="Times New Roman" w:hAnsi="Times New Roman" w:cs="Times New Roman"/>
                <w:sz w:val="20"/>
                <w:szCs w:val="20"/>
                <w:lang w:val="en-GB" w:eastAsia="en-GB"/>
              </w:rPr>
              <w:t>Outcomes measured in a valid and reliable way</w:t>
            </w:r>
          </w:p>
        </w:tc>
        <w:tc>
          <w:tcPr>
            <w:tcW w:w="1236" w:type="dxa"/>
            <w:tcBorders>
              <w:top w:val="nil"/>
              <w:left w:val="nil"/>
              <w:bottom w:val="nil"/>
              <w:right w:val="nil"/>
            </w:tcBorders>
            <w:shd w:val="clear" w:color="000000" w:fill="000000"/>
            <w:hideMark/>
          </w:tcPr>
          <w:p w14:paraId="4C93FF67" w14:textId="77777777" w:rsidR="00CF4CE3" w:rsidRPr="00FA100E" w:rsidRDefault="00CF4CE3" w:rsidP="00CF4CE3">
            <w:pPr>
              <w:spacing w:after="0" w:line="240" w:lineRule="auto"/>
              <w:jc w:val="center"/>
              <w:rPr>
                <w:rFonts w:ascii="Times New Roman" w:eastAsia="Times New Roman" w:hAnsi="Times New Roman" w:cs="Times New Roman"/>
                <w:sz w:val="20"/>
                <w:szCs w:val="20"/>
                <w:lang w:val="en-GB" w:eastAsia="en-GB"/>
              </w:rPr>
            </w:pPr>
            <w:r w:rsidRPr="00FA100E">
              <w:rPr>
                <w:rFonts w:ascii="Times New Roman" w:eastAsia="Times New Roman" w:hAnsi="Times New Roman" w:cs="Times New Roman"/>
                <w:sz w:val="20"/>
                <w:szCs w:val="20"/>
                <w:lang w:val="en-GB" w:eastAsia="en-GB"/>
              </w:rPr>
              <w:t>Appropriate statistical analysis used</w:t>
            </w:r>
          </w:p>
        </w:tc>
        <w:tc>
          <w:tcPr>
            <w:tcW w:w="1060" w:type="dxa"/>
            <w:tcBorders>
              <w:top w:val="nil"/>
              <w:left w:val="nil"/>
              <w:bottom w:val="nil"/>
              <w:right w:val="nil"/>
            </w:tcBorders>
            <w:shd w:val="clear" w:color="000000" w:fill="000000"/>
            <w:hideMark/>
          </w:tcPr>
          <w:p w14:paraId="64BA00A3" w14:textId="77777777" w:rsidR="00CF4CE3" w:rsidRPr="00FA100E" w:rsidRDefault="00CF4CE3" w:rsidP="00CF4CE3">
            <w:pPr>
              <w:spacing w:after="0" w:line="240" w:lineRule="auto"/>
              <w:jc w:val="center"/>
              <w:rPr>
                <w:rFonts w:ascii="Times New Roman" w:eastAsia="Times New Roman" w:hAnsi="Times New Roman" w:cs="Times New Roman"/>
                <w:sz w:val="20"/>
                <w:szCs w:val="20"/>
                <w:lang w:val="en-GB" w:eastAsia="en-GB"/>
              </w:rPr>
            </w:pPr>
            <w:r w:rsidRPr="00FA100E">
              <w:rPr>
                <w:rFonts w:ascii="Times New Roman" w:eastAsia="Times New Roman" w:hAnsi="Times New Roman" w:cs="Times New Roman"/>
                <w:sz w:val="20"/>
                <w:szCs w:val="20"/>
                <w:lang w:val="en-GB" w:eastAsia="en-GB"/>
              </w:rPr>
              <w:t xml:space="preserve">Total  </w:t>
            </w:r>
            <w:r w:rsidRPr="00FA100E">
              <w:rPr>
                <w:rFonts w:ascii="Times New Roman" w:eastAsia="Times New Roman" w:hAnsi="Times New Roman" w:cs="Times New Roman"/>
                <w:sz w:val="20"/>
                <w:szCs w:val="20"/>
                <w:lang w:val="en-GB" w:eastAsia="en-GB"/>
              </w:rPr>
              <w:br/>
              <w:t>(out of 8)</w:t>
            </w:r>
          </w:p>
        </w:tc>
      </w:tr>
      <w:tr w:rsidR="00FA100E" w:rsidRPr="00FA100E" w14:paraId="6E84C4FC" w14:textId="77777777" w:rsidTr="00CF4CE3">
        <w:trPr>
          <w:trHeight w:val="390"/>
        </w:trPr>
        <w:tc>
          <w:tcPr>
            <w:tcW w:w="1881" w:type="dxa"/>
            <w:tcBorders>
              <w:top w:val="single" w:sz="4" w:space="0" w:color="auto"/>
              <w:left w:val="single" w:sz="4" w:space="0" w:color="auto"/>
              <w:bottom w:val="single" w:sz="4" w:space="0" w:color="auto"/>
              <w:right w:val="single" w:sz="4" w:space="0" w:color="auto"/>
            </w:tcBorders>
            <w:shd w:val="clear" w:color="000000" w:fill="FFFFFF"/>
            <w:noWrap/>
            <w:hideMark/>
          </w:tcPr>
          <w:p w14:paraId="694A48F4" w14:textId="77777777" w:rsidR="00CF4CE3" w:rsidRPr="00FA100E" w:rsidRDefault="00CF4CE3" w:rsidP="00CF4CE3">
            <w:pPr>
              <w:spacing w:after="0" w:line="240" w:lineRule="auto"/>
              <w:rPr>
                <w:rFonts w:ascii="Times New Roman" w:eastAsia="Times New Roman" w:hAnsi="Times New Roman" w:cs="Times New Roman"/>
                <w:sz w:val="16"/>
                <w:szCs w:val="16"/>
                <w:lang w:val="en-GB" w:eastAsia="en-GB"/>
              </w:rPr>
            </w:pPr>
            <w:r w:rsidRPr="00FA100E">
              <w:rPr>
                <w:rFonts w:ascii="Times New Roman" w:eastAsia="Times New Roman" w:hAnsi="Times New Roman" w:cs="Times New Roman"/>
                <w:sz w:val="16"/>
                <w:szCs w:val="16"/>
                <w:lang w:val="en-GB" w:eastAsia="en-GB"/>
              </w:rPr>
              <w:t>Auger 2021</w:t>
            </w:r>
          </w:p>
        </w:tc>
        <w:tc>
          <w:tcPr>
            <w:tcW w:w="1220" w:type="dxa"/>
            <w:tcBorders>
              <w:top w:val="single" w:sz="4" w:space="0" w:color="auto"/>
              <w:left w:val="nil"/>
              <w:bottom w:val="single" w:sz="4" w:space="0" w:color="auto"/>
              <w:right w:val="single" w:sz="4" w:space="0" w:color="auto"/>
            </w:tcBorders>
            <w:shd w:val="clear" w:color="000000" w:fill="FFFFFF"/>
            <w:hideMark/>
          </w:tcPr>
          <w:p w14:paraId="61DDA00A" w14:textId="77777777" w:rsidR="00CF4CE3" w:rsidRPr="00FA100E" w:rsidRDefault="00CF4CE3" w:rsidP="00CF4CE3">
            <w:pPr>
              <w:spacing w:after="0" w:line="240" w:lineRule="auto"/>
              <w:jc w:val="center"/>
              <w:rPr>
                <w:rFonts w:ascii="Times New Roman" w:eastAsia="Times New Roman" w:hAnsi="Times New Roman" w:cs="Times New Roman"/>
                <w:sz w:val="16"/>
                <w:szCs w:val="16"/>
                <w:lang w:val="en-GB" w:eastAsia="en-GB"/>
              </w:rPr>
            </w:pPr>
            <w:r w:rsidRPr="00FA100E">
              <w:rPr>
                <w:rFonts w:ascii="Times New Roman" w:eastAsia="Times New Roman" w:hAnsi="Times New Roman" w:cs="Times New Roman"/>
                <w:sz w:val="16"/>
                <w:szCs w:val="16"/>
                <w:lang w:val="en-GB" w:eastAsia="en-GB"/>
              </w:rPr>
              <w:t>Yes</w:t>
            </w:r>
          </w:p>
        </w:tc>
        <w:tc>
          <w:tcPr>
            <w:tcW w:w="1222" w:type="dxa"/>
            <w:tcBorders>
              <w:top w:val="single" w:sz="4" w:space="0" w:color="auto"/>
              <w:left w:val="nil"/>
              <w:bottom w:val="single" w:sz="4" w:space="0" w:color="auto"/>
              <w:right w:val="single" w:sz="4" w:space="0" w:color="auto"/>
            </w:tcBorders>
            <w:shd w:val="clear" w:color="000000" w:fill="FFFFFF"/>
            <w:hideMark/>
          </w:tcPr>
          <w:p w14:paraId="0E5192F3" w14:textId="77777777" w:rsidR="00CF4CE3" w:rsidRPr="00FA100E" w:rsidRDefault="00CF4CE3" w:rsidP="00CF4CE3">
            <w:pPr>
              <w:spacing w:after="0" w:line="240" w:lineRule="auto"/>
              <w:jc w:val="center"/>
              <w:rPr>
                <w:rFonts w:ascii="Times New Roman" w:eastAsia="Times New Roman" w:hAnsi="Times New Roman" w:cs="Times New Roman"/>
                <w:sz w:val="16"/>
                <w:szCs w:val="16"/>
                <w:lang w:val="en-GB" w:eastAsia="en-GB"/>
              </w:rPr>
            </w:pPr>
            <w:r w:rsidRPr="00FA100E">
              <w:rPr>
                <w:rFonts w:ascii="Times New Roman" w:eastAsia="Times New Roman" w:hAnsi="Times New Roman" w:cs="Times New Roman"/>
                <w:sz w:val="16"/>
                <w:szCs w:val="16"/>
                <w:lang w:val="en-GB" w:eastAsia="en-GB"/>
              </w:rPr>
              <w:t>Yes</w:t>
            </w:r>
          </w:p>
        </w:tc>
        <w:tc>
          <w:tcPr>
            <w:tcW w:w="1222" w:type="dxa"/>
            <w:tcBorders>
              <w:top w:val="single" w:sz="4" w:space="0" w:color="auto"/>
              <w:left w:val="nil"/>
              <w:bottom w:val="single" w:sz="4" w:space="0" w:color="auto"/>
              <w:right w:val="single" w:sz="4" w:space="0" w:color="auto"/>
            </w:tcBorders>
            <w:shd w:val="clear" w:color="000000" w:fill="FFFFFF"/>
            <w:hideMark/>
          </w:tcPr>
          <w:p w14:paraId="6A7F3CA8" w14:textId="77777777" w:rsidR="00CF4CE3" w:rsidRPr="00FA100E" w:rsidRDefault="00CF4CE3" w:rsidP="00CF4CE3">
            <w:pPr>
              <w:spacing w:after="0" w:line="240" w:lineRule="auto"/>
              <w:jc w:val="center"/>
              <w:rPr>
                <w:rFonts w:ascii="Times New Roman" w:eastAsia="Times New Roman" w:hAnsi="Times New Roman" w:cs="Times New Roman"/>
                <w:sz w:val="16"/>
                <w:szCs w:val="16"/>
                <w:lang w:val="en-GB" w:eastAsia="en-GB"/>
              </w:rPr>
            </w:pPr>
            <w:r w:rsidRPr="00FA100E">
              <w:rPr>
                <w:rFonts w:ascii="Times New Roman" w:eastAsia="Times New Roman" w:hAnsi="Times New Roman" w:cs="Times New Roman"/>
                <w:sz w:val="16"/>
                <w:szCs w:val="16"/>
                <w:lang w:val="en-GB" w:eastAsia="en-GB"/>
              </w:rPr>
              <w:t>Yes</w:t>
            </w:r>
          </w:p>
        </w:tc>
        <w:tc>
          <w:tcPr>
            <w:tcW w:w="1543" w:type="dxa"/>
            <w:tcBorders>
              <w:top w:val="single" w:sz="4" w:space="0" w:color="auto"/>
              <w:left w:val="nil"/>
              <w:bottom w:val="single" w:sz="4" w:space="0" w:color="auto"/>
              <w:right w:val="single" w:sz="4" w:space="0" w:color="auto"/>
            </w:tcBorders>
            <w:shd w:val="clear" w:color="000000" w:fill="FFFFFF"/>
            <w:hideMark/>
          </w:tcPr>
          <w:p w14:paraId="2E46E4B4" w14:textId="77777777" w:rsidR="00CF4CE3" w:rsidRPr="00FA100E" w:rsidRDefault="00CF4CE3" w:rsidP="00CF4CE3">
            <w:pPr>
              <w:spacing w:after="0" w:line="240" w:lineRule="auto"/>
              <w:jc w:val="center"/>
              <w:rPr>
                <w:rFonts w:ascii="Times New Roman" w:eastAsia="Times New Roman" w:hAnsi="Times New Roman" w:cs="Times New Roman"/>
                <w:sz w:val="16"/>
                <w:szCs w:val="16"/>
                <w:lang w:val="en-GB" w:eastAsia="en-GB"/>
              </w:rPr>
            </w:pPr>
            <w:r w:rsidRPr="00FA100E">
              <w:rPr>
                <w:rFonts w:ascii="Times New Roman" w:eastAsia="Times New Roman" w:hAnsi="Times New Roman" w:cs="Times New Roman"/>
                <w:sz w:val="16"/>
                <w:szCs w:val="16"/>
                <w:lang w:val="en-GB" w:eastAsia="en-GB"/>
              </w:rPr>
              <w:t>Yes</w:t>
            </w:r>
          </w:p>
        </w:tc>
        <w:tc>
          <w:tcPr>
            <w:tcW w:w="1012" w:type="dxa"/>
            <w:tcBorders>
              <w:top w:val="single" w:sz="4" w:space="0" w:color="auto"/>
              <w:left w:val="nil"/>
              <w:bottom w:val="single" w:sz="4" w:space="0" w:color="auto"/>
              <w:right w:val="single" w:sz="4" w:space="0" w:color="auto"/>
            </w:tcBorders>
            <w:shd w:val="clear" w:color="000000" w:fill="FFFFFF"/>
            <w:hideMark/>
          </w:tcPr>
          <w:p w14:paraId="70C0A7E7" w14:textId="77777777" w:rsidR="00CF4CE3" w:rsidRPr="00FA100E" w:rsidRDefault="00CF4CE3" w:rsidP="00CF4CE3">
            <w:pPr>
              <w:spacing w:after="0" w:line="240" w:lineRule="auto"/>
              <w:jc w:val="center"/>
              <w:rPr>
                <w:rFonts w:ascii="Times New Roman" w:eastAsia="Times New Roman" w:hAnsi="Times New Roman" w:cs="Times New Roman"/>
                <w:sz w:val="16"/>
                <w:szCs w:val="16"/>
                <w:lang w:val="en-GB" w:eastAsia="en-GB"/>
              </w:rPr>
            </w:pPr>
            <w:r w:rsidRPr="00FA100E">
              <w:rPr>
                <w:rFonts w:ascii="Times New Roman" w:eastAsia="Times New Roman" w:hAnsi="Times New Roman" w:cs="Times New Roman"/>
                <w:sz w:val="16"/>
                <w:szCs w:val="16"/>
                <w:lang w:val="en-GB" w:eastAsia="en-GB"/>
              </w:rPr>
              <w:t>Yes</w:t>
            </w:r>
          </w:p>
        </w:tc>
        <w:tc>
          <w:tcPr>
            <w:tcW w:w="1239" w:type="dxa"/>
            <w:tcBorders>
              <w:top w:val="single" w:sz="4" w:space="0" w:color="auto"/>
              <w:left w:val="nil"/>
              <w:bottom w:val="single" w:sz="4" w:space="0" w:color="auto"/>
              <w:right w:val="single" w:sz="4" w:space="0" w:color="auto"/>
            </w:tcBorders>
            <w:shd w:val="clear" w:color="000000" w:fill="FFFFFF"/>
            <w:hideMark/>
          </w:tcPr>
          <w:p w14:paraId="29F632F1" w14:textId="77777777" w:rsidR="00CF4CE3" w:rsidRPr="00FA100E" w:rsidRDefault="00CF4CE3" w:rsidP="00CF4CE3">
            <w:pPr>
              <w:spacing w:after="0" w:line="240" w:lineRule="auto"/>
              <w:jc w:val="center"/>
              <w:rPr>
                <w:rFonts w:ascii="Times New Roman" w:eastAsia="Times New Roman" w:hAnsi="Times New Roman" w:cs="Times New Roman"/>
                <w:sz w:val="16"/>
                <w:szCs w:val="16"/>
                <w:lang w:val="en-GB" w:eastAsia="en-GB"/>
              </w:rPr>
            </w:pPr>
            <w:r w:rsidRPr="00FA100E">
              <w:rPr>
                <w:rFonts w:ascii="Times New Roman" w:eastAsia="Times New Roman" w:hAnsi="Times New Roman" w:cs="Times New Roman"/>
                <w:sz w:val="16"/>
                <w:szCs w:val="16"/>
                <w:lang w:val="en-GB" w:eastAsia="en-GB"/>
              </w:rPr>
              <w:t>No</w:t>
            </w:r>
          </w:p>
        </w:tc>
        <w:tc>
          <w:tcPr>
            <w:tcW w:w="1225" w:type="dxa"/>
            <w:tcBorders>
              <w:top w:val="single" w:sz="4" w:space="0" w:color="auto"/>
              <w:left w:val="nil"/>
              <w:bottom w:val="single" w:sz="4" w:space="0" w:color="auto"/>
              <w:right w:val="single" w:sz="4" w:space="0" w:color="auto"/>
            </w:tcBorders>
            <w:shd w:val="clear" w:color="000000" w:fill="FFFFFF"/>
            <w:hideMark/>
          </w:tcPr>
          <w:p w14:paraId="650D2249" w14:textId="77777777" w:rsidR="00CF4CE3" w:rsidRPr="00FA100E" w:rsidRDefault="00CF4CE3" w:rsidP="00CF4CE3">
            <w:pPr>
              <w:spacing w:after="0" w:line="240" w:lineRule="auto"/>
              <w:jc w:val="center"/>
              <w:rPr>
                <w:rFonts w:ascii="Times New Roman" w:eastAsia="Times New Roman" w:hAnsi="Times New Roman" w:cs="Times New Roman"/>
                <w:sz w:val="16"/>
                <w:szCs w:val="16"/>
                <w:lang w:val="en-GB" w:eastAsia="en-GB"/>
              </w:rPr>
            </w:pPr>
            <w:r w:rsidRPr="00FA100E">
              <w:rPr>
                <w:rFonts w:ascii="Times New Roman" w:eastAsia="Times New Roman" w:hAnsi="Times New Roman" w:cs="Times New Roman"/>
                <w:sz w:val="16"/>
                <w:szCs w:val="16"/>
                <w:lang w:val="en-GB" w:eastAsia="en-GB"/>
              </w:rPr>
              <w:t>Yes</w:t>
            </w:r>
          </w:p>
        </w:tc>
        <w:tc>
          <w:tcPr>
            <w:tcW w:w="1236" w:type="dxa"/>
            <w:tcBorders>
              <w:top w:val="single" w:sz="4" w:space="0" w:color="auto"/>
              <w:left w:val="nil"/>
              <w:bottom w:val="single" w:sz="4" w:space="0" w:color="auto"/>
              <w:right w:val="single" w:sz="4" w:space="0" w:color="auto"/>
            </w:tcBorders>
            <w:shd w:val="clear" w:color="000000" w:fill="FFFFFF"/>
            <w:hideMark/>
          </w:tcPr>
          <w:p w14:paraId="43E94973" w14:textId="77777777" w:rsidR="00CF4CE3" w:rsidRPr="00FA100E" w:rsidRDefault="00CF4CE3" w:rsidP="00CF4CE3">
            <w:pPr>
              <w:spacing w:after="0" w:line="240" w:lineRule="auto"/>
              <w:jc w:val="center"/>
              <w:rPr>
                <w:rFonts w:ascii="Times New Roman" w:eastAsia="Times New Roman" w:hAnsi="Times New Roman" w:cs="Times New Roman"/>
                <w:sz w:val="16"/>
                <w:szCs w:val="16"/>
                <w:lang w:val="en-GB" w:eastAsia="en-GB"/>
              </w:rPr>
            </w:pPr>
            <w:r w:rsidRPr="00FA100E">
              <w:rPr>
                <w:rFonts w:ascii="Times New Roman" w:eastAsia="Times New Roman" w:hAnsi="Times New Roman" w:cs="Times New Roman"/>
                <w:sz w:val="16"/>
                <w:szCs w:val="16"/>
                <w:lang w:val="en-GB" w:eastAsia="en-GB"/>
              </w:rPr>
              <w:t>Yes</w:t>
            </w:r>
          </w:p>
        </w:tc>
        <w:tc>
          <w:tcPr>
            <w:tcW w:w="1060" w:type="dxa"/>
            <w:tcBorders>
              <w:top w:val="single" w:sz="4" w:space="0" w:color="auto"/>
              <w:left w:val="nil"/>
              <w:bottom w:val="single" w:sz="4" w:space="0" w:color="auto"/>
              <w:right w:val="single" w:sz="4" w:space="0" w:color="auto"/>
            </w:tcBorders>
            <w:shd w:val="clear" w:color="000000" w:fill="FFFFFF"/>
            <w:noWrap/>
            <w:hideMark/>
          </w:tcPr>
          <w:p w14:paraId="67B38F13" w14:textId="77777777" w:rsidR="00CF4CE3" w:rsidRPr="00FA100E" w:rsidRDefault="00CF4CE3" w:rsidP="00CF4CE3">
            <w:pPr>
              <w:spacing w:after="0" w:line="240" w:lineRule="auto"/>
              <w:jc w:val="center"/>
              <w:rPr>
                <w:rFonts w:ascii="Times New Roman" w:eastAsia="Times New Roman" w:hAnsi="Times New Roman" w:cs="Times New Roman"/>
                <w:sz w:val="20"/>
                <w:szCs w:val="20"/>
                <w:lang w:val="en-GB" w:eastAsia="en-GB"/>
              </w:rPr>
            </w:pPr>
            <w:r w:rsidRPr="00FA100E">
              <w:rPr>
                <w:rFonts w:ascii="Times New Roman" w:eastAsia="Times New Roman" w:hAnsi="Times New Roman" w:cs="Times New Roman"/>
                <w:sz w:val="20"/>
                <w:szCs w:val="20"/>
                <w:lang w:val="en-GB" w:eastAsia="en-GB"/>
              </w:rPr>
              <w:t>7</w:t>
            </w:r>
          </w:p>
        </w:tc>
      </w:tr>
      <w:tr w:rsidR="00FA100E" w:rsidRPr="00FA100E" w14:paraId="4C78A5AA" w14:textId="77777777" w:rsidTr="00CF4CE3">
        <w:trPr>
          <w:trHeight w:val="390"/>
        </w:trPr>
        <w:tc>
          <w:tcPr>
            <w:tcW w:w="1881" w:type="dxa"/>
            <w:tcBorders>
              <w:top w:val="nil"/>
              <w:left w:val="single" w:sz="4" w:space="0" w:color="auto"/>
              <w:bottom w:val="single" w:sz="4" w:space="0" w:color="auto"/>
              <w:right w:val="single" w:sz="4" w:space="0" w:color="auto"/>
            </w:tcBorders>
            <w:shd w:val="clear" w:color="000000" w:fill="FFFFFF"/>
            <w:noWrap/>
            <w:hideMark/>
          </w:tcPr>
          <w:p w14:paraId="7685E5C3" w14:textId="77777777" w:rsidR="00CF4CE3" w:rsidRPr="00FA100E" w:rsidRDefault="00CF4CE3" w:rsidP="00CF4CE3">
            <w:pPr>
              <w:spacing w:after="0" w:line="240" w:lineRule="auto"/>
              <w:rPr>
                <w:rFonts w:ascii="Times New Roman" w:eastAsia="Times New Roman" w:hAnsi="Times New Roman" w:cs="Times New Roman"/>
                <w:sz w:val="16"/>
                <w:szCs w:val="16"/>
                <w:lang w:val="en-GB" w:eastAsia="en-GB"/>
              </w:rPr>
            </w:pPr>
            <w:r w:rsidRPr="00FA100E">
              <w:rPr>
                <w:rFonts w:ascii="Times New Roman" w:eastAsia="Times New Roman" w:hAnsi="Times New Roman" w:cs="Times New Roman"/>
                <w:sz w:val="16"/>
                <w:szCs w:val="16"/>
                <w:lang w:val="en-GB" w:eastAsia="en-GB"/>
              </w:rPr>
              <w:t>Baraniecki 2021</w:t>
            </w:r>
          </w:p>
        </w:tc>
        <w:tc>
          <w:tcPr>
            <w:tcW w:w="1220" w:type="dxa"/>
            <w:tcBorders>
              <w:top w:val="nil"/>
              <w:left w:val="nil"/>
              <w:bottom w:val="single" w:sz="4" w:space="0" w:color="auto"/>
              <w:right w:val="single" w:sz="4" w:space="0" w:color="auto"/>
            </w:tcBorders>
            <w:shd w:val="clear" w:color="000000" w:fill="FFFFFF"/>
            <w:hideMark/>
          </w:tcPr>
          <w:p w14:paraId="09CC718A" w14:textId="77777777" w:rsidR="00CF4CE3" w:rsidRPr="00FA100E" w:rsidRDefault="00CF4CE3" w:rsidP="00CF4CE3">
            <w:pPr>
              <w:spacing w:after="0" w:line="240" w:lineRule="auto"/>
              <w:jc w:val="center"/>
              <w:rPr>
                <w:rFonts w:ascii="Times New Roman" w:eastAsia="Times New Roman" w:hAnsi="Times New Roman" w:cs="Times New Roman"/>
                <w:sz w:val="16"/>
                <w:szCs w:val="16"/>
                <w:lang w:val="en-GB" w:eastAsia="en-GB"/>
              </w:rPr>
            </w:pPr>
            <w:r w:rsidRPr="00FA100E">
              <w:rPr>
                <w:rFonts w:ascii="Times New Roman" w:eastAsia="Times New Roman" w:hAnsi="Times New Roman" w:cs="Times New Roman"/>
                <w:sz w:val="16"/>
                <w:szCs w:val="16"/>
                <w:lang w:val="en-GB" w:eastAsia="en-GB"/>
              </w:rPr>
              <w:t>Yes</w:t>
            </w:r>
          </w:p>
        </w:tc>
        <w:tc>
          <w:tcPr>
            <w:tcW w:w="1222" w:type="dxa"/>
            <w:tcBorders>
              <w:top w:val="nil"/>
              <w:left w:val="nil"/>
              <w:bottom w:val="single" w:sz="4" w:space="0" w:color="auto"/>
              <w:right w:val="single" w:sz="4" w:space="0" w:color="auto"/>
            </w:tcBorders>
            <w:shd w:val="clear" w:color="000000" w:fill="FFFFFF"/>
            <w:hideMark/>
          </w:tcPr>
          <w:p w14:paraId="032C6CD0" w14:textId="77777777" w:rsidR="00CF4CE3" w:rsidRPr="00FA100E" w:rsidRDefault="00CF4CE3" w:rsidP="00CF4CE3">
            <w:pPr>
              <w:spacing w:after="0" w:line="240" w:lineRule="auto"/>
              <w:jc w:val="center"/>
              <w:rPr>
                <w:rFonts w:ascii="Times New Roman" w:eastAsia="Times New Roman" w:hAnsi="Times New Roman" w:cs="Times New Roman"/>
                <w:sz w:val="16"/>
                <w:szCs w:val="16"/>
                <w:lang w:val="en-GB" w:eastAsia="en-GB"/>
              </w:rPr>
            </w:pPr>
            <w:r w:rsidRPr="00FA100E">
              <w:rPr>
                <w:rFonts w:ascii="Times New Roman" w:eastAsia="Times New Roman" w:hAnsi="Times New Roman" w:cs="Times New Roman"/>
                <w:sz w:val="16"/>
                <w:szCs w:val="16"/>
                <w:lang w:val="en-GB" w:eastAsia="en-GB"/>
              </w:rPr>
              <w:t>Yes</w:t>
            </w:r>
          </w:p>
        </w:tc>
        <w:tc>
          <w:tcPr>
            <w:tcW w:w="1222" w:type="dxa"/>
            <w:tcBorders>
              <w:top w:val="nil"/>
              <w:left w:val="nil"/>
              <w:bottom w:val="single" w:sz="4" w:space="0" w:color="auto"/>
              <w:right w:val="single" w:sz="4" w:space="0" w:color="auto"/>
            </w:tcBorders>
            <w:shd w:val="clear" w:color="000000" w:fill="FFFFFF"/>
            <w:hideMark/>
          </w:tcPr>
          <w:p w14:paraId="5A572B72" w14:textId="77777777" w:rsidR="00CF4CE3" w:rsidRPr="00FA100E" w:rsidRDefault="00CF4CE3" w:rsidP="00CF4CE3">
            <w:pPr>
              <w:spacing w:after="0" w:line="240" w:lineRule="auto"/>
              <w:jc w:val="center"/>
              <w:rPr>
                <w:rFonts w:ascii="Times New Roman" w:eastAsia="Times New Roman" w:hAnsi="Times New Roman" w:cs="Times New Roman"/>
                <w:sz w:val="16"/>
                <w:szCs w:val="16"/>
                <w:lang w:val="en-GB" w:eastAsia="en-GB"/>
              </w:rPr>
            </w:pPr>
            <w:r w:rsidRPr="00FA100E">
              <w:rPr>
                <w:rFonts w:ascii="Times New Roman" w:eastAsia="Times New Roman" w:hAnsi="Times New Roman" w:cs="Times New Roman"/>
                <w:sz w:val="16"/>
                <w:szCs w:val="16"/>
                <w:lang w:val="en-GB" w:eastAsia="en-GB"/>
              </w:rPr>
              <w:t>Yes</w:t>
            </w:r>
          </w:p>
        </w:tc>
        <w:tc>
          <w:tcPr>
            <w:tcW w:w="1543" w:type="dxa"/>
            <w:tcBorders>
              <w:top w:val="nil"/>
              <w:left w:val="nil"/>
              <w:bottom w:val="single" w:sz="4" w:space="0" w:color="auto"/>
              <w:right w:val="single" w:sz="4" w:space="0" w:color="auto"/>
            </w:tcBorders>
            <w:shd w:val="clear" w:color="000000" w:fill="FFFFFF"/>
            <w:hideMark/>
          </w:tcPr>
          <w:p w14:paraId="5D2AA3FC" w14:textId="77777777" w:rsidR="00CF4CE3" w:rsidRPr="00FA100E" w:rsidRDefault="00CF4CE3" w:rsidP="00CF4CE3">
            <w:pPr>
              <w:spacing w:after="0" w:line="240" w:lineRule="auto"/>
              <w:jc w:val="center"/>
              <w:rPr>
                <w:rFonts w:ascii="Times New Roman" w:eastAsia="Times New Roman" w:hAnsi="Times New Roman" w:cs="Times New Roman"/>
                <w:sz w:val="16"/>
                <w:szCs w:val="16"/>
                <w:lang w:val="en-GB" w:eastAsia="en-GB"/>
              </w:rPr>
            </w:pPr>
            <w:r w:rsidRPr="00FA100E">
              <w:rPr>
                <w:rFonts w:ascii="Times New Roman" w:eastAsia="Times New Roman" w:hAnsi="Times New Roman" w:cs="Times New Roman"/>
                <w:sz w:val="16"/>
                <w:szCs w:val="16"/>
                <w:lang w:val="en-GB" w:eastAsia="en-GB"/>
              </w:rPr>
              <w:t>Yes</w:t>
            </w:r>
          </w:p>
        </w:tc>
        <w:tc>
          <w:tcPr>
            <w:tcW w:w="1012" w:type="dxa"/>
            <w:tcBorders>
              <w:top w:val="nil"/>
              <w:left w:val="nil"/>
              <w:bottom w:val="single" w:sz="4" w:space="0" w:color="auto"/>
              <w:right w:val="single" w:sz="4" w:space="0" w:color="auto"/>
            </w:tcBorders>
            <w:shd w:val="clear" w:color="000000" w:fill="FFFFFF"/>
            <w:hideMark/>
          </w:tcPr>
          <w:p w14:paraId="47E1D6C9" w14:textId="77777777" w:rsidR="00CF4CE3" w:rsidRPr="00FA100E" w:rsidRDefault="00CF4CE3" w:rsidP="00CF4CE3">
            <w:pPr>
              <w:spacing w:after="0" w:line="240" w:lineRule="auto"/>
              <w:jc w:val="center"/>
              <w:rPr>
                <w:rFonts w:ascii="Times New Roman" w:eastAsia="Times New Roman" w:hAnsi="Times New Roman" w:cs="Times New Roman"/>
                <w:sz w:val="16"/>
                <w:szCs w:val="16"/>
                <w:lang w:val="en-GB" w:eastAsia="en-GB"/>
              </w:rPr>
            </w:pPr>
            <w:r w:rsidRPr="00FA100E">
              <w:rPr>
                <w:rFonts w:ascii="Times New Roman" w:eastAsia="Times New Roman" w:hAnsi="Times New Roman" w:cs="Times New Roman"/>
                <w:sz w:val="16"/>
                <w:szCs w:val="16"/>
                <w:lang w:val="en-GB" w:eastAsia="en-GB"/>
              </w:rPr>
              <w:t>Yes</w:t>
            </w:r>
          </w:p>
        </w:tc>
        <w:tc>
          <w:tcPr>
            <w:tcW w:w="1239" w:type="dxa"/>
            <w:tcBorders>
              <w:top w:val="nil"/>
              <w:left w:val="nil"/>
              <w:bottom w:val="single" w:sz="4" w:space="0" w:color="auto"/>
              <w:right w:val="single" w:sz="4" w:space="0" w:color="auto"/>
            </w:tcBorders>
            <w:shd w:val="clear" w:color="000000" w:fill="FFFFFF"/>
            <w:hideMark/>
          </w:tcPr>
          <w:p w14:paraId="3DF9A780" w14:textId="77777777" w:rsidR="00CF4CE3" w:rsidRPr="00FA100E" w:rsidRDefault="00CF4CE3" w:rsidP="00CF4CE3">
            <w:pPr>
              <w:spacing w:after="0" w:line="240" w:lineRule="auto"/>
              <w:jc w:val="center"/>
              <w:rPr>
                <w:rFonts w:ascii="Times New Roman" w:eastAsia="Times New Roman" w:hAnsi="Times New Roman" w:cs="Times New Roman"/>
                <w:sz w:val="16"/>
                <w:szCs w:val="16"/>
                <w:lang w:val="en-GB" w:eastAsia="en-GB"/>
              </w:rPr>
            </w:pPr>
            <w:r w:rsidRPr="00FA100E">
              <w:rPr>
                <w:rFonts w:ascii="Times New Roman" w:eastAsia="Times New Roman" w:hAnsi="Times New Roman" w:cs="Times New Roman"/>
                <w:sz w:val="16"/>
                <w:szCs w:val="16"/>
                <w:lang w:val="en-GB" w:eastAsia="en-GB"/>
              </w:rPr>
              <w:t>Yes</w:t>
            </w:r>
          </w:p>
        </w:tc>
        <w:tc>
          <w:tcPr>
            <w:tcW w:w="1225" w:type="dxa"/>
            <w:tcBorders>
              <w:top w:val="nil"/>
              <w:left w:val="nil"/>
              <w:bottom w:val="single" w:sz="4" w:space="0" w:color="auto"/>
              <w:right w:val="single" w:sz="4" w:space="0" w:color="auto"/>
            </w:tcBorders>
            <w:shd w:val="clear" w:color="000000" w:fill="FFFFFF"/>
            <w:hideMark/>
          </w:tcPr>
          <w:p w14:paraId="2D9BA21B" w14:textId="77777777" w:rsidR="00CF4CE3" w:rsidRPr="00FA100E" w:rsidRDefault="00CF4CE3" w:rsidP="00CF4CE3">
            <w:pPr>
              <w:spacing w:after="0" w:line="240" w:lineRule="auto"/>
              <w:jc w:val="center"/>
              <w:rPr>
                <w:rFonts w:ascii="Times New Roman" w:eastAsia="Times New Roman" w:hAnsi="Times New Roman" w:cs="Times New Roman"/>
                <w:sz w:val="16"/>
                <w:szCs w:val="16"/>
                <w:lang w:val="en-GB" w:eastAsia="en-GB"/>
              </w:rPr>
            </w:pPr>
            <w:r w:rsidRPr="00FA100E">
              <w:rPr>
                <w:rFonts w:ascii="Times New Roman" w:eastAsia="Times New Roman" w:hAnsi="Times New Roman" w:cs="Times New Roman"/>
                <w:sz w:val="16"/>
                <w:szCs w:val="16"/>
                <w:lang w:val="en-GB" w:eastAsia="en-GB"/>
              </w:rPr>
              <w:t>Yes</w:t>
            </w:r>
          </w:p>
        </w:tc>
        <w:tc>
          <w:tcPr>
            <w:tcW w:w="1236" w:type="dxa"/>
            <w:tcBorders>
              <w:top w:val="nil"/>
              <w:left w:val="nil"/>
              <w:bottom w:val="single" w:sz="4" w:space="0" w:color="auto"/>
              <w:right w:val="single" w:sz="4" w:space="0" w:color="auto"/>
            </w:tcBorders>
            <w:shd w:val="clear" w:color="000000" w:fill="FFFFFF"/>
            <w:hideMark/>
          </w:tcPr>
          <w:p w14:paraId="46A6C006" w14:textId="77777777" w:rsidR="00CF4CE3" w:rsidRPr="00FA100E" w:rsidRDefault="00CF4CE3" w:rsidP="00CF4CE3">
            <w:pPr>
              <w:spacing w:after="0" w:line="240" w:lineRule="auto"/>
              <w:jc w:val="center"/>
              <w:rPr>
                <w:rFonts w:ascii="Times New Roman" w:eastAsia="Times New Roman" w:hAnsi="Times New Roman" w:cs="Times New Roman"/>
                <w:sz w:val="16"/>
                <w:szCs w:val="16"/>
                <w:lang w:val="en-GB" w:eastAsia="en-GB"/>
              </w:rPr>
            </w:pPr>
            <w:r w:rsidRPr="00FA100E">
              <w:rPr>
                <w:rFonts w:ascii="Times New Roman" w:eastAsia="Times New Roman" w:hAnsi="Times New Roman" w:cs="Times New Roman"/>
                <w:sz w:val="16"/>
                <w:szCs w:val="16"/>
                <w:lang w:val="en-GB" w:eastAsia="en-GB"/>
              </w:rPr>
              <w:t>Yes</w:t>
            </w:r>
          </w:p>
        </w:tc>
        <w:tc>
          <w:tcPr>
            <w:tcW w:w="1060" w:type="dxa"/>
            <w:tcBorders>
              <w:top w:val="nil"/>
              <w:left w:val="nil"/>
              <w:bottom w:val="single" w:sz="4" w:space="0" w:color="auto"/>
              <w:right w:val="single" w:sz="4" w:space="0" w:color="auto"/>
            </w:tcBorders>
            <w:shd w:val="clear" w:color="000000" w:fill="FFFFFF"/>
            <w:noWrap/>
            <w:hideMark/>
          </w:tcPr>
          <w:p w14:paraId="06217455" w14:textId="77777777" w:rsidR="00CF4CE3" w:rsidRPr="00FA100E" w:rsidRDefault="00CF4CE3" w:rsidP="00CF4CE3">
            <w:pPr>
              <w:spacing w:after="0" w:line="240" w:lineRule="auto"/>
              <w:jc w:val="center"/>
              <w:rPr>
                <w:rFonts w:ascii="Times New Roman" w:eastAsia="Times New Roman" w:hAnsi="Times New Roman" w:cs="Times New Roman"/>
                <w:sz w:val="20"/>
                <w:szCs w:val="20"/>
                <w:lang w:val="en-GB" w:eastAsia="en-GB"/>
              </w:rPr>
            </w:pPr>
            <w:r w:rsidRPr="00FA100E">
              <w:rPr>
                <w:rFonts w:ascii="Times New Roman" w:eastAsia="Times New Roman" w:hAnsi="Times New Roman" w:cs="Times New Roman"/>
                <w:sz w:val="20"/>
                <w:szCs w:val="20"/>
                <w:lang w:val="en-GB" w:eastAsia="en-GB"/>
              </w:rPr>
              <w:t>8</w:t>
            </w:r>
          </w:p>
        </w:tc>
      </w:tr>
      <w:tr w:rsidR="00FA100E" w:rsidRPr="00FA100E" w14:paraId="2BD975CB" w14:textId="77777777" w:rsidTr="00CF4CE3">
        <w:trPr>
          <w:trHeight w:val="390"/>
        </w:trPr>
        <w:tc>
          <w:tcPr>
            <w:tcW w:w="1881" w:type="dxa"/>
            <w:tcBorders>
              <w:top w:val="nil"/>
              <w:left w:val="single" w:sz="4" w:space="0" w:color="auto"/>
              <w:bottom w:val="single" w:sz="4" w:space="0" w:color="auto"/>
              <w:right w:val="single" w:sz="4" w:space="0" w:color="auto"/>
            </w:tcBorders>
            <w:shd w:val="clear" w:color="000000" w:fill="FFFFFF"/>
            <w:noWrap/>
            <w:hideMark/>
          </w:tcPr>
          <w:p w14:paraId="4B783ADB" w14:textId="77777777" w:rsidR="00CF4CE3" w:rsidRPr="00FA100E" w:rsidRDefault="00CF4CE3" w:rsidP="00CF4CE3">
            <w:pPr>
              <w:spacing w:after="0" w:line="240" w:lineRule="auto"/>
              <w:rPr>
                <w:rFonts w:ascii="Times New Roman" w:eastAsia="Times New Roman" w:hAnsi="Times New Roman" w:cs="Times New Roman"/>
                <w:sz w:val="16"/>
                <w:szCs w:val="16"/>
                <w:lang w:val="en-GB" w:eastAsia="en-GB"/>
              </w:rPr>
            </w:pPr>
            <w:r w:rsidRPr="00FA100E">
              <w:rPr>
                <w:rFonts w:ascii="Times New Roman" w:eastAsia="Times New Roman" w:hAnsi="Times New Roman" w:cs="Times New Roman"/>
                <w:sz w:val="16"/>
                <w:szCs w:val="16"/>
                <w:lang w:val="en-GB" w:eastAsia="en-GB"/>
              </w:rPr>
              <w:t>Brubacher 2022</w:t>
            </w:r>
          </w:p>
        </w:tc>
        <w:tc>
          <w:tcPr>
            <w:tcW w:w="1220" w:type="dxa"/>
            <w:tcBorders>
              <w:top w:val="nil"/>
              <w:left w:val="nil"/>
              <w:bottom w:val="single" w:sz="4" w:space="0" w:color="auto"/>
              <w:right w:val="single" w:sz="4" w:space="0" w:color="auto"/>
            </w:tcBorders>
            <w:shd w:val="clear" w:color="000000" w:fill="FFFFFF"/>
            <w:hideMark/>
          </w:tcPr>
          <w:p w14:paraId="5E76C411" w14:textId="77777777" w:rsidR="00CF4CE3" w:rsidRPr="00FA100E" w:rsidRDefault="00CF4CE3" w:rsidP="00CF4CE3">
            <w:pPr>
              <w:spacing w:after="0" w:line="240" w:lineRule="auto"/>
              <w:jc w:val="center"/>
              <w:rPr>
                <w:rFonts w:ascii="Times New Roman" w:eastAsia="Times New Roman" w:hAnsi="Times New Roman" w:cs="Times New Roman"/>
                <w:sz w:val="16"/>
                <w:szCs w:val="16"/>
                <w:lang w:val="en-GB" w:eastAsia="en-GB"/>
              </w:rPr>
            </w:pPr>
            <w:r w:rsidRPr="00FA100E">
              <w:rPr>
                <w:rFonts w:ascii="Times New Roman" w:eastAsia="Times New Roman" w:hAnsi="Times New Roman" w:cs="Times New Roman"/>
                <w:sz w:val="16"/>
                <w:szCs w:val="16"/>
                <w:lang w:val="en-GB" w:eastAsia="en-GB"/>
              </w:rPr>
              <w:t>Yes</w:t>
            </w:r>
          </w:p>
        </w:tc>
        <w:tc>
          <w:tcPr>
            <w:tcW w:w="1222" w:type="dxa"/>
            <w:tcBorders>
              <w:top w:val="nil"/>
              <w:left w:val="nil"/>
              <w:bottom w:val="single" w:sz="4" w:space="0" w:color="auto"/>
              <w:right w:val="single" w:sz="4" w:space="0" w:color="auto"/>
            </w:tcBorders>
            <w:shd w:val="clear" w:color="000000" w:fill="FFFFFF"/>
            <w:hideMark/>
          </w:tcPr>
          <w:p w14:paraId="0D4C9838" w14:textId="77777777" w:rsidR="00CF4CE3" w:rsidRPr="00FA100E" w:rsidRDefault="00CF4CE3" w:rsidP="00CF4CE3">
            <w:pPr>
              <w:spacing w:after="0" w:line="240" w:lineRule="auto"/>
              <w:jc w:val="center"/>
              <w:rPr>
                <w:rFonts w:ascii="Times New Roman" w:eastAsia="Times New Roman" w:hAnsi="Times New Roman" w:cs="Times New Roman"/>
                <w:sz w:val="16"/>
                <w:szCs w:val="16"/>
                <w:lang w:val="en-GB" w:eastAsia="en-GB"/>
              </w:rPr>
            </w:pPr>
            <w:r w:rsidRPr="00FA100E">
              <w:rPr>
                <w:rFonts w:ascii="Times New Roman" w:eastAsia="Times New Roman" w:hAnsi="Times New Roman" w:cs="Times New Roman"/>
                <w:sz w:val="16"/>
                <w:szCs w:val="16"/>
                <w:lang w:val="en-GB" w:eastAsia="en-GB"/>
              </w:rPr>
              <w:t>Yes</w:t>
            </w:r>
          </w:p>
        </w:tc>
        <w:tc>
          <w:tcPr>
            <w:tcW w:w="1222" w:type="dxa"/>
            <w:tcBorders>
              <w:top w:val="nil"/>
              <w:left w:val="nil"/>
              <w:bottom w:val="single" w:sz="4" w:space="0" w:color="auto"/>
              <w:right w:val="single" w:sz="4" w:space="0" w:color="auto"/>
            </w:tcBorders>
            <w:shd w:val="clear" w:color="000000" w:fill="FFFFFF"/>
            <w:hideMark/>
          </w:tcPr>
          <w:p w14:paraId="4E78603A" w14:textId="77777777" w:rsidR="00CF4CE3" w:rsidRPr="00FA100E" w:rsidRDefault="00CF4CE3" w:rsidP="00CF4CE3">
            <w:pPr>
              <w:spacing w:after="0" w:line="240" w:lineRule="auto"/>
              <w:jc w:val="center"/>
              <w:rPr>
                <w:rFonts w:ascii="Times New Roman" w:eastAsia="Times New Roman" w:hAnsi="Times New Roman" w:cs="Times New Roman"/>
                <w:sz w:val="16"/>
                <w:szCs w:val="16"/>
                <w:lang w:val="en-GB" w:eastAsia="en-GB"/>
              </w:rPr>
            </w:pPr>
            <w:r w:rsidRPr="00FA100E">
              <w:rPr>
                <w:rFonts w:ascii="Times New Roman" w:eastAsia="Times New Roman" w:hAnsi="Times New Roman" w:cs="Times New Roman"/>
                <w:sz w:val="16"/>
                <w:szCs w:val="16"/>
                <w:lang w:val="en-GB" w:eastAsia="en-GB"/>
              </w:rPr>
              <w:t>Yes</w:t>
            </w:r>
          </w:p>
        </w:tc>
        <w:tc>
          <w:tcPr>
            <w:tcW w:w="1543" w:type="dxa"/>
            <w:tcBorders>
              <w:top w:val="nil"/>
              <w:left w:val="nil"/>
              <w:bottom w:val="single" w:sz="4" w:space="0" w:color="auto"/>
              <w:right w:val="single" w:sz="4" w:space="0" w:color="auto"/>
            </w:tcBorders>
            <w:shd w:val="clear" w:color="000000" w:fill="FFFFFF"/>
            <w:hideMark/>
          </w:tcPr>
          <w:p w14:paraId="7B1080A3" w14:textId="77777777" w:rsidR="00CF4CE3" w:rsidRPr="00FA100E" w:rsidRDefault="00CF4CE3" w:rsidP="00CF4CE3">
            <w:pPr>
              <w:spacing w:after="0" w:line="240" w:lineRule="auto"/>
              <w:jc w:val="center"/>
              <w:rPr>
                <w:rFonts w:ascii="Times New Roman" w:eastAsia="Times New Roman" w:hAnsi="Times New Roman" w:cs="Times New Roman"/>
                <w:sz w:val="16"/>
                <w:szCs w:val="16"/>
                <w:lang w:val="en-GB" w:eastAsia="en-GB"/>
              </w:rPr>
            </w:pPr>
            <w:r w:rsidRPr="00FA100E">
              <w:rPr>
                <w:rFonts w:ascii="Times New Roman" w:eastAsia="Times New Roman" w:hAnsi="Times New Roman" w:cs="Times New Roman"/>
                <w:sz w:val="16"/>
                <w:szCs w:val="16"/>
                <w:lang w:val="en-GB" w:eastAsia="en-GB"/>
              </w:rPr>
              <w:t>Yes</w:t>
            </w:r>
          </w:p>
        </w:tc>
        <w:tc>
          <w:tcPr>
            <w:tcW w:w="1012" w:type="dxa"/>
            <w:tcBorders>
              <w:top w:val="nil"/>
              <w:left w:val="nil"/>
              <w:bottom w:val="single" w:sz="4" w:space="0" w:color="auto"/>
              <w:right w:val="single" w:sz="4" w:space="0" w:color="auto"/>
            </w:tcBorders>
            <w:shd w:val="clear" w:color="000000" w:fill="FFFFFF"/>
            <w:hideMark/>
          </w:tcPr>
          <w:p w14:paraId="4323D8D0" w14:textId="77777777" w:rsidR="00CF4CE3" w:rsidRPr="00FA100E" w:rsidRDefault="00CF4CE3" w:rsidP="00CF4CE3">
            <w:pPr>
              <w:spacing w:after="0" w:line="240" w:lineRule="auto"/>
              <w:jc w:val="center"/>
              <w:rPr>
                <w:rFonts w:ascii="Times New Roman" w:eastAsia="Times New Roman" w:hAnsi="Times New Roman" w:cs="Times New Roman"/>
                <w:sz w:val="16"/>
                <w:szCs w:val="16"/>
                <w:lang w:val="en-GB" w:eastAsia="en-GB"/>
              </w:rPr>
            </w:pPr>
            <w:r w:rsidRPr="00FA100E">
              <w:rPr>
                <w:rFonts w:ascii="Times New Roman" w:eastAsia="Times New Roman" w:hAnsi="Times New Roman" w:cs="Times New Roman"/>
                <w:sz w:val="16"/>
                <w:szCs w:val="16"/>
                <w:lang w:val="en-GB" w:eastAsia="en-GB"/>
              </w:rPr>
              <w:t>Yes</w:t>
            </w:r>
          </w:p>
        </w:tc>
        <w:tc>
          <w:tcPr>
            <w:tcW w:w="1239" w:type="dxa"/>
            <w:tcBorders>
              <w:top w:val="nil"/>
              <w:left w:val="nil"/>
              <w:bottom w:val="single" w:sz="4" w:space="0" w:color="auto"/>
              <w:right w:val="single" w:sz="4" w:space="0" w:color="auto"/>
            </w:tcBorders>
            <w:shd w:val="clear" w:color="000000" w:fill="FFFFFF"/>
            <w:hideMark/>
          </w:tcPr>
          <w:p w14:paraId="5141771B" w14:textId="77777777" w:rsidR="00CF4CE3" w:rsidRPr="00FA100E" w:rsidRDefault="00CF4CE3" w:rsidP="00CF4CE3">
            <w:pPr>
              <w:spacing w:after="0" w:line="240" w:lineRule="auto"/>
              <w:jc w:val="center"/>
              <w:rPr>
                <w:rFonts w:ascii="Times New Roman" w:eastAsia="Times New Roman" w:hAnsi="Times New Roman" w:cs="Times New Roman"/>
                <w:sz w:val="16"/>
                <w:szCs w:val="16"/>
                <w:lang w:val="en-GB" w:eastAsia="en-GB"/>
              </w:rPr>
            </w:pPr>
            <w:r w:rsidRPr="00FA100E">
              <w:rPr>
                <w:rFonts w:ascii="Times New Roman" w:eastAsia="Times New Roman" w:hAnsi="Times New Roman" w:cs="Times New Roman"/>
                <w:sz w:val="16"/>
                <w:szCs w:val="16"/>
                <w:lang w:val="en-GB" w:eastAsia="en-GB"/>
              </w:rPr>
              <w:t>Yes</w:t>
            </w:r>
          </w:p>
        </w:tc>
        <w:tc>
          <w:tcPr>
            <w:tcW w:w="1225" w:type="dxa"/>
            <w:tcBorders>
              <w:top w:val="nil"/>
              <w:left w:val="nil"/>
              <w:bottom w:val="single" w:sz="4" w:space="0" w:color="auto"/>
              <w:right w:val="single" w:sz="4" w:space="0" w:color="auto"/>
            </w:tcBorders>
            <w:shd w:val="clear" w:color="000000" w:fill="FFFFFF"/>
            <w:hideMark/>
          </w:tcPr>
          <w:p w14:paraId="578334F4" w14:textId="77777777" w:rsidR="00CF4CE3" w:rsidRPr="00FA100E" w:rsidRDefault="00CF4CE3" w:rsidP="00CF4CE3">
            <w:pPr>
              <w:spacing w:after="0" w:line="240" w:lineRule="auto"/>
              <w:jc w:val="center"/>
              <w:rPr>
                <w:rFonts w:ascii="Times New Roman" w:eastAsia="Times New Roman" w:hAnsi="Times New Roman" w:cs="Times New Roman"/>
                <w:sz w:val="16"/>
                <w:szCs w:val="16"/>
                <w:lang w:val="en-GB" w:eastAsia="en-GB"/>
              </w:rPr>
            </w:pPr>
            <w:r w:rsidRPr="00FA100E">
              <w:rPr>
                <w:rFonts w:ascii="Times New Roman" w:eastAsia="Times New Roman" w:hAnsi="Times New Roman" w:cs="Times New Roman"/>
                <w:sz w:val="16"/>
                <w:szCs w:val="16"/>
                <w:lang w:val="en-GB" w:eastAsia="en-GB"/>
              </w:rPr>
              <w:t>Yes</w:t>
            </w:r>
          </w:p>
        </w:tc>
        <w:tc>
          <w:tcPr>
            <w:tcW w:w="1236" w:type="dxa"/>
            <w:tcBorders>
              <w:top w:val="nil"/>
              <w:left w:val="nil"/>
              <w:bottom w:val="single" w:sz="4" w:space="0" w:color="auto"/>
              <w:right w:val="single" w:sz="4" w:space="0" w:color="auto"/>
            </w:tcBorders>
            <w:shd w:val="clear" w:color="000000" w:fill="FFFFFF"/>
            <w:hideMark/>
          </w:tcPr>
          <w:p w14:paraId="5F934EED" w14:textId="77777777" w:rsidR="00CF4CE3" w:rsidRPr="00FA100E" w:rsidRDefault="00CF4CE3" w:rsidP="00CF4CE3">
            <w:pPr>
              <w:spacing w:after="0" w:line="240" w:lineRule="auto"/>
              <w:jc w:val="center"/>
              <w:rPr>
                <w:rFonts w:ascii="Times New Roman" w:eastAsia="Times New Roman" w:hAnsi="Times New Roman" w:cs="Times New Roman"/>
                <w:sz w:val="16"/>
                <w:szCs w:val="16"/>
                <w:lang w:val="en-GB" w:eastAsia="en-GB"/>
              </w:rPr>
            </w:pPr>
            <w:r w:rsidRPr="00FA100E">
              <w:rPr>
                <w:rFonts w:ascii="Times New Roman" w:eastAsia="Times New Roman" w:hAnsi="Times New Roman" w:cs="Times New Roman"/>
                <w:sz w:val="16"/>
                <w:szCs w:val="16"/>
                <w:lang w:val="en-GB" w:eastAsia="en-GB"/>
              </w:rPr>
              <w:t>Yes</w:t>
            </w:r>
          </w:p>
        </w:tc>
        <w:tc>
          <w:tcPr>
            <w:tcW w:w="1060" w:type="dxa"/>
            <w:tcBorders>
              <w:top w:val="nil"/>
              <w:left w:val="nil"/>
              <w:bottom w:val="single" w:sz="4" w:space="0" w:color="auto"/>
              <w:right w:val="single" w:sz="4" w:space="0" w:color="auto"/>
            </w:tcBorders>
            <w:shd w:val="clear" w:color="000000" w:fill="FFFFFF"/>
            <w:noWrap/>
            <w:hideMark/>
          </w:tcPr>
          <w:p w14:paraId="3147D595" w14:textId="77777777" w:rsidR="00CF4CE3" w:rsidRPr="00FA100E" w:rsidRDefault="00CF4CE3" w:rsidP="00CF4CE3">
            <w:pPr>
              <w:spacing w:after="0" w:line="240" w:lineRule="auto"/>
              <w:jc w:val="center"/>
              <w:rPr>
                <w:rFonts w:ascii="Times New Roman" w:eastAsia="Times New Roman" w:hAnsi="Times New Roman" w:cs="Times New Roman"/>
                <w:sz w:val="20"/>
                <w:szCs w:val="20"/>
                <w:lang w:val="en-GB" w:eastAsia="en-GB"/>
              </w:rPr>
            </w:pPr>
            <w:r w:rsidRPr="00FA100E">
              <w:rPr>
                <w:rFonts w:ascii="Times New Roman" w:eastAsia="Times New Roman" w:hAnsi="Times New Roman" w:cs="Times New Roman"/>
                <w:sz w:val="20"/>
                <w:szCs w:val="20"/>
                <w:lang w:val="en-GB" w:eastAsia="en-GB"/>
              </w:rPr>
              <w:t>8</w:t>
            </w:r>
          </w:p>
        </w:tc>
      </w:tr>
      <w:tr w:rsidR="00FA100E" w:rsidRPr="00FA100E" w14:paraId="383AAA98" w14:textId="77777777" w:rsidTr="00CF4CE3">
        <w:trPr>
          <w:trHeight w:val="390"/>
        </w:trPr>
        <w:tc>
          <w:tcPr>
            <w:tcW w:w="1881" w:type="dxa"/>
            <w:tcBorders>
              <w:top w:val="nil"/>
              <w:left w:val="single" w:sz="4" w:space="0" w:color="auto"/>
              <w:bottom w:val="single" w:sz="4" w:space="0" w:color="auto"/>
              <w:right w:val="single" w:sz="4" w:space="0" w:color="auto"/>
            </w:tcBorders>
            <w:shd w:val="clear" w:color="000000" w:fill="FFFFFF"/>
            <w:noWrap/>
            <w:hideMark/>
          </w:tcPr>
          <w:p w14:paraId="5088BD38" w14:textId="77777777" w:rsidR="00CF4CE3" w:rsidRPr="00FA100E" w:rsidRDefault="00CF4CE3" w:rsidP="00CF4CE3">
            <w:pPr>
              <w:spacing w:after="0" w:line="240" w:lineRule="auto"/>
              <w:rPr>
                <w:rFonts w:ascii="Times New Roman" w:eastAsia="Times New Roman" w:hAnsi="Times New Roman" w:cs="Times New Roman"/>
                <w:sz w:val="16"/>
                <w:szCs w:val="16"/>
                <w:lang w:val="en-GB" w:eastAsia="en-GB"/>
              </w:rPr>
            </w:pPr>
            <w:r w:rsidRPr="00FA100E">
              <w:rPr>
                <w:rFonts w:ascii="Times New Roman" w:eastAsia="Times New Roman" w:hAnsi="Times New Roman" w:cs="Times New Roman"/>
                <w:sz w:val="16"/>
                <w:szCs w:val="16"/>
                <w:lang w:val="en-GB" w:eastAsia="en-GB"/>
              </w:rPr>
              <w:t xml:space="preserve">Callaghan 2021 </w:t>
            </w:r>
          </w:p>
        </w:tc>
        <w:tc>
          <w:tcPr>
            <w:tcW w:w="1220" w:type="dxa"/>
            <w:tcBorders>
              <w:top w:val="nil"/>
              <w:left w:val="nil"/>
              <w:bottom w:val="single" w:sz="4" w:space="0" w:color="auto"/>
              <w:right w:val="single" w:sz="4" w:space="0" w:color="auto"/>
            </w:tcBorders>
            <w:shd w:val="clear" w:color="000000" w:fill="FFFFFF"/>
            <w:hideMark/>
          </w:tcPr>
          <w:p w14:paraId="28CFEA55" w14:textId="77777777" w:rsidR="00CF4CE3" w:rsidRPr="00FA100E" w:rsidRDefault="00CF4CE3" w:rsidP="00CF4CE3">
            <w:pPr>
              <w:spacing w:after="0" w:line="240" w:lineRule="auto"/>
              <w:jc w:val="center"/>
              <w:rPr>
                <w:rFonts w:ascii="Times New Roman" w:eastAsia="Times New Roman" w:hAnsi="Times New Roman" w:cs="Times New Roman"/>
                <w:sz w:val="16"/>
                <w:szCs w:val="16"/>
                <w:lang w:val="en-GB" w:eastAsia="en-GB"/>
              </w:rPr>
            </w:pPr>
            <w:r w:rsidRPr="00FA100E">
              <w:rPr>
                <w:rFonts w:ascii="Times New Roman" w:eastAsia="Times New Roman" w:hAnsi="Times New Roman" w:cs="Times New Roman"/>
                <w:sz w:val="16"/>
                <w:szCs w:val="16"/>
                <w:lang w:val="en-GB" w:eastAsia="en-GB"/>
              </w:rPr>
              <w:t>Yes</w:t>
            </w:r>
          </w:p>
        </w:tc>
        <w:tc>
          <w:tcPr>
            <w:tcW w:w="1222" w:type="dxa"/>
            <w:tcBorders>
              <w:top w:val="nil"/>
              <w:left w:val="nil"/>
              <w:bottom w:val="single" w:sz="4" w:space="0" w:color="auto"/>
              <w:right w:val="single" w:sz="4" w:space="0" w:color="auto"/>
            </w:tcBorders>
            <w:shd w:val="clear" w:color="000000" w:fill="FFFFFF"/>
            <w:hideMark/>
          </w:tcPr>
          <w:p w14:paraId="4B5D8250" w14:textId="77777777" w:rsidR="00CF4CE3" w:rsidRPr="00FA100E" w:rsidRDefault="00CF4CE3" w:rsidP="00CF4CE3">
            <w:pPr>
              <w:spacing w:after="0" w:line="240" w:lineRule="auto"/>
              <w:jc w:val="center"/>
              <w:rPr>
                <w:rFonts w:ascii="Times New Roman" w:eastAsia="Times New Roman" w:hAnsi="Times New Roman" w:cs="Times New Roman"/>
                <w:sz w:val="16"/>
                <w:szCs w:val="16"/>
                <w:lang w:val="en-GB" w:eastAsia="en-GB"/>
              </w:rPr>
            </w:pPr>
            <w:r w:rsidRPr="00FA100E">
              <w:rPr>
                <w:rFonts w:ascii="Times New Roman" w:eastAsia="Times New Roman" w:hAnsi="Times New Roman" w:cs="Times New Roman"/>
                <w:sz w:val="16"/>
                <w:szCs w:val="16"/>
                <w:lang w:val="en-GB" w:eastAsia="en-GB"/>
              </w:rPr>
              <w:t>Yes</w:t>
            </w:r>
          </w:p>
        </w:tc>
        <w:tc>
          <w:tcPr>
            <w:tcW w:w="1222" w:type="dxa"/>
            <w:tcBorders>
              <w:top w:val="nil"/>
              <w:left w:val="nil"/>
              <w:bottom w:val="single" w:sz="4" w:space="0" w:color="auto"/>
              <w:right w:val="single" w:sz="4" w:space="0" w:color="auto"/>
            </w:tcBorders>
            <w:shd w:val="clear" w:color="000000" w:fill="FFFFFF"/>
            <w:hideMark/>
          </w:tcPr>
          <w:p w14:paraId="5D5D232F" w14:textId="77777777" w:rsidR="00CF4CE3" w:rsidRPr="00FA100E" w:rsidRDefault="00CF4CE3" w:rsidP="00CF4CE3">
            <w:pPr>
              <w:spacing w:after="0" w:line="240" w:lineRule="auto"/>
              <w:jc w:val="center"/>
              <w:rPr>
                <w:rFonts w:ascii="Times New Roman" w:eastAsia="Times New Roman" w:hAnsi="Times New Roman" w:cs="Times New Roman"/>
                <w:sz w:val="16"/>
                <w:szCs w:val="16"/>
                <w:lang w:val="en-GB" w:eastAsia="en-GB"/>
              </w:rPr>
            </w:pPr>
            <w:r w:rsidRPr="00FA100E">
              <w:rPr>
                <w:rFonts w:ascii="Times New Roman" w:eastAsia="Times New Roman" w:hAnsi="Times New Roman" w:cs="Times New Roman"/>
                <w:sz w:val="16"/>
                <w:szCs w:val="16"/>
                <w:lang w:val="en-GB" w:eastAsia="en-GB"/>
              </w:rPr>
              <w:t>Yes</w:t>
            </w:r>
          </w:p>
        </w:tc>
        <w:tc>
          <w:tcPr>
            <w:tcW w:w="1543" w:type="dxa"/>
            <w:tcBorders>
              <w:top w:val="nil"/>
              <w:left w:val="nil"/>
              <w:bottom w:val="single" w:sz="4" w:space="0" w:color="auto"/>
              <w:right w:val="single" w:sz="4" w:space="0" w:color="auto"/>
            </w:tcBorders>
            <w:shd w:val="clear" w:color="000000" w:fill="FFFFFF"/>
            <w:hideMark/>
          </w:tcPr>
          <w:p w14:paraId="591BA008" w14:textId="77777777" w:rsidR="00CF4CE3" w:rsidRPr="00FA100E" w:rsidRDefault="00CF4CE3" w:rsidP="00CF4CE3">
            <w:pPr>
              <w:spacing w:after="0" w:line="240" w:lineRule="auto"/>
              <w:jc w:val="center"/>
              <w:rPr>
                <w:rFonts w:ascii="Times New Roman" w:eastAsia="Times New Roman" w:hAnsi="Times New Roman" w:cs="Times New Roman"/>
                <w:sz w:val="16"/>
                <w:szCs w:val="16"/>
                <w:lang w:val="en-GB" w:eastAsia="en-GB"/>
              </w:rPr>
            </w:pPr>
            <w:r w:rsidRPr="00FA100E">
              <w:rPr>
                <w:rFonts w:ascii="Times New Roman" w:eastAsia="Times New Roman" w:hAnsi="Times New Roman" w:cs="Times New Roman"/>
                <w:sz w:val="16"/>
                <w:szCs w:val="16"/>
                <w:lang w:val="en-GB" w:eastAsia="en-GB"/>
              </w:rPr>
              <w:t>Yes</w:t>
            </w:r>
          </w:p>
        </w:tc>
        <w:tc>
          <w:tcPr>
            <w:tcW w:w="1012" w:type="dxa"/>
            <w:tcBorders>
              <w:top w:val="nil"/>
              <w:left w:val="nil"/>
              <w:bottom w:val="single" w:sz="4" w:space="0" w:color="auto"/>
              <w:right w:val="single" w:sz="4" w:space="0" w:color="auto"/>
            </w:tcBorders>
            <w:shd w:val="clear" w:color="000000" w:fill="FFFFFF"/>
            <w:hideMark/>
          </w:tcPr>
          <w:p w14:paraId="13D74A92" w14:textId="77777777" w:rsidR="00CF4CE3" w:rsidRPr="00FA100E" w:rsidRDefault="00CF4CE3" w:rsidP="00CF4CE3">
            <w:pPr>
              <w:spacing w:after="0" w:line="240" w:lineRule="auto"/>
              <w:jc w:val="center"/>
              <w:rPr>
                <w:rFonts w:ascii="Times New Roman" w:eastAsia="Times New Roman" w:hAnsi="Times New Roman" w:cs="Times New Roman"/>
                <w:sz w:val="16"/>
                <w:szCs w:val="16"/>
                <w:lang w:val="en-GB" w:eastAsia="en-GB"/>
              </w:rPr>
            </w:pPr>
            <w:r w:rsidRPr="00FA100E">
              <w:rPr>
                <w:rFonts w:ascii="Times New Roman" w:eastAsia="Times New Roman" w:hAnsi="Times New Roman" w:cs="Times New Roman"/>
                <w:sz w:val="16"/>
                <w:szCs w:val="16"/>
                <w:lang w:val="en-GB" w:eastAsia="en-GB"/>
              </w:rPr>
              <w:t>Yes</w:t>
            </w:r>
          </w:p>
        </w:tc>
        <w:tc>
          <w:tcPr>
            <w:tcW w:w="1239" w:type="dxa"/>
            <w:tcBorders>
              <w:top w:val="nil"/>
              <w:left w:val="nil"/>
              <w:bottom w:val="single" w:sz="4" w:space="0" w:color="auto"/>
              <w:right w:val="single" w:sz="4" w:space="0" w:color="auto"/>
            </w:tcBorders>
            <w:shd w:val="clear" w:color="000000" w:fill="FFFFFF"/>
            <w:hideMark/>
          </w:tcPr>
          <w:p w14:paraId="45547996" w14:textId="77777777" w:rsidR="00CF4CE3" w:rsidRPr="00FA100E" w:rsidRDefault="00CF4CE3" w:rsidP="00CF4CE3">
            <w:pPr>
              <w:spacing w:after="0" w:line="240" w:lineRule="auto"/>
              <w:jc w:val="center"/>
              <w:rPr>
                <w:rFonts w:ascii="Times New Roman" w:eastAsia="Times New Roman" w:hAnsi="Times New Roman" w:cs="Times New Roman"/>
                <w:sz w:val="16"/>
                <w:szCs w:val="16"/>
                <w:lang w:val="en-GB" w:eastAsia="en-GB"/>
              </w:rPr>
            </w:pPr>
            <w:r w:rsidRPr="00FA100E">
              <w:rPr>
                <w:rFonts w:ascii="Times New Roman" w:eastAsia="Times New Roman" w:hAnsi="Times New Roman" w:cs="Times New Roman"/>
                <w:sz w:val="16"/>
                <w:szCs w:val="16"/>
                <w:lang w:val="en-GB" w:eastAsia="en-GB"/>
              </w:rPr>
              <w:t>No</w:t>
            </w:r>
          </w:p>
        </w:tc>
        <w:tc>
          <w:tcPr>
            <w:tcW w:w="1225" w:type="dxa"/>
            <w:tcBorders>
              <w:top w:val="nil"/>
              <w:left w:val="nil"/>
              <w:bottom w:val="single" w:sz="4" w:space="0" w:color="auto"/>
              <w:right w:val="single" w:sz="4" w:space="0" w:color="auto"/>
            </w:tcBorders>
            <w:shd w:val="clear" w:color="000000" w:fill="FFFFFF"/>
            <w:hideMark/>
          </w:tcPr>
          <w:p w14:paraId="54C95252" w14:textId="77777777" w:rsidR="00CF4CE3" w:rsidRPr="00FA100E" w:rsidRDefault="00CF4CE3" w:rsidP="00CF4CE3">
            <w:pPr>
              <w:spacing w:after="0" w:line="240" w:lineRule="auto"/>
              <w:jc w:val="center"/>
              <w:rPr>
                <w:rFonts w:ascii="Times New Roman" w:eastAsia="Times New Roman" w:hAnsi="Times New Roman" w:cs="Times New Roman"/>
                <w:sz w:val="16"/>
                <w:szCs w:val="16"/>
                <w:lang w:val="en-GB" w:eastAsia="en-GB"/>
              </w:rPr>
            </w:pPr>
            <w:r w:rsidRPr="00FA100E">
              <w:rPr>
                <w:rFonts w:ascii="Times New Roman" w:eastAsia="Times New Roman" w:hAnsi="Times New Roman" w:cs="Times New Roman"/>
                <w:sz w:val="16"/>
                <w:szCs w:val="16"/>
                <w:lang w:val="en-GB" w:eastAsia="en-GB"/>
              </w:rPr>
              <w:t>Yes</w:t>
            </w:r>
          </w:p>
        </w:tc>
        <w:tc>
          <w:tcPr>
            <w:tcW w:w="1236" w:type="dxa"/>
            <w:tcBorders>
              <w:top w:val="nil"/>
              <w:left w:val="nil"/>
              <w:bottom w:val="single" w:sz="4" w:space="0" w:color="auto"/>
              <w:right w:val="single" w:sz="4" w:space="0" w:color="auto"/>
            </w:tcBorders>
            <w:shd w:val="clear" w:color="000000" w:fill="FFFFFF"/>
            <w:hideMark/>
          </w:tcPr>
          <w:p w14:paraId="4A680408" w14:textId="77777777" w:rsidR="00CF4CE3" w:rsidRPr="00FA100E" w:rsidRDefault="00CF4CE3" w:rsidP="00CF4CE3">
            <w:pPr>
              <w:spacing w:after="0" w:line="240" w:lineRule="auto"/>
              <w:jc w:val="center"/>
              <w:rPr>
                <w:rFonts w:ascii="Times New Roman" w:eastAsia="Times New Roman" w:hAnsi="Times New Roman" w:cs="Times New Roman"/>
                <w:sz w:val="16"/>
                <w:szCs w:val="16"/>
                <w:lang w:val="en-GB" w:eastAsia="en-GB"/>
              </w:rPr>
            </w:pPr>
            <w:r w:rsidRPr="00FA100E">
              <w:rPr>
                <w:rFonts w:ascii="Times New Roman" w:eastAsia="Times New Roman" w:hAnsi="Times New Roman" w:cs="Times New Roman"/>
                <w:sz w:val="16"/>
                <w:szCs w:val="16"/>
                <w:lang w:val="en-GB" w:eastAsia="en-GB"/>
              </w:rPr>
              <w:t>Yes</w:t>
            </w:r>
          </w:p>
        </w:tc>
        <w:tc>
          <w:tcPr>
            <w:tcW w:w="1060" w:type="dxa"/>
            <w:tcBorders>
              <w:top w:val="nil"/>
              <w:left w:val="nil"/>
              <w:bottom w:val="single" w:sz="4" w:space="0" w:color="auto"/>
              <w:right w:val="single" w:sz="4" w:space="0" w:color="auto"/>
            </w:tcBorders>
            <w:shd w:val="clear" w:color="000000" w:fill="FFFFFF"/>
            <w:noWrap/>
            <w:hideMark/>
          </w:tcPr>
          <w:p w14:paraId="136F847F" w14:textId="77777777" w:rsidR="00CF4CE3" w:rsidRPr="00FA100E" w:rsidRDefault="00CF4CE3" w:rsidP="00CF4CE3">
            <w:pPr>
              <w:spacing w:after="0" w:line="240" w:lineRule="auto"/>
              <w:jc w:val="center"/>
              <w:rPr>
                <w:rFonts w:ascii="Times New Roman" w:eastAsia="Times New Roman" w:hAnsi="Times New Roman" w:cs="Times New Roman"/>
                <w:sz w:val="20"/>
                <w:szCs w:val="20"/>
                <w:lang w:val="en-GB" w:eastAsia="en-GB"/>
              </w:rPr>
            </w:pPr>
            <w:r w:rsidRPr="00FA100E">
              <w:rPr>
                <w:rFonts w:ascii="Times New Roman" w:eastAsia="Times New Roman" w:hAnsi="Times New Roman" w:cs="Times New Roman"/>
                <w:sz w:val="20"/>
                <w:szCs w:val="20"/>
                <w:lang w:val="en-GB" w:eastAsia="en-GB"/>
              </w:rPr>
              <w:t>7</w:t>
            </w:r>
          </w:p>
        </w:tc>
      </w:tr>
      <w:tr w:rsidR="00FA100E" w:rsidRPr="00FA100E" w14:paraId="2E7E53FD" w14:textId="77777777" w:rsidTr="00CF4CE3">
        <w:trPr>
          <w:trHeight w:val="390"/>
        </w:trPr>
        <w:tc>
          <w:tcPr>
            <w:tcW w:w="1881" w:type="dxa"/>
            <w:tcBorders>
              <w:top w:val="nil"/>
              <w:left w:val="single" w:sz="4" w:space="0" w:color="auto"/>
              <w:bottom w:val="single" w:sz="4" w:space="0" w:color="auto"/>
              <w:right w:val="single" w:sz="4" w:space="0" w:color="auto"/>
            </w:tcBorders>
            <w:shd w:val="clear" w:color="000000" w:fill="FFFFFF"/>
            <w:hideMark/>
          </w:tcPr>
          <w:p w14:paraId="3DAF545F" w14:textId="77777777" w:rsidR="00CF4CE3" w:rsidRPr="00FA100E" w:rsidRDefault="00CF4CE3" w:rsidP="00CF4CE3">
            <w:pPr>
              <w:spacing w:after="0" w:line="240" w:lineRule="auto"/>
              <w:rPr>
                <w:rFonts w:ascii="Times New Roman" w:eastAsia="Times New Roman" w:hAnsi="Times New Roman" w:cs="Times New Roman"/>
                <w:sz w:val="16"/>
                <w:szCs w:val="16"/>
                <w:lang w:val="en-GB" w:eastAsia="en-GB"/>
              </w:rPr>
            </w:pPr>
            <w:r w:rsidRPr="00FA100E">
              <w:rPr>
                <w:rFonts w:ascii="Times New Roman" w:eastAsia="Times New Roman" w:hAnsi="Times New Roman" w:cs="Times New Roman"/>
                <w:sz w:val="16"/>
                <w:szCs w:val="16"/>
                <w:lang w:val="en-GB" w:eastAsia="en-GB"/>
              </w:rPr>
              <w:t>Cohen (2022)</w:t>
            </w:r>
          </w:p>
        </w:tc>
        <w:tc>
          <w:tcPr>
            <w:tcW w:w="1220" w:type="dxa"/>
            <w:tcBorders>
              <w:top w:val="nil"/>
              <w:left w:val="nil"/>
              <w:bottom w:val="single" w:sz="4" w:space="0" w:color="auto"/>
              <w:right w:val="single" w:sz="4" w:space="0" w:color="auto"/>
            </w:tcBorders>
            <w:shd w:val="clear" w:color="000000" w:fill="FFFFFF"/>
            <w:hideMark/>
          </w:tcPr>
          <w:p w14:paraId="0A44A179" w14:textId="77777777" w:rsidR="00CF4CE3" w:rsidRPr="00FA100E" w:rsidRDefault="00CF4CE3" w:rsidP="00CF4CE3">
            <w:pPr>
              <w:spacing w:after="0" w:line="240" w:lineRule="auto"/>
              <w:jc w:val="center"/>
              <w:rPr>
                <w:rFonts w:ascii="Times New Roman" w:eastAsia="Times New Roman" w:hAnsi="Times New Roman" w:cs="Times New Roman"/>
                <w:sz w:val="16"/>
                <w:szCs w:val="16"/>
                <w:lang w:val="en-GB" w:eastAsia="en-GB"/>
              </w:rPr>
            </w:pPr>
            <w:r w:rsidRPr="00FA100E">
              <w:rPr>
                <w:rFonts w:ascii="Times New Roman" w:eastAsia="Times New Roman" w:hAnsi="Times New Roman" w:cs="Times New Roman"/>
                <w:sz w:val="16"/>
                <w:szCs w:val="16"/>
                <w:lang w:val="en-GB" w:eastAsia="en-GB"/>
              </w:rPr>
              <w:t>Yes</w:t>
            </w:r>
          </w:p>
        </w:tc>
        <w:tc>
          <w:tcPr>
            <w:tcW w:w="1222" w:type="dxa"/>
            <w:tcBorders>
              <w:top w:val="nil"/>
              <w:left w:val="nil"/>
              <w:bottom w:val="single" w:sz="4" w:space="0" w:color="auto"/>
              <w:right w:val="single" w:sz="4" w:space="0" w:color="auto"/>
            </w:tcBorders>
            <w:shd w:val="clear" w:color="000000" w:fill="FFFFFF"/>
            <w:hideMark/>
          </w:tcPr>
          <w:p w14:paraId="05F35416" w14:textId="77777777" w:rsidR="00CF4CE3" w:rsidRPr="00FA100E" w:rsidRDefault="00CF4CE3" w:rsidP="00CF4CE3">
            <w:pPr>
              <w:spacing w:after="0" w:line="240" w:lineRule="auto"/>
              <w:jc w:val="center"/>
              <w:rPr>
                <w:rFonts w:ascii="Times New Roman" w:eastAsia="Times New Roman" w:hAnsi="Times New Roman" w:cs="Times New Roman"/>
                <w:sz w:val="16"/>
                <w:szCs w:val="16"/>
                <w:lang w:val="en-GB" w:eastAsia="en-GB"/>
              </w:rPr>
            </w:pPr>
            <w:r w:rsidRPr="00FA100E">
              <w:rPr>
                <w:rFonts w:ascii="Times New Roman" w:eastAsia="Times New Roman" w:hAnsi="Times New Roman" w:cs="Times New Roman"/>
                <w:sz w:val="16"/>
                <w:szCs w:val="16"/>
                <w:lang w:val="en-GB" w:eastAsia="en-GB"/>
              </w:rPr>
              <w:t>Yes</w:t>
            </w:r>
          </w:p>
        </w:tc>
        <w:tc>
          <w:tcPr>
            <w:tcW w:w="1222" w:type="dxa"/>
            <w:tcBorders>
              <w:top w:val="nil"/>
              <w:left w:val="nil"/>
              <w:bottom w:val="single" w:sz="4" w:space="0" w:color="auto"/>
              <w:right w:val="single" w:sz="4" w:space="0" w:color="auto"/>
            </w:tcBorders>
            <w:shd w:val="clear" w:color="000000" w:fill="FFFFFF"/>
            <w:hideMark/>
          </w:tcPr>
          <w:p w14:paraId="62ED7B26" w14:textId="77777777" w:rsidR="00CF4CE3" w:rsidRPr="00FA100E" w:rsidRDefault="00CF4CE3" w:rsidP="00CF4CE3">
            <w:pPr>
              <w:spacing w:after="0" w:line="240" w:lineRule="auto"/>
              <w:jc w:val="center"/>
              <w:rPr>
                <w:rFonts w:ascii="Times New Roman" w:eastAsia="Times New Roman" w:hAnsi="Times New Roman" w:cs="Times New Roman"/>
                <w:sz w:val="16"/>
                <w:szCs w:val="16"/>
                <w:lang w:val="en-GB" w:eastAsia="en-GB"/>
              </w:rPr>
            </w:pPr>
            <w:r w:rsidRPr="00FA100E">
              <w:rPr>
                <w:rFonts w:ascii="Times New Roman" w:eastAsia="Times New Roman" w:hAnsi="Times New Roman" w:cs="Times New Roman"/>
                <w:sz w:val="16"/>
                <w:szCs w:val="16"/>
                <w:lang w:val="en-GB" w:eastAsia="en-GB"/>
              </w:rPr>
              <w:t>Yes</w:t>
            </w:r>
          </w:p>
        </w:tc>
        <w:tc>
          <w:tcPr>
            <w:tcW w:w="1543" w:type="dxa"/>
            <w:tcBorders>
              <w:top w:val="nil"/>
              <w:left w:val="nil"/>
              <w:bottom w:val="single" w:sz="4" w:space="0" w:color="auto"/>
              <w:right w:val="single" w:sz="4" w:space="0" w:color="auto"/>
            </w:tcBorders>
            <w:shd w:val="clear" w:color="000000" w:fill="FFFFFF"/>
            <w:hideMark/>
          </w:tcPr>
          <w:p w14:paraId="4B9A529F" w14:textId="77777777" w:rsidR="00CF4CE3" w:rsidRPr="00FA100E" w:rsidRDefault="00CF4CE3" w:rsidP="00CF4CE3">
            <w:pPr>
              <w:spacing w:after="0" w:line="240" w:lineRule="auto"/>
              <w:jc w:val="center"/>
              <w:rPr>
                <w:rFonts w:ascii="Times New Roman" w:eastAsia="Times New Roman" w:hAnsi="Times New Roman" w:cs="Times New Roman"/>
                <w:sz w:val="16"/>
                <w:szCs w:val="16"/>
                <w:lang w:val="en-GB" w:eastAsia="en-GB"/>
              </w:rPr>
            </w:pPr>
            <w:r w:rsidRPr="00FA100E">
              <w:rPr>
                <w:rFonts w:ascii="Times New Roman" w:eastAsia="Times New Roman" w:hAnsi="Times New Roman" w:cs="Times New Roman"/>
                <w:sz w:val="16"/>
                <w:szCs w:val="16"/>
                <w:lang w:val="en-GB" w:eastAsia="en-GB"/>
              </w:rPr>
              <w:t>Yes</w:t>
            </w:r>
          </w:p>
        </w:tc>
        <w:tc>
          <w:tcPr>
            <w:tcW w:w="1012" w:type="dxa"/>
            <w:tcBorders>
              <w:top w:val="nil"/>
              <w:left w:val="nil"/>
              <w:bottom w:val="single" w:sz="4" w:space="0" w:color="auto"/>
              <w:right w:val="single" w:sz="4" w:space="0" w:color="auto"/>
            </w:tcBorders>
            <w:shd w:val="clear" w:color="000000" w:fill="FFFFFF"/>
            <w:hideMark/>
          </w:tcPr>
          <w:p w14:paraId="7A60743A" w14:textId="77777777" w:rsidR="00CF4CE3" w:rsidRPr="00FA100E" w:rsidRDefault="00CF4CE3" w:rsidP="00CF4CE3">
            <w:pPr>
              <w:spacing w:after="0" w:line="240" w:lineRule="auto"/>
              <w:jc w:val="center"/>
              <w:rPr>
                <w:rFonts w:ascii="Times New Roman" w:eastAsia="Times New Roman" w:hAnsi="Times New Roman" w:cs="Times New Roman"/>
                <w:sz w:val="16"/>
                <w:szCs w:val="16"/>
                <w:lang w:val="en-GB" w:eastAsia="en-GB"/>
              </w:rPr>
            </w:pPr>
            <w:r w:rsidRPr="00FA100E">
              <w:rPr>
                <w:rFonts w:ascii="Times New Roman" w:eastAsia="Times New Roman" w:hAnsi="Times New Roman" w:cs="Times New Roman"/>
                <w:sz w:val="16"/>
                <w:szCs w:val="16"/>
                <w:lang w:val="en-GB" w:eastAsia="en-GB"/>
              </w:rPr>
              <w:t>Yes</w:t>
            </w:r>
          </w:p>
        </w:tc>
        <w:tc>
          <w:tcPr>
            <w:tcW w:w="1239" w:type="dxa"/>
            <w:tcBorders>
              <w:top w:val="nil"/>
              <w:left w:val="nil"/>
              <w:bottom w:val="single" w:sz="4" w:space="0" w:color="auto"/>
              <w:right w:val="single" w:sz="4" w:space="0" w:color="auto"/>
            </w:tcBorders>
            <w:shd w:val="clear" w:color="000000" w:fill="FFFFFF"/>
            <w:hideMark/>
          </w:tcPr>
          <w:p w14:paraId="6157C66F" w14:textId="77777777" w:rsidR="00CF4CE3" w:rsidRPr="00FA100E" w:rsidRDefault="00CF4CE3" w:rsidP="00CF4CE3">
            <w:pPr>
              <w:spacing w:after="0" w:line="240" w:lineRule="auto"/>
              <w:jc w:val="center"/>
              <w:rPr>
                <w:rFonts w:ascii="Times New Roman" w:eastAsia="Times New Roman" w:hAnsi="Times New Roman" w:cs="Times New Roman"/>
                <w:sz w:val="16"/>
                <w:szCs w:val="16"/>
                <w:lang w:val="en-GB" w:eastAsia="en-GB"/>
              </w:rPr>
            </w:pPr>
            <w:r w:rsidRPr="00FA100E">
              <w:rPr>
                <w:rFonts w:ascii="Times New Roman" w:eastAsia="Times New Roman" w:hAnsi="Times New Roman" w:cs="Times New Roman"/>
                <w:sz w:val="16"/>
                <w:szCs w:val="16"/>
                <w:lang w:val="en-GB" w:eastAsia="en-GB"/>
              </w:rPr>
              <w:t>No</w:t>
            </w:r>
          </w:p>
        </w:tc>
        <w:tc>
          <w:tcPr>
            <w:tcW w:w="1225" w:type="dxa"/>
            <w:tcBorders>
              <w:top w:val="nil"/>
              <w:left w:val="nil"/>
              <w:bottom w:val="single" w:sz="4" w:space="0" w:color="auto"/>
              <w:right w:val="single" w:sz="4" w:space="0" w:color="auto"/>
            </w:tcBorders>
            <w:shd w:val="clear" w:color="000000" w:fill="FFFFFF"/>
            <w:hideMark/>
          </w:tcPr>
          <w:p w14:paraId="7F6489C8" w14:textId="77777777" w:rsidR="00CF4CE3" w:rsidRPr="00FA100E" w:rsidRDefault="00CF4CE3" w:rsidP="00CF4CE3">
            <w:pPr>
              <w:spacing w:after="0" w:line="240" w:lineRule="auto"/>
              <w:jc w:val="center"/>
              <w:rPr>
                <w:rFonts w:ascii="Times New Roman" w:eastAsia="Times New Roman" w:hAnsi="Times New Roman" w:cs="Times New Roman"/>
                <w:sz w:val="16"/>
                <w:szCs w:val="16"/>
                <w:lang w:val="en-GB" w:eastAsia="en-GB"/>
              </w:rPr>
            </w:pPr>
            <w:r w:rsidRPr="00FA100E">
              <w:rPr>
                <w:rFonts w:ascii="Times New Roman" w:eastAsia="Times New Roman" w:hAnsi="Times New Roman" w:cs="Times New Roman"/>
                <w:sz w:val="16"/>
                <w:szCs w:val="16"/>
                <w:lang w:val="en-GB" w:eastAsia="en-GB"/>
              </w:rPr>
              <w:t>Yes</w:t>
            </w:r>
          </w:p>
        </w:tc>
        <w:tc>
          <w:tcPr>
            <w:tcW w:w="1236" w:type="dxa"/>
            <w:tcBorders>
              <w:top w:val="nil"/>
              <w:left w:val="nil"/>
              <w:bottom w:val="single" w:sz="4" w:space="0" w:color="auto"/>
              <w:right w:val="single" w:sz="4" w:space="0" w:color="auto"/>
            </w:tcBorders>
            <w:shd w:val="clear" w:color="000000" w:fill="FFFFFF"/>
            <w:hideMark/>
          </w:tcPr>
          <w:p w14:paraId="4F06A85B" w14:textId="77777777" w:rsidR="00CF4CE3" w:rsidRPr="00FA100E" w:rsidRDefault="00CF4CE3" w:rsidP="00CF4CE3">
            <w:pPr>
              <w:spacing w:after="0" w:line="240" w:lineRule="auto"/>
              <w:jc w:val="center"/>
              <w:rPr>
                <w:rFonts w:ascii="Times New Roman" w:eastAsia="Times New Roman" w:hAnsi="Times New Roman" w:cs="Times New Roman"/>
                <w:sz w:val="16"/>
                <w:szCs w:val="16"/>
                <w:lang w:val="en-GB" w:eastAsia="en-GB"/>
              </w:rPr>
            </w:pPr>
            <w:r w:rsidRPr="00FA100E">
              <w:rPr>
                <w:rFonts w:ascii="Times New Roman" w:eastAsia="Times New Roman" w:hAnsi="Times New Roman" w:cs="Times New Roman"/>
                <w:sz w:val="16"/>
                <w:szCs w:val="16"/>
                <w:lang w:val="en-GB" w:eastAsia="en-GB"/>
              </w:rPr>
              <w:t>Yes</w:t>
            </w:r>
          </w:p>
        </w:tc>
        <w:tc>
          <w:tcPr>
            <w:tcW w:w="1060" w:type="dxa"/>
            <w:tcBorders>
              <w:top w:val="nil"/>
              <w:left w:val="nil"/>
              <w:bottom w:val="single" w:sz="4" w:space="0" w:color="auto"/>
              <w:right w:val="single" w:sz="4" w:space="0" w:color="auto"/>
            </w:tcBorders>
            <w:shd w:val="clear" w:color="000000" w:fill="FFFFFF"/>
            <w:hideMark/>
          </w:tcPr>
          <w:p w14:paraId="4D7577B6" w14:textId="77777777" w:rsidR="00CF4CE3" w:rsidRPr="00FA100E" w:rsidRDefault="00CF4CE3" w:rsidP="00CF4CE3">
            <w:pPr>
              <w:spacing w:after="0" w:line="240" w:lineRule="auto"/>
              <w:jc w:val="center"/>
              <w:rPr>
                <w:rFonts w:ascii="Times New Roman" w:eastAsia="Times New Roman" w:hAnsi="Times New Roman" w:cs="Times New Roman"/>
                <w:sz w:val="20"/>
                <w:szCs w:val="20"/>
                <w:lang w:val="en-GB" w:eastAsia="en-GB"/>
              </w:rPr>
            </w:pPr>
            <w:r w:rsidRPr="00FA100E">
              <w:rPr>
                <w:rFonts w:ascii="Times New Roman" w:eastAsia="Times New Roman" w:hAnsi="Times New Roman" w:cs="Times New Roman"/>
                <w:sz w:val="20"/>
                <w:szCs w:val="20"/>
                <w:lang w:val="en-GB" w:eastAsia="en-GB"/>
              </w:rPr>
              <w:t>7</w:t>
            </w:r>
          </w:p>
        </w:tc>
      </w:tr>
      <w:tr w:rsidR="00FA100E" w:rsidRPr="00FA100E" w14:paraId="52AB0D41" w14:textId="77777777" w:rsidTr="00CF4CE3">
        <w:trPr>
          <w:trHeight w:val="390"/>
        </w:trPr>
        <w:tc>
          <w:tcPr>
            <w:tcW w:w="1881" w:type="dxa"/>
            <w:tcBorders>
              <w:top w:val="nil"/>
              <w:left w:val="single" w:sz="4" w:space="0" w:color="auto"/>
              <w:bottom w:val="single" w:sz="4" w:space="0" w:color="auto"/>
              <w:right w:val="single" w:sz="4" w:space="0" w:color="auto"/>
            </w:tcBorders>
            <w:shd w:val="clear" w:color="000000" w:fill="FFFFFF"/>
            <w:hideMark/>
          </w:tcPr>
          <w:p w14:paraId="3F68E6B4" w14:textId="77777777" w:rsidR="00CF4CE3" w:rsidRPr="00FA100E" w:rsidRDefault="00CF4CE3" w:rsidP="00CF4CE3">
            <w:pPr>
              <w:spacing w:after="0" w:line="240" w:lineRule="auto"/>
              <w:rPr>
                <w:rFonts w:ascii="Times New Roman" w:eastAsia="Times New Roman" w:hAnsi="Times New Roman" w:cs="Times New Roman"/>
                <w:sz w:val="16"/>
                <w:szCs w:val="16"/>
                <w:lang w:val="en-GB" w:eastAsia="en-GB"/>
              </w:rPr>
            </w:pPr>
            <w:r w:rsidRPr="00FA100E">
              <w:rPr>
                <w:rFonts w:ascii="Times New Roman" w:eastAsia="Times New Roman" w:hAnsi="Times New Roman" w:cs="Times New Roman"/>
                <w:sz w:val="16"/>
                <w:szCs w:val="16"/>
                <w:lang w:val="en-GB" w:eastAsia="en-GB"/>
              </w:rPr>
              <w:t>Coret (2022)</w:t>
            </w:r>
          </w:p>
        </w:tc>
        <w:tc>
          <w:tcPr>
            <w:tcW w:w="1220" w:type="dxa"/>
            <w:tcBorders>
              <w:top w:val="nil"/>
              <w:left w:val="nil"/>
              <w:bottom w:val="single" w:sz="4" w:space="0" w:color="auto"/>
              <w:right w:val="single" w:sz="4" w:space="0" w:color="auto"/>
            </w:tcBorders>
            <w:shd w:val="clear" w:color="000000" w:fill="FFFFFF"/>
            <w:hideMark/>
          </w:tcPr>
          <w:p w14:paraId="36676068" w14:textId="77777777" w:rsidR="00CF4CE3" w:rsidRPr="00FA100E" w:rsidRDefault="00CF4CE3" w:rsidP="00CF4CE3">
            <w:pPr>
              <w:spacing w:after="0" w:line="240" w:lineRule="auto"/>
              <w:jc w:val="center"/>
              <w:rPr>
                <w:rFonts w:ascii="Times New Roman" w:eastAsia="Times New Roman" w:hAnsi="Times New Roman" w:cs="Times New Roman"/>
                <w:sz w:val="16"/>
                <w:szCs w:val="16"/>
                <w:lang w:val="en-GB" w:eastAsia="en-GB"/>
              </w:rPr>
            </w:pPr>
            <w:r w:rsidRPr="00FA100E">
              <w:rPr>
                <w:rFonts w:ascii="Times New Roman" w:eastAsia="Times New Roman" w:hAnsi="Times New Roman" w:cs="Times New Roman"/>
                <w:sz w:val="16"/>
                <w:szCs w:val="16"/>
                <w:lang w:val="en-GB" w:eastAsia="en-GB"/>
              </w:rPr>
              <w:t>Yes</w:t>
            </w:r>
          </w:p>
        </w:tc>
        <w:tc>
          <w:tcPr>
            <w:tcW w:w="1222" w:type="dxa"/>
            <w:tcBorders>
              <w:top w:val="nil"/>
              <w:left w:val="nil"/>
              <w:bottom w:val="single" w:sz="4" w:space="0" w:color="auto"/>
              <w:right w:val="single" w:sz="4" w:space="0" w:color="auto"/>
            </w:tcBorders>
            <w:shd w:val="clear" w:color="000000" w:fill="FFFFFF"/>
            <w:hideMark/>
          </w:tcPr>
          <w:p w14:paraId="36EA4787" w14:textId="77777777" w:rsidR="00CF4CE3" w:rsidRPr="00FA100E" w:rsidRDefault="00CF4CE3" w:rsidP="00CF4CE3">
            <w:pPr>
              <w:spacing w:after="0" w:line="240" w:lineRule="auto"/>
              <w:jc w:val="center"/>
              <w:rPr>
                <w:rFonts w:ascii="Times New Roman" w:eastAsia="Times New Roman" w:hAnsi="Times New Roman" w:cs="Times New Roman"/>
                <w:sz w:val="16"/>
                <w:szCs w:val="16"/>
                <w:lang w:val="en-GB" w:eastAsia="en-GB"/>
              </w:rPr>
            </w:pPr>
            <w:r w:rsidRPr="00FA100E">
              <w:rPr>
                <w:rFonts w:ascii="Times New Roman" w:eastAsia="Times New Roman" w:hAnsi="Times New Roman" w:cs="Times New Roman"/>
                <w:sz w:val="16"/>
                <w:szCs w:val="16"/>
                <w:lang w:val="en-GB" w:eastAsia="en-GB"/>
              </w:rPr>
              <w:t>Yes</w:t>
            </w:r>
          </w:p>
        </w:tc>
        <w:tc>
          <w:tcPr>
            <w:tcW w:w="1222" w:type="dxa"/>
            <w:tcBorders>
              <w:top w:val="nil"/>
              <w:left w:val="nil"/>
              <w:bottom w:val="single" w:sz="4" w:space="0" w:color="auto"/>
              <w:right w:val="single" w:sz="4" w:space="0" w:color="auto"/>
            </w:tcBorders>
            <w:shd w:val="clear" w:color="000000" w:fill="FFFFFF"/>
            <w:hideMark/>
          </w:tcPr>
          <w:p w14:paraId="54C6E666" w14:textId="77777777" w:rsidR="00CF4CE3" w:rsidRPr="00FA100E" w:rsidRDefault="00CF4CE3" w:rsidP="00CF4CE3">
            <w:pPr>
              <w:spacing w:after="0" w:line="240" w:lineRule="auto"/>
              <w:jc w:val="center"/>
              <w:rPr>
                <w:rFonts w:ascii="Times New Roman" w:eastAsia="Times New Roman" w:hAnsi="Times New Roman" w:cs="Times New Roman"/>
                <w:sz w:val="16"/>
                <w:szCs w:val="16"/>
                <w:lang w:val="en-GB" w:eastAsia="en-GB"/>
              </w:rPr>
            </w:pPr>
            <w:r w:rsidRPr="00FA100E">
              <w:rPr>
                <w:rFonts w:ascii="Times New Roman" w:eastAsia="Times New Roman" w:hAnsi="Times New Roman" w:cs="Times New Roman"/>
                <w:sz w:val="16"/>
                <w:szCs w:val="16"/>
                <w:lang w:val="en-GB" w:eastAsia="en-GB"/>
              </w:rPr>
              <w:t>Yes</w:t>
            </w:r>
          </w:p>
        </w:tc>
        <w:tc>
          <w:tcPr>
            <w:tcW w:w="1543" w:type="dxa"/>
            <w:tcBorders>
              <w:top w:val="nil"/>
              <w:left w:val="nil"/>
              <w:bottom w:val="single" w:sz="4" w:space="0" w:color="auto"/>
              <w:right w:val="single" w:sz="4" w:space="0" w:color="auto"/>
            </w:tcBorders>
            <w:shd w:val="clear" w:color="000000" w:fill="FFFFFF"/>
            <w:hideMark/>
          </w:tcPr>
          <w:p w14:paraId="6D81C785" w14:textId="77777777" w:rsidR="00CF4CE3" w:rsidRPr="00FA100E" w:rsidRDefault="00CF4CE3" w:rsidP="00CF4CE3">
            <w:pPr>
              <w:spacing w:after="0" w:line="240" w:lineRule="auto"/>
              <w:jc w:val="center"/>
              <w:rPr>
                <w:rFonts w:ascii="Times New Roman" w:eastAsia="Times New Roman" w:hAnsi="Times New Roman" w:cs="Times New Roman"/>
                <w:sz w:val="16"/>
                <w:szCs w:val="16"/>
                <w:lang w:val="en-GB" w:eastAsia="en-GB"/>
              </w:rPr>
            </w:pPr>
            <w:r w:rsidRPr="00FA100E">
              <w:rPr>
                <w:rFonts w:ascii="Times New Roman" w:eastAsia="Times New Roman" w:hAnsi="Times New Roman" w:cs="Times New Roman"/>
                <w:sz w:val="16"/>
                <w:szCs w:val="16"/>
                <w:lang w:val="en-GB" w:eastAsia="en-GB"/>
              </w:rPr>
              <w:t>Yes</w:t>
            </w:r>
          </w:p>
        </w:tc>
        <w:tc>
          <w:tcPr>
            <w:tcW w:w="1012" w:type="dxa"/>
            <w:tcBorders>
              <w:top w:val="nil"/>
              <w:left w:val="nil"/>
              <w:bottom w:val="single" w:sz="4" w:space="0" w:color="auto"/>
              <w:right w:val="single" w:sz="4" w:space="0" w:color="auto"/>
            </w:tcBorders>
            <w:shd w:val="clear" w:color="000000" w:fill="FFFFFF"/>
            <w:hideMark/>
          </w:tcPr>
          <w:p w14:paraId="26D02BCF" w14:textId="77777777" w:rsidR="00CF4CE3" w:rsidRPr="00FA100E" w:rsidRDefault="00CF4CE3" w:rsidP="00CF4CE3">
            <w:pPr>
              <w:spacing w:after="0" w:line="240" w:lineRule="auto"/>
              <w:jc w:val="center"/>
              <w:rPr>
                <w:rFonts w:ascii="Times New Roman" w:eastAsia="Times New Roman" w:hAnsi="Times New Roman" w:cs="Times New Roman"/>
                <w:sz w:val="16"/>
                <w:szCs w:val="16"/>
                <w:lang w:val="en-GB" w:eastAsia="en-GB"/>
              </w:rPr>
            </w:pPr>
            <w:r w:rsidRPr="00FA100E">
              <w:rPr>
                <w:rFonts w:ascii="Times New Roman" w:eastAsia="Times New Roman" w:hAnsi="Times New Roman" w:cs="Times New Roman"/>
                <w:sz w:val="16"/>
                <w:szCs w:val="16"/>
                <w:lang w:val="en-GB" w:eastAsia="en-GB"/>
              </w:rPr>
              <w:t>Yes</w:t>
            </w:r>
          </w:p>
        </w:tc>
        <w:tc>
          <w:tcPr>
            <w:tcW w:w="1239" w:type="dxa"/>
            <w:tcBorders>
              <w:top w:val="nil"/>
              <w:left w:val="nil"/>
              <w:bottom w:val="single" w:sz="4" w:space="0" w:color="auto"/>
              <w:right w:val="single" w:sz="4" w:space="0" w:color="auto"/>
            </w:tcBorders>
            <w:shd w:val="clear" w:color="000000" w:fill="FFFFFF"/>
            <w:hideMark/>
          </w:tcPr>
          <w:p w14:paraId="1B2D6CA8" w14:textId="77777777" w:rsidR="00CF4CE3" w:rsidRPr="00FA100E" w:rsidRDefault="00CF4CE3" w:rsidP="00CF4CE3">
            <w:pPr>
              <w:spacing w:after="0" w:line="240" w:lineRule="auto"/>
              <w:jc w:val="center"/>
              <w:rPr>
                <w:rFonts w:ascii="Times New Roman" w:eastAsia="Times New Roman" w:hAnsi="Times New Roman" w:cs="Times New Roman"/>
                <w:sz w:val="16"/>
                <w:szCs w:val="16"/>
                <w:lang w:val="en-GB" w:eastAsia="en-GB"/>
              </w:rPr>
            </w:pPr>
            <w:r w:rsidRPr="00FA100E">
              <w:rPr>
                <w:rFonts w:ascii="Times New Roman" w:eastAsia="Times New Roman" w:hAnsi="Times New Roman" w:cs="Times New Roman"/>
                <w:sz w:val="16"/>
                <w:szCs w:val="16"/>
                <w:lang w:val="en-GB" w:eastAsia="en-GB"/>
              </w:rPr>
              <w:t>Yes</w:t>
            </w:r>
          </w:p>
        </w:tc>
        <w:tc>
          <w:tcPr>
            <w:tcW w:w="1225" w:type="dxa"/>
            <w:tcBorders>
              <w:top w:val="nil"/>
              <w:left w:val="nil"/>
              <w:bottom w:val="single" w:sz="4" w:space="0" w:color="auto"/>
              <w:right w:val="single" w:sz="4" w:space="0" w:color="auto"/>
            </w:tcBorders>
            <w:shd w:val="clear" w:color="000000" w:fill="FFFFFF"/>
            <w:hideMark/>
          </w:tcPr>
          <w:p w14:paraId="38AE354F" w14:textId="77777777" w:rsidR="00CF4CE3" w:rsidRPr="00FA100E" w:rsidRDefault="00CF4CE3" w:rsidP="00CF4CE3">
            <w:pPr>
              <w:spacing w:after="0" w:line="240" w:lineRule="auto"/>
              <w:jc w:val="center"/>
              <w:rPr>
                <w:rFonts w:ascii="Times New Roman" w:eastAsia="Times New Roman" w:hAnsi="Times New Roman" w:cs="Times New Roman"/>
                <w:sz w:val="16"/>
                <w:szCs w:val="16"/>
                <w:lang w:val="en-GB" w:eastAsia="en-GB"/>
              </w:rPr>
            </w:pPr>
            <w:r w:rsidRPr="00FA100E">
              <w:rPr>
                <w:rFonts w:ascii="Times New Roman" w:eastAsia="Times New Roman" w:hAnsi="Times New Roman" w:cs="Times New Roman"/>
                <w:sz w:val="16"/>
                <w:szCs w:val="16"/>
                <w:lang w:val="en-GB" w:eastAsia="en-GB"/>
              </w:rPr>
              <w:t>Yes</w:t>
            </w:r>
          </w:p>
        </w:tc>
        <w:tc>
          <w:tcPr>
            <w:tcW w:w="1236" w:type="dxa"/>
            <w:tcBorders>
              <w:top w:val="nil"/>
              <w:left w:val="nil"/>
              <w:bottom w:val="single" w:sz="4" w:space="0" w:color="auto"/>
              <w:right w:val="single" w:sz="4" w:space="0" w:color="auto"/>
            </w:tcBorders>
            <w:shd w:val="clear" w:color="000000" w:fill="FFFFFF"/>
            <w:hideMark/>
          </w:tcPr>
          <w:p w14:paraId="0E3FEE18" w14:textId="77777777" w:rsidR="00CF4CE3" w:rsidRPr="00FA100E" w:rsidRDefault="00CF4CE3" w:rsidP="00CF4CE3">
            <w:pPr>
              <w:spacing w:after="0" w:line="240" w:lineRule="auto"/>
              <w:jc w:val="center"/>
              <w:rPr>
                <w:rFonts w:ascii="Times New Roman" w:eastAsia="Times New Roman" w:hAnsi="Times New Roman" w:cs="Times New Roman"/>
                <w:sz w:val="16"/>
                <w:szCs w:val="16"/>
                <w:lang w:val="en-GB" w:eastAsia="en-GB"/>
              </w:rPr>
            </w:pPr>
            <w:r w:rsidRPr="00FA100E">
              <w:rPr>
                <w:rFonts w:ascii="Times New Roman" w:eastAsia="Times New Roman" w:hAnsi="Times New Roman" w:cs="Times New Roman"/>
                <w:sz w:val="16"/>
                <w:szCs w:val="16"/>
                <w:lang w:val="en-GB" w:eastAsia="en-GB"/>
              </w:rPr>
              <w:t>No</w:t>
            </w:r>
          </w:p>
        </w:tc>
        <w:tc>
          <w:tcPr>
            <w:tcW w:w="1060" w:type="dxa"/>
            <w:tcBorders>
              <w:top w:val="nil"/>
              <w:left w:val="nil"/>
              <w:bottom w:val="single" w:sz="4" w:space="0" w:color="auto"/>
              <w:right w:val="single" w:sz="4" w:space="0" w:color="auto"/>
            </w:tcBorders>
            <w:shd w:val="clear" w:color="000000" w:fill="FFFFFF"/>
            <w:hideMark/>
          </w:tcPr>
          <w:p w14:paraId="459DD2C1" w14:textId="77777777" w:rsidR="00CF4CE3" w:rsidRPr="00FA100E" w:rsidRDefault="00CF4CE3" w:rsidP="00CF4CE3">
            <w:pPr>
              <w:spacing w:after="0" w:line="240" w:lineRule="auto"/>
              <w:jc w:val="center"/>
              <w:rPr>
                <w:rFonts w:ascii="Times New Roman" w:eastAsia="Times New Roman" w:hAnsi="Times New Roman" w:cs="Times New Roman"/>
                <w:sz w:val="20"/>
                <w:szCs w:val="20"/>
                <w:lang w:val="en-GB" w:eastAsia="en-GB"/>
              </w:rPr>
            </w:pPr>
            <w:r w:rsidRPr="00FA100E">
              <w:rPr>
                <w:rFonts w:ascii="Times New Roman" w:eastAsia="Times New Roman" w:hAnsi="Times New Roman" w:cs="Times New Roman"/>
                <w:sz w:val="20"/>
                <w:szCs w:val="20"/>
                <w:lang w:val="en-GB" w:eastAsia="en-GB"/>
              </w:rPr>
              <w:t>7</w:t>
            </w:r>
          </w:p>
        </w:tc>
      </w:tr>
      <w:tr w:rsidR="00FA100E" w:rsidRPr="00FA100E" w14:paraId="5F28856F" w14:textId="77777777" w:rsidTr="00CF4CE3">
        <w:trPr>
          <w:trHeight w:val="390"/>
        </w:trPr>
        <w:tc>
          <w:tcPr>
            <w:tcW w:w="1881" w:type="dxa"/>
            <w:tcBorders>
              <w:top w:val="nil"/>
              <w:left w:val="single" w:sz="4" w:space="0" w:color="auto"/>
              <w:bottom w:val="single" w:sz="4" w:space="0" w:color="auto"/>
              <w:right w:val="single" w:sz="4" w:space="0" w:color="auto"/>
            </w:tcBorders>
            <w:shd w:val="clear" w:color="auto" w:fill="auto"/>
            <w:noWrap/>
            <w:hideMark/>
          </w:tcPr>
          <w:p w14:paraId="072859F9" w14:textId="77777777" w:rsidR="00CF4CE3" w:rsidRPr="00FA100E" w:rsidRDefault="00CF4CE3" w:rsidP="00CF4CE3">
            <w:pPr>
              <w:spacing w:after="0" w:line="240" w:lineRule="auto"/>
              <w:rPr>
                <w:rFonts w:ascii="Times New Roman" w:eastAsia="Times New Roman" w:hAnsi="Times New Roman" w:cs="Times New Roman"/>
                <w:sz w:val="16"/>
                <w:szCs w:val="16"/>
                <w:lang w:val="en-GB" w:eastAsia="en-GB"/>
              </w:rPr>
            </w:pPr>
            <w:r w:rsidRPr="00FA100E">
              <w:rPr>
                <w:rFonts w:ascii="Times New Roman" w:eastAsia="Times New Roman" w:hAnsi="Times New Roman" w:cs="Times New Roman"/>
                <w:sz w:val="16"/>
                <w:szCs w:val="16"/>
                <w:lang w:val="en-GB" w:eastAsia="en-GB"/>
              </w:rPr>
              <w:t>Fischer (2021)</w:t>
            </w:r>
          </w:p>
        </w:tc>
        <w:tc>
          <w:tcPr>
            <w:tcW w:w="1220" w:type="dxa"/>
            <w:tcBorders>
              <w:top w:val="nil"/>
              <w:left w:val="nil"/>
              <w:bottom w:val="single" w:sz="4" w:space="0" w:color="auto"/>
              <w:right w:val="single" w:sz="4" w:space="0" w:color="auto"/>
            </w:tcBorders>
            <w:shd w:val="clear" w:color="000000" w:fill="FFFFFF"/>
            <w:hideMark/>
          </w:tcPr>
          <w:p w14:paraId="32105364" w14:textId="77777777" w:rsidR="00CF4CE3" w:rsidRPr="00FA100E" w:rsidRDefault="00CF4CE3" w:rsidP="00CF4CE3">
            <w:pPr>
              <w:spacing w:after="0" w:line="240" w:lineRule="auto"/>
              <w:jc w:val="center"/>
              <w:rPr>
                <w:rFonts w:ascii="Times New Roman" w:eastAsia="Times New Roman" w:hAnsi="Times New Roman" w:cs="Times New Roman"/>
                <w:sz w:val="16"/>
                <w:szCs w:val="16"/>
                <w:lang w:val="en-GB" w:eastAsia="en-GB"/>
              </w:rPr>
            </w:pPr>
            <w:r w:rsidRPr="00FA100E">
              <w:rPr>
                <w:rFonts w:ascii="Times New Roman" w:eastAsia="Times New Roman" w:hAnsi="Times New Roman" w:cs="Times New Roman"/>
                <w:sz w:val="16"/>
                <w:szCs w:val="16"/>
                <w:lang w:val="en-GB" w:eastAsia="en-GB"/>
              </w:rPr>
              <w:t>Yes</w:t>
            </w:r>
          </w:p>
        </w:tc>
        <w:tc>
          <w:tcPr>
            <w:tcW w:w="1222" w:type="dxa"/>
            <w:tcBorders>
              <w:top w:val="nil"/>
              <w:left w:val="nil"/>
              <w:bottom w:val="single" w:sz="4" w:space="0" w:color="auto"/>
              <w:right w:val="single" w:sz="4" w:space="0" w:color="auto"/>
            </w:tcBorders>
            <w:shd w:val="clear" w:color="000000" w:fill="FFFFFF"/>
            <w:hideMark/>
          </w:tcPr>
          <w:p w14:paraId="375BE411" w14:textId="77777777" w:rsidR="00CF4CE3" w:rsidRPr="00FA100E" w:rsidRDefault="00CF4CE3" w:rsidP="00CF4CE3">
            <w:pPr>
              <w:spacing w:after="0" w:line="240" w:lineRule="auto"/>
              <w:jc w:val="center"/>
              <w:rPr>
                <w:rFonts w:ascii="Times New Roman" w:eastAsia="Times New Roman" w:hAnsi="Times New Roman" w:cs="Times New Roman"/>
                <w:sz w:val="16"/>
                <w:szCs w:val="16"/>
                <w:lang w:val="en-GB" w:eastAsia="en-GB"/>
              </w:rPr>
            </w:pPr>
            <w:r w:rsidRPr="00FA100E">
              <w:rPr>
                <w:rFonts w:ascii="Times New Roman" w:eastAsia="Times New Roman" w:hAnsi="Times New Roman" w:cs="Times New Roman"/>
                <w:sz w:val="16"/>
                <w:szCs w:val="16"/>
                <w:lang w:val="en-GB" w:eastAsia="en-GB"/>
              </w:rPr>
              <w:t>Yes</w:t>
            </w:r>
          </w:p>
        </w:tc>
        <w:tc>
          <w:tcPr>
            <w:tcW w:w="1222" w:type="dxa"/>
            <w:tcBorders>
              <w:top w:val="nil"/>
              <w:left w:val="nil"/>
              <w:bottom w:val="single" w:sz="4" w:space="0" w:color="auto"/>
              <w:right w:val="single" w:sz="4" w:space="0" w:color="auto"/>
            </w:tcBorders>
            <w:shd w:val="clear" w:color="000000" w:fill="FFFFFF"/>
            <w:hideMark/>
          </w:tcPr>
          <w:p w14:paraId="5B49379E" w14:textId="77777777" w:rsidR="00CF4CE3" w:rsidRPr="00FA100E" w:rsidRDefault="00CF4CE3" w:rsidP="00CF4CE3">
            <w:pPr>
              <w:spacing w:after="0" w:line="240" w:lineRule="auto"/>
              <w:jc w:val="center"/>
              <w:rPr>
                <w:rFonts w:ascii="Times New Roman" w:eastAsia="Times New Roman" w:hAnsi="Times New Roman" w:cs="Times New Roman"/>
                <w:sz w:val="16"/>
                <w:szCs w:val="16"/>
                <w:lang w:val="en-GB" w:eastAsia="en-GB"/>
              </w:rPr>
            </w:pPr>
            <w:r w:rsidRPr="00FA100E">
              <w:rPr>
                <w:rFonts w:ascii="Times New Roman" w:eastAsia="Times New Roman" w:hAnsi="Times New Roman" w:cs="Times New Roman"/>
                <w:sz w:val="16"/>
                <w:szCs w:val="16"/>
                <w:lang w:val="en-GB" w:eastAsia="en-GB"/>
              </w:rPr>
              <w:t>Yes</w:t>
            </w:r>
          </w:p>
        </w:tc>
        <w:tc>
          <w:tcPr>
            <w:tcW w:w="1543" w:type="dxa"/>
            <w:tcBorders>
              <w:top w:val="nil"/>
              <w:left w:val="nil"/>
              <w:bottom w:val="single" w:sz="4" w:space="0" w:color="auto"/>
              <w:right w:val="single" w:sz="4" w:space="0" w:color="auto"/>
            </w:tcBorders>
            <w:shd w:val="clear" w:color="000000" w:fill="FFFFFF"/>
            <w:hideMark/>
          </w:tcPr>
          <w:p w14:paraId="22E78144" w14:textId="77777777" w:rsidR="00CF4CE3" w:rsidRPr="00FA100E" w:rsidRDefault="00CF4CE3" w:rsidP="00CF4CE3">
            <w:pPr>
              <w:spacing w:after="0" w:line="240" w:lineRule="auto"/>
              <w:jc w:val="center"/>
              <w:rPr>
                <w:rFonts w:ascii="Times New Roman" w:eastAsia="Times New Roman" w:hAnsi="Times New Roman" w:cs="Times New Roman"/>
                <w:sz w:val="16"/>
                <w:szCs w:val="16"/>
                <w:lang w:val="en-GB" w:eastAsia="en-GB"/>
              </w:rPr>
            </w:pPr>
            <w:r w:rsidRPr="00FA100E">
              <w:rPr>
                <w:rFonts w:ascii="Times New Roman" w:eastAsia="Times New Roman" w:hAnsi="Times New Roman" w:cs="Times New Roman"/>
                <w:sz w:val="16"/>
                <w:szCs w:val="16"/>
                <w:lang w:val="en-GB" w:eastAsia="en-GB"/>
              </w:rPr>
              <w:t>No</w:t>
            </w:r>
          </w:p>
        </w:tc>
        <w:tc>
          <w:tcPr>
            <w:tcW w:w="1012" w:type="dxa"/>
            <w:tcBorders>
              <w:top w:val="nil"/>
              <w:left w:val="nil"/>
              <w:bottom w:val="single" w:sz="4" w:space="0" w:color="auto"/>
              <w:right w:val="single" w:sz="4" w:space="0" w:color="auto"/>
            </w:tcBorders>
            <w:shd w:val="clear" w:color="000000" w:fill="FFFFFF"/>
            <w:hideMark/>
          </w:tcPr>
          <w:p w14:paraId="2656D184" w14:textId="77777777" w:rsidR="00CF4CE3" w:rsidRPr="00FA100E" w:rsidRDefault="00CF4CE3" w:rsidP="00CF4CE3">
            <w:pPr>
              <w:spacing w:after="0" w:line="240" w:lineRule="auto"/>
              <w:jc w:val="center"/>
              <w:rPr>
                <w:rFonts w:ascii="Times New Roman" w:eastAsia="Times New Roman" w:hAnsi="Times New Roman" w:cs="Times New Roman"/>
                <w:sz w:val="16"/>
                <w:szCs w:val="16"/>
                <w:lang w:val="en-GB" w:eastAsia="en-GB"/>
              </w:rPr>
            </w:pPr>
            <w:r w:rsidRPr="00FA100E">
              <w:rPr>
                <w:rFonts w:ascii="Times New Roman" w:eastAsia="Times New Roman" w:hAnsi="Times New Roman" w:cs="Times New Roman"/>
                <w:sz w:val="16"/>
                <w:szCs w:val="16"/>
                <w:lang w:val="en-GB" w:eastAsia="en-GB"/>
              </w:rPr>
              <w:t>Yes</w:t>
            </w:r>
          </w:p>
        </w:tc>
        <w:tc>
          <w:tcPr>
            <w:tcW w:w="1239" w:type="dxa"/>
            <w:tcBorders>
              <w:top w:val="nil"/>
              <w:left w:val="nil"/>
              <w:bottom w:val="single" w:sz="4" w:space="0" w:color="auto"/>
              <w:right w:val="single" w:sz="4" w:space="0" w:color="auto"/>
            </w:tcBorders>
            <w:shd w:val="clear" w:color="000000" w:fill="FFFFFF"/>
            <w:hideMark/>
          </w:tcPr>
          <w:p w14:paraId="6BB07730" w14:textId="77777777" w:rsidR="00CF4CE3" w:rsidRPr="00FA100E" w:rsidRDefault="00CF4CE3" w:rsidP="00CF4CE3">
            <w:pPr>
              <w:spacing w:after="0" w:line="240" w:lineRule="auto"/>
              <w:jc w:val="center"/>
              <w:rPr>
                <w:rFonts w:ascii="Times New Roman" w:eastAsia="Times New Roman" w:hAnsi="Times New Roman" w:cs="Times New Roman"/>
                <w:sz w:val="16"/>
                <w:szCs w:val="16"/>
                <w:lang w:val="en-GB" w:eastAsia="en-GB"/>
              </w:rPr>
            </w:pPr>
            <w:r w:rsidRPr="00FA100E">
              <w:rPr>
                <w:rFonts w:ascii="Times New Roman" w:eastAsia="Times New Roman" w:hAnsi="Times New Roman" w:cs="Times New Roman"/>
                <w:sz w:val="16"/>
                <w:szCs w:val="16"/>
                <w:lang w:val="en-GB" w:eastAsia="en-GB"/>
              </w:rPr>
              <w:t>No</w:t>
            </w:r>
          </w:p>
        </w:tc>
        <w:tc>
          <w:tcPr>
            <w:tcW w:w="1225" w:type="dxa"/>
            <w:tcBorders>
              <w:top w:val="nil"/>
              <w:left w:val="nil"/>
              <w:bottom w:val="single" w:sz="4" w:space="0" w:color="auto"/>
              <w:right w:val="single" w:sz="4" w:space="0" w:color="auto"/>
            </w:tcBorders>
            <w:shd w:val="clear" w:color="000000" w:fill="FFFFFF"/>
            <w:hideMark/>
          </w:tcPr>
          <w:p w14:paraId="6BD95C27" w14:textId="77777777" w:rsidR="00CF4CE3" w:rsidRPr="00FA100E" w:rsidRDefault="00CF4CE3" w:rsidP="00CF4CE3">
            <w:pPr>
              <w:spacing w:after="0" w:line="240" w:lineRule="auto"/>
              <w:jc w:val="center"/>
              <w:rPr>
                <w:rFonts w:ascii="Times New Roman" w:eastAsia="Times New Roman" w:hAnsi="Times New Roman" w:cs="Times New Roman"/>
                <w:sz w:val="16"/>
                <w:szCs w:val="16"/>
                <w:lang w:val="en-GB" w:eastAsia="en-GB"/>
              </w:rPr>
            </w:pPr>
            <w:r w:rsidRPr="00FA100E">
              <w:rPr>
                <w:rFonts w:ascii="Times New Roman" w:eastAsia="Times New Roman" w:hAnsi="Times New Roman" w:cs="Times New Roman"/>
                <w:sz w:val="16"/>
                <w:szCs w:val="16"/>
                <w:lang w:val="en-GB" w:eastAsia="en-GB"/>
              </w:rPr>
              <w:t>Yes</w:t>
            </w:r>
          </w:p>
        </w:tc>
        <w:tc>
          <w:tcPr>
            <w:tcW w:w="1236" w:type="dxa"/>
            <w:tcBorders>
              <w:top w:val="nil"/>
              <w:left w:val="nil"/>
              <w:bottom w:val="single" w:sz="4" w:space="0" w:color="auto"/>
              <w:right w:val="single" w:sz="4" w:space="0" w:color="auto"/>
            </w:tcBorders>
            <w:shd w:val="clear" w:color="000000" w:fill="FFFFFF"/>
            <w:hideMark/>
          </w:tcPr>
          <w:p w14:paraId="0CB13DC8" w14:textId="77777777" w:rsidR="00CF4CE3" w:rsidRPr="00FA100E" w:rsidRDefault="00CF4CE3" w:rsidP="00CF4CE3">
            <w:pPr>
              <w:spacing w:after="0" w:line="240" w:lineRule="auto"/>
              <w:jc w:val="center"/>
              <w:rPr>
                <w:rFonts w:ascii="Times New Roman" w:eastAsia="Times New Roman" w:hAnsi="Times New Roman" w:cs="Times New Roman"/>
                <w:sz w:val="16"/>
                <w:szCs w:val="16"/>
                <w:lang w:val="en-GB" w:eastAsia="en-GB"/>
              </w:rPr>
            </w:pPr>
            <w:r w:rsidRPr="00FA100E">
              <w:rPr>
                <w:rFonts w:ascii="Times New Roman" w:eastAsia="Times New Roman" w:hAnsi="Times New Roman" w:cs="Times New Roman"/>
                <w:sz w:val="16"/>
                <w:szCs w:val="16"/>
                <w:lang w:val="en-GB" w:eastAsia="en-GB"/>
              </w:rPr>
              <w:t>Yes</w:t>
            </w:r>
          </w:p>
        </w:tc>
        <w:tc>
          <w:tcPr>
            <w:tcW w:w="1060" w:type="dxa"/>
            <w:tcBorders>
              <w:top w:val="nil"/>
              <w:left w:val="nil"/>
              <w:bottom w:val="single" w:sz="4" w:space="0" w:color="auto"/>
              <w:right w:val="single" w:sz="4" w:space="0" w:color="auto"/>
            </w:tcBorders>
            <w:shd w:val="clear" w:color="auto" w:fill="auto"/>
            <w:noWrap/>
            <w:hideMark/>
          </w:tcPr>
          <w:p w14:paraId="069BCDA5" w14:textId="77777777" w:rsidR="00CF4CE3" w:rsidRPr="00FA100E" w:rsidRDefault="00CF4CE3" w:rsidP="00CF4CE3">
            <w:pPr>
              <w:spacing w:after="0" w:line="240" w:lineRule="auto"/>
              <w:jc w:val="center"/>
              <w:rPr>
                <w:rFonts w:ascii="Times New Roman" w:eastAsia="Times New Roman" w:hAnsi="Times New Roman" w:cs="Times New Roman"/>
                <w:sz w:val="20"/>
                <w:szCs w:val="20"/>
                <w:lang w:val="en-GB" w:eastAsia="en-GB"/>
              </w:rPr>
            </w:pPr>
            <w:r w:rsidRPr="00FA100E">
              <w:rPr>
                <w:rFonts w:ascii="Times New Roman" w:eastAsia="Times New Roman" w:hAnsi="Times New Roman" w:cs="Times New Roman"/>
                <w:sz w:val="20"/>
                <w:szCs w:val="20"/>
                <w:lang w:val="en-GB" w:eastAsia="en-GB"/>
              </w:rPr>
              <w:t>6</w:t>
            </w:r>
          </w:p>
        </w:tc>
      </w:tr>
      <w:tr w:rsidR="00FA100E" w:rsidRPr="00FA100E" w14:paraId="2F4D44C2" w14:textId="77777777" w:rsidTr="00CF4CE3">
        <w:trPr>
          <w:trHeight w:val="390"/>
        </w:trPr>
        <w:tc>
          <w:tcPr>
            <w:tcW w:w="1881" w:type="dxa"/>
            <w:tcBorders>
              <w:top w:val="nil"/>
              <w:left w:val="single" w:sz="4" w:space="0" w:color="auto"/>
              <w:bottom w:val="single" w:sz="4" w:space="0" w:color="auto"/>
              <w:right w:val="single" w:sz="4" w:space="0" w:color="auto"/>
            </w:tcBorders>
            <w:shd w:val="clear" w:color="auto" w:fill="auto"/>
            <w:noWrap/>
            <w:hideMark/>
          </w:tcPr>
          <w:p w14:paraId="2D65A181" w14:textId="77777777" w:rsidR="00CF4CE3" w:rsidRPr="00FA100E" w:rsidRDefault="00CF4CE3" w:rsidP="00CF4CE3">
            <w:pPr>
              <w:spacing w:after="0" w:line="240" w:lineRule="auto"/>
              <w:rPr>
                <w:rFonts w:ascii="Times New Roman" w:eastAsia="Times New Roman" w:hAnsi="Times New Roman" w:cs="Times New Roman"/>
                <w:sz w:val="16"/>
                <w:szCs w:val="16"/>
                <w:lang w:val="en-GB" w:eastAsia="en-GB"/>
              </w:rPr>
            </w:pPr>
            <w:r w:rsidRPr="00FA100E">
              <w:rPr>
                <w:rFonts w:ascii="Times New Roman" w:eastAsia="Times New Roman" w:hAnsi="Times New Roman" w:cs="Times New Roman"/>
                <w:sz w:val="16"/>
                <w:szCs w:val="16"/>
                <w:lang w:val="en-GB" w:eastAsia="en-GB"/>
              </w:rPr>
              <w:t>Jordan 2022</w:t>
            </w:r>
          </w:p>
        </w:tc>
        <w:tc>
          <w:tcPr>
            <w:tcW w:w="1220" w:type="dxa"/>
            <w:tcBorders>
              <w:top w:val="nil"/>
              <w:left w:val="nil"/>
              <w:bottom w:val="single" w:sz="4" w:space="0" w:color="auto"/>
              <w:right w:val="single" w:sz="4" w:space="0" w:color="auto"/>
            </w:tcBorders>
            <w:shd w:val="clear" w:color="000000" w:fill="FFFFFF"/>
            <w:hideMark/>
          </w:tcPr>
          <w:p w14:paraId="2EF1A0FD" w14:textId="77777777" w:rsidR="00CF4CE3" w:rsidRPr="00FA100E" w:rsidRDefault="00CF4CE3" w:rsidP="00CF4CE3">
            <w:pPr>
              <w:spacing w:after="0" w:line="240" w:lineRule="auto"/>
              <w:jc w:val="center"/>
              <w:rPr>
                <w:rFonts w:ascii="Times New Roman" w:eastAsia="Times New Roman" w:hAnsi="Times New Roman" w:cs="Times New Roman"/>
                <w:sz w:val="16"/>
                <w:szCs w:val="16"/>
                <w:lang w:val="en-GB" w:eastAsia="en-GB"/>
              </w:rPr>
            </w:pPr>
            <w:r w:rsidRPr="00FA100E">
              <w:rPr>
                <w:rFonts w:ascii="Times New Roman" w:eastAsia="Times New Roman" w:hAnsi="Times New Roman" w:cs="Times New Roman"/>
                <w:sz w:val="16"/>
                <w:szCs w:val="16"/>
                <w:lang w:val="en-GB" w:eastAsia="en-GB"/>
              </w:rPr>
              <w:t>Yes</w:t>
            </w:r>
          </w:p>
        </w:tc>
        <w:tc>
          <w:tcPr>
            <w:tcW w:w="1222" w:type="dxa"/>
            <w:tcBorders>
              <w:top w:val="nil"/>
              <w:left w:val="nil"/>
              <w:bottom w:val="single" w:sz="4" w:space="0" w:color="auto"/>
              <w:right w:val="single" w:sz="4" w:space="0" w:color="auto"/>
            </w:tcBorders>
            <w:shd w:val="clear" w:color="000000" w:fill="FFFFFF"/>
            <w:hideMark/>
          </w:tcPr>
          <w:p w14:paraId="06B9DC8F" w14:textId="77777777" w:rsidR="00CF4CE3" w:rsidRPr="00FA100E" w:rsidRDefault="00CF4CE3" w:rsidP="00CF4CE3">
            <w:pPr>
              <w:spacing w:after="0" w:line="240" w:lineRule="auto"/>
              <w:jc w:val="center"/>
              <w:rPr>
                <w:rFonts w:ascii="Times New Roman" w:eastAsia="Times New Roman" w:hAnsi="Times New Roman" w:cs="Times New Roman"/>
                <w:sz w:val="16"/>
                <w:szCs w:val="16"/>
                <w:lang w:val="en-GB" w:eastAsia="en-GB"/>
              </w:rPr>
            </w:pPr>
            <w:r w:rsidRPr="00FA100E">
              <w:rPr>
                <w:rFonts w:ascii="Times New Roman" w:eastAsia="Times New Roman" w:hAnsi="Times New Roman" w:cs="Times New Roman"/>
                <w:sz w:val="16"/>
                <w:szCs w:val="16"/>
                <w:lang w:val="en-GB" w:eastAsia="en-GB"/>
              </w:rPr>
              <w:t>Yes</w:t>
            </w:r>
          </w:p>
        </w:tc>
        <w:tc>
          <w:tcPr>
            <w:tcW w:w="1222" w:type="dxa"/>
            <w:tcBorders>
              <w:top w:val="nil"/>
              <w:left w:val="nil"/>
              <w:bottom w:val="single" w:sz="4" w:space="0" w:color="auto"/>
              <w:right w:val="single" w:sz="4" w:space="0" w:color="auto"/>
            </w:tcBorders>
            <w:shd w:val="clear" w:color="000000" w:fill="FFFFFF"/>
            <w:hideMark/>
          </w:tcPr>
          <w:p w14:paraId="234F1AD7" w14:textId="77777777" w:rsidR="00CF4CE3" w:rsidRPr="00FA100E" w:rsidRDefault="00CF4CE3" w:rsidP="00CF4CE3">
            <w:pPr>
              <w:spacing w:after="0" w:line="240" w:lineRule="auto"/>
              <w:jc w:val="center"/>
              <w:rPr>
                <w:rFonts w:ascii="Times New Roman" w:eastAsia="Times New Roman" w:hAnsi="Times New Roman" w:cs="Times New Roman"/>
                <w:sz w:val="16"/>
                <w:szCs w:val="16"/>
                <w:lang w:val="en-GB" w:eastAsia="en-GB"/>
              </w:rPr>
            </w:pPr>
            <w:r w:rsidRPr="00FA100E">
              <w:rPr>
                <w:rFonts w:ascii="Times New Roman" w:eastAsia="Times New Roman" w:hAnsi="Times New Roman" w:cs="Times New Roman"/>
                <w:sz w:val="16"/>
                <w:szCs w:val="16"/>
                <w:lang w:val="en-GB" w:eastAsia="en-GB"/>
              </w:rPr>
              <w:t>Yes</w:t>
            </w:r>
          </w:p>
        </w:tc>
        <w:tc>
          <w:tcPr>
            <w:tcW w:w="1543" w:type="dxa"/>
            <w:tcBorders>
              <w:top w:val="nil"/>
              <w:left w:val="nil"/>
              <w:bottom w:val="single" w:sz="4" w:space="0" w:color="auto"/>
              <w:right w:val="single" w:sz="4" w:space="0" w:color="auto"/>
            </w:tcBorders>
            <w:shd w:val="clear" w:color="000000" w:fill="FFFFFF"/>
            <w:hideMark/>
          </w:tcPr>
          <w:p w14:paraId="2CC5691F" w14:textId="77777777" w:rsidR="00CF4CE3" w:rsidRPr="00FA100E" w:rsidRDefault="00CF4CE3" w:rsidP="00CF4CE3">
            <w:pPr>
              <w:spacing w:after="0" w:line="240" w:lineRule="auto"/>
              <w:jc w:val="center"/>
              <w:rPr>
                <w:rFonts w:ascii="Times New Roman" w:eastAsia="Times New Roman" w:hAnsi="Times New Roman" w:cs="Times New Roman"/>
                <w:sz w:val="16"/>
                <w:szCs w:val="16"/>
                <w:lang w:val="en-GB" w:eastAsia="en-GB"/>
              </w:rPr>
            </w:pPr>
            <w:r w:rsidRPr="00FA100E">
              <w:rPr>
                <w:rFonts w:ascii="Times New Roman" w:eastAsia="Times New Roman" w:hAnsi="Times New Roman" w:cs="Times New Roman"/>
                <w:sz w:val="16"/>
                <w:szCs w:val="16"/>
                <w:lang w:val="en-GB" w:eastAsia="en-GB"/>
              </w:rPr>
              <w:t>Yes</w:t>
            </w:r>
          </w:p>
        </w:tc>
        <w:tc>
          <w:tcPr>
            <w:tcW w:w="1012" w:type="dxa"/>
            <w:tcBorders>
              <w:top w:val="nil"/>
              <w:left w:val="nil"/>
              <w:bottom w:val="single" w:sz="4" w:space="0" w:color="auto"/>
              <w:right w:val="single" w:sz="4" w:space="0" w:color="auto"/>
            </w:tcBorders>
            <w:shd w:val="clear" w:color="000000" w:fill="FFFFFF"/>
            <w:hideMark/>
          </w:tcPr>
          <w:p w14:paraId="2C5E9AE3" w14:textId="77777777" w:rsidR="00CF4CE3" w:rsidRPr="00FA100E" w:rsidRDefault="00CF4CE3" w:rsidP="00CF4CE3">
            <w:pPr>
              <w:spacing w:after="0" w:line="240" w:lineRule="auto"/>
              <w:jc w:val="center"/>
              <w:rPr>
                <w:rFonts w:ascii="Times New Roman" w:eastAsia="Times New Roman" w:hAnsi="Times New Roman" w:cs="Times New Roman"/>
                <w:sz w:val="16"/>
                <w:szCs w:val="16"/>
                <w:lang w:val="en-GB" w:eastAsia="en-GB"/>
              </w:rPr>
            </w:pPr>
            <w:r w:rsidRPr="00FA100E">
              <w:rPr>
                <w:rFonts w:ascii="Times New Roman" w:eastAsia="Times New Roman" w:hAnsi="Times New Roman" w:cs="Times New Roman"/>
                <w:sz w:val="16"/>
                <w:szCs w:val="16"/>
                <w:lang w:val="en-GB" w:eastAsia="en-GB"/>
              </w:rPr>
              <w:t>Yes</w:t>
            </w:r>
          </w:p>
        </w:tc>
        <w:tc>
          <w:tcPr>
            <w:tcW w:w="1239" w:type="dxa"/>
            <w:tcBorders>
              <w:top w:val="nil"/>
              <w:left w:val="nil"/>
              <w:bottom w:val="single" w:sz="4" w:space="0" w:color="auto"/>
              <w:right w:val="single" w:sz="4" w:space="0" w:color="auto"/>
            </w:tcBorders>
            <w:shd w:val="clear" w:color="000000" w:fill="FFFFFF"/>
            <w:hideMark/>
          </w:tcPr>
          <w:p w14:paraId="4468BB06" w14:textId="77777777" w:rsidR="00CF4CE3" w:rsidRPr="00FA100E" w:rsidRDefault="00CF4CE3" w:rsidP="00CF4CE3">
            <w:pPr>
              <w:spacing w:after="0" w:line="240" w:lineRule="auto"/>
              <w:jc w:val="center"/>
              <w:rPr>
                <w:rFonts w:ascii="Times New Roman" w:eastAsia="Times New Roman" w:hAnsi="Times New Roman" w:cs="Times New Roman"/>
                <w:sz w:val="16"/>
                <w:szCs w:val="16"/>
                <w:lang w:val="en-GB" w:eastAsia="en-GB"/>
              </w:rPr>
            </w:pPr>
            <w:r w:rsidRPr="00FA100E">
              <w:rPr>
                <w:rFonts w:ascii="Times New Roman" w:eastAsia="Times New Roman" w:hAnsi="Times New Roman" w:cs="Times New Roman"/>
                <w:sz w:val="16"/>
                <w:szCs w:val="16"/>
                <w:lang w:val="en-GB" w:eastAsia="en-GB"/>
              </w:rPr>
              <w:t>No</w:t>
            </w:r>
          </w:p>
        </w:tc>
        <w:tc>
          <w:tcPr>
            <w:tcW w:w="1225" w:type="dxa"/>
            <w:tcBorders>
              <w:top w:val="nil"/>
              <w:left w:val="nil"/>
              <w:bottom w:val="single" w:sz="4" w:space="0" w:color="auto"/>
              <w:right w:val="single" w:sz="4" w:space="0" w:color="auto"/>
            </w:tcBorders>
            <w:shd w:val="clear" w:color="000000" w:fill="FFFFFF"/>
            <w:hideMark/>
          </w:tcPr>
          <w:p w14:paraId="00DBB6BE" w14:textId="77777777" w:rsidR="00CF4CE3" w:rsidRPr="00FA100E" w:rsidRDefault="00CF4CE3" w:rsidP="00CF4CE3">
            <w:pPr>
              <w:spacing w:after="0" w:line="240" w:lineRule="auto"/>
              <w:jc w:val="center"/>
              <w:rPr>
                <w:rFonts w:ascii="Times New Roman" w:eastAsia="Times New Roman" w:hAnsi="Times New Roman" w:cs="Times New Roman"/>
                <w:sz w:val="16"/>
                <w:szCs w:val="16"/>
                <w:lang w:val="en-GB" w:eastAsia="en-GB"/>
              </w:rPr>
            </w:pPr>
            <w:r w:rsidRPr="00FA100E">
              <w:rPr>
                <w:rFonts w:ascii="Times New Roman" w:eastAsia="Times New Roman" w:hAnsi="Times New Roman" w:cs="Times New Roman"/>
                <w:sz w:val="16"/>
                <w:szCs w:val="16"/>
                <w:lang w:val="en-GB" w:eastAsia="en-GB"/>
              </w:rPr>
              <w:t>Yes</w:t>
            </w:r>
          </w:p>
        </w:tc>
        <w:tc>
          <w:tcPr>
            <w:tcW w:w="1236" w:type="dxa"/>
            <w:tcBorders>
              <w:top w:val="nil"/>
              <w:left w:val="nil"/>
              <w:bottom w:val="single" w:sz="4" w:space="0" w:color="auto"/>
              <w:right w:val="single" w:sz="4" w:space="0" w:color="auto"/>
            </w:tcBorders>
            <w:shd w:val="clear" w:color="000000" w:fill="FFFFFF"/>
            <w:hideMark/>
          </w:tcPr>
          <w:p w14:paraId="07FE372C" w14:textId="77777777" w:rsidR="00CF4CE3" w:rsidRPr="00FA100E" w:rsidRDefault="00CF4CE3" w:rsidP="00CF4CE3">
            <w:pPr>
              <w:spacing w:after="0" w:line="240" w:lineRule="auto"/>
              <w:jc w:val="center"/>
              <w:rPr>
                <w:rFonts w:ascii="Times New Roman" w:eastAsia="Times New Roman" w:hAnsi="Times New Roman" w:cs="Times New Roman"/>
                <w:sz w:val="16"/>
                <w:szCs w:val="16"/>
                <w:lang w:val="en-GB" w:eastAsia="en-GB"/>
              </w:rPr>
            </w:pPr>
            <w:r w:rsidRPr="00FA100E">
              <w:rPr>
                <w:rFonts w:ascii="Times New Roman" w:eastAsia="Times New Roman" w:hAnsi="Times New Roman" w:cs="Times New Roman"/>
                <w:sz w:val="16"/>
                <w:szCs w:val="16"/>
                <w:lang w:val="en-GB" w:eastAsia="en-GB"/>
              </w:rPr>
              <w:t>Yes</w:t>
            </w:r>
          </w:p>
        </w:tc>
        <w:tc>
          <w:tcPr>
            <w:tcW w:w="1060" w:type="dxa"/>
            <w:tcBorders>
              <w:top w:val="nil"/>
              <w:left w:val="nil"/>
              <w:bottom w:val="single" w:sz="4" w:space="0" w:color="auto"/>
              <w:right w:val="single" w:sz="4" w:space="0" w:color="auto"/>
            </w:tcBorders>
            <w:shd w:val="clear" w:color="auto" w:fill="auto"/>
            <w:noWrap/>
            <w:hideMark/>
          </w:tcPr>
          <w:p w14:paraId="3E97438A" w14:textId="77777777" w:rsidR="00CF4CE3" w:rsidRPr="00FA100E" w:rsidRDefault="00CF4CE3" w:rsidP="00CF4CE3">
            <w:pPr>
              <w:spacing w:after="0" w:line="240" w:lineRule="auto"/>
              <w:jc w:val="center"/>
              <w:rPr>
                <w:rFonts w:ascii="Times New Roman" w:eastAsia="Times New Roman" w:hAnsi="Times New Roman" w:cs="Times New Roman"/>
                <w:sz w:val="20"/>
                <w:szCs w:val="20"/>
                <w:lang w:val="en-GB" w:eastAsia="en-GB"/>
              </w:rPr>
            </w:pPr>
            <w:r w:rsidRPr="00FA100E">
              <w:rPr>
                <w:rFonts w:ascii="Times New Roman" w:eastAsia="Times New Roman" w:hAnsi="Times New Roman" w:cs="Times New Roman"/>
                <w:sz w:val="20"/>
                <w:szCs w:val="20"/>
                <w:lang w:val="en-GB" w:eastAsia="en-GB"/>
              </w:rPr>
              <w:t>7</w:t>
            </w:r>
          </w:p>
        </w:tc>
      </w:tr>
      <w:tr w:rsidR="00FA100E" w:rsidRPr="00FA100E" w14:paraId="61AA8C72" w14:textId="77777777" w:rsidTr="00CF4CE3">
        <w:trPr>
          <w:trHeight w:val="390"/>
        </w:trPr>
        <w:tc>
          <w:tcPr>
            <w:tcW w:w="1881" w:type="dxa"/>
            <w:tcBorders>
              <w:top w:val="nil"/>
              <w:left w:val="single" w:sz="4" w:space="0" w:color="auto"/>
              <w:bottom w:val="single" w:sz="4" w:space="0" w:color="auto"/>
              <w:right w:val="single" w:sz="4" w:space="0" w:color="auto"/>
            </w:tcBorders>
            <w:shd w:val="clear" w:color="auto" w:fill="auto"/>
            <w:noWrap/>
            <w:hideMark/>
          </w:tcPr>
          <w:p w14:paraId="3EA917F9" w14:textId="77777777" w:rsidR="00CF4CE3" w:rsidRPr="00FA100E" w:rsidRDefault="00CF4CE3" w:rsidP="00CF4CE3">
            <w:pPr>
              <w:spacing w:after="0" w:line="240" w:lineRule="auto"/>
              <w:rPr>
                <w:rFonts w:ascii="Times New Roman" w:eastAsia="Times New Roman" w:hAnsi="Times New Roman" w:cs="Times New Roman"/>
                <w:sz w:val="16"/>
                <w:szCs w:val="16"/>
                <w:lang w:val="en-GB" w:eastAsia="en-GB"/>
              </w:rPr>
            </w:pPr>
            <w:r w:rsidRPr="00FA100E">
              <w:rPr>
                <w:rFonts w:ascii="Times New Roman" w:eastAsia="Times New Roman" w:hAnsi="Times New Roman" w:cs="Times New Roman"/>
                <w:sz w:val="16"/>
                <w:szCs w:val="16"/>
                <w:lang w:val="en-GB" w:eastAsia="en-GB"/>
              </w:rPr>
              <w:t>Kim (2022)</w:t>
            </w:r>
          </w:p>
        </w:tc>
        <w:tc>
          <w:tcPr>
            <w:tcW w:w="1220" w:type="dxa"/>
            <w:tcBorders>
              <w:top w:val="nil"/>
              <w:left w:val="nil"/>
              <w:bottom w:val="single" w:sz="4" w:space="0" w:color="auto"/>
              <w:right w:val="single" w:sz="4" w:space="0" w:color="auto"/>
            </w:tcBorders>
            <w:shd w:val="clear" w:color="000000" w:fill="FFFFFF"/>
            <w:hideMark/>
          </w:tcPr>
          <w:p w14:paraId="78098225" w14:textId="77777777" w:rsidR="00CF4CE3" w:rsidRPr="00FA100E" w:rsidRDefault="00CF4CE3" w:rsidP="00CF4CE3">
            <w:pPr>
              <w:spacing w:after="0" w:line="240" w:lineRule="auto"/>
              <w:jc w:val="center"/>
              <w:rPr>
                <w:rFonts w:ascii="Times New Roman" w:eastAsia="Times New Roman" w:hAnsi="Times New Roman" w:cs="Times New Roman"/>
                <w:sz w:val="16"/>
                <w:szCs w:val="16"/>
                <w:lang w:val="en-GB" w:eastAsia="en-GB"/>
              </w:rPr>
            </w:pPr>
            <w:r w:rsidRPr="00FA100E">
              <w:rPr>
                <w:rFonts w:ascii="Times New Roman" w:eastAsia="Times New Roman" w:hAnsi="Times New Roman" w:cs="Times New Roman"/>
                <w:sz w:val="16"/>
                <w:szCs w:val="16"/>
                <w:lang w:val="en-GB" w:eastAsia="en-GB"/>
              </w:rPr>
              <w:t>Yes</w:t>
            </w:r>
          </w:p>
        </w:tc>
        <w:tc>
          <w:tcPr>
            <w:tcW w:w="1222" w:type="dxa"/>
            <w:tcBorders>
              <w:top w:val="nil"/>
              <w:left w:val="nil"/>
              <w:bottom w:val="single" w:sz="4" w:space="0" w:color="auto"/>
              <w:right w:val="single" w:sz="4" w:space="0" w:color="auto"/>
            </w:tcBorders>
            <w:shd w:val="clear" w:color="000000" w:fill="FFFFFF"/>
            <w:hideMark/>
          </w:tcPr>
          <w:p w14:paraId="1FD2CBB7" w14:textId="77777777" w:rsidR="00CF4CE3" w:rsidRPr="00FA100E" w:rsidRDefault="00CF4CE3" w:rsidP="00CF4CE3">
            <w:pPr>
              <w:spacing w:after="0" w:line="240" w:lineRule="auto"/>
              <w:jc w:val="center"/>
              <w:rPr>
                <w:rFonts w:ascii="Times New Roman" w:eastAsia="Times New Roman" w:hAnsi="Times New Roman" w:cs="Times New Roman"/>
                <w:sz w:val="16"/>
                <w:szCs w:val="16"/>
                <w:lang w:val="en-GB" w:eastAsia="en-GB"/>
              </w:rPr>
            </w:pPr>
            <w:r w:rsidRPr="00FA100E">
              <w:rPr>
                <w:rFonts w:ascii="Times New Roman" w:eastAsia="Times New Roman" w:hAnsi="Times New Roman" w:cs="Times New Roman"/>
                <w:sz w:val="16"/>
                <w:szCs w:val="16"/>
                <w:lang w:val="en-GB" w:eastAsia="en-GB"/>
              </w:rPr>
              <w:t>Yes</w:t>
            </w:r>
          </w:p>
        </w:tc>
        <w:tc>
          <w:tcPr>
            <w:tcW w:w="1222" w:type="dxa"/>
            <w:tcBorders>
              <w:top w:val="nil"/>
              <w:left w:val="nil"/>
              <w:bottom w:val="single" w:sz="4" w:space="0" w:color="auto"/>
              <w:right w:val="single" w:sz="4" w:space="0" w:color="auto"/>
            </w:tcBorders>
            <w:shd w:val="clear" w:color="000000" w:fill="FFFFFF"/>
            <w:hideMark/>
          </w:tcPr>
          <w:p w14:paraId="74DDF223" w14:textId="77777777" w:rsidR="00CF4CE3" w:rsidRPr="00FA100E" w:rsidRDefault="00CF4CE3" w:rsidP="00CF4CE3">
            <w:pPr>
              <w:spacing w:after="0" w:line="240" w:lineRule="auto"/>
              <w:jc w:val="center"/>
              <w:rPr>
                <w:rFonts w:ascii="Times New Roman" w:eastAsia="Times New Roman" w:hAnsi="Times New Roman" w:cs="Times New Roman"/>
                <w:sz w:val="16"/>
                <w:szCs w:val="16"/>
                <w:lang w:val="en-GB" w:eastAsia="en-GB"/>
              </w:rPr>
            </w:pPr>
            <w:r w:rsidRPr="00FA100E">
              <w:rPr>
                <w:rFonts w:ascii="Times New Roman" w:eastAsia="Times New Roman" w:hAnsi="Times New Roman" w:cs="Times New Roman"/>
                <w:sz w:val="16"/>
                <w:szCs w:val="16"/>
                <w:lang w:val="en-GB" w:eastAsia="en-GB"/>
              </w:rPr>
              <w:t>Yes</w:t>
            </w:r>
          </w:p>
        </w:tc>
        <w:tc>
          <w:tcPr>
            <w:tcW w:w="1543" w:type="dxa"/>
            <w:tcBorders>
              <w:top w:val="nil"/>
              <w:left w:val="nil"/>
              <w:bottom w:val="single" w:sz="4" w:space="0" w:color="auto"/>
              <w:right w:val="single" w:sz="4" w:space="0" w:color="auto"/>
            </w:tcBorders>
            <w:shd w:val="clear" w:color="000000" w:fill="FFFFFF"/>
            <w:hideMark/>
          </w:tcPr>
          <w:p w14:paraId="019F0D93" w14:textId="77777777" w:rsidR="00CF4CE3" w:rsidRPr="00FA100E" w:rsidRDefault="00CF4CE3" w:rsidP="00CF4CE3">
            <w:pPr>
              <w:spacing w:after="0" w:line="240" w:lineRule="auto"/>
              <w:jc w:val="center"/>
              <w:rPr>
                <w:rFonts w:ascii="Times New Roman" w:eastAsia="Times New Roman" w:hAnsi="Times New Roman" w:cs="Times New Roman"/>
                <w:sz w:val="16"/>
                <w:szCs w:val="16"/>
                <w:lang w:val="en-GB" w:eastAsia="en-GB"/>
              </w:rPr>
            </w:pPr>
            <w:r w:rsidRPr="00FA100E">
              <w:rPr>
                <w:rFonts w:ascii="Times New Roman" w:eastAsia="Times New Roman" w:hAnsi="Times New Roman" w:cs="Times New Roman"/>
                <w:sz w:val="16"/>
                <w:szCs w:val="16"/>
                <w:lang w:val="en-GB" w:eastAsia="en-GB"/>
              </w:rPr>
              <w:t>Yes</w:t>
            </w:r>
          </w:p>
        </w:tc>
        <w:tc>
          <w:tcPr>
            <w:tcW w:w="1012" w:type="dxa"/>
            <w:tcBorders>
              <w:top w:val="nil"/>
              <w:left w:val="nil"/>
              <w:bottom w:val="single" w:sz="4" w:space="0" w:color="auto"/>
              <w:right w:val="single" w:sz="4" w:space="0" w:color="auto"/>
            </w:tcBorders>
            <w:shd w:val="clear" w:color="000000" w:fill="FFFFFF"/>
            <w:hideMark/>
          </w:tcPr>
          <w:p w14:paraId="4DD86065" w14:textId="77777777" w:rsidR="00CF4CE3" w:rsidRPr="00FA100E" w:rsidRDefault="00CF4CE3" w:rsidP="00CF4CE3">
            <w:pPr>
              <w:spacing w:after="0" w:line="240" w:lineRule="auto"/>
              <w:jc w:val="center"/>
              <w:rPr>
                <w:rFonts w:ascii="Times New Roman" w:eastAsia="Times New Roman" w:hAnsi="Times New Roman" w:cs="Times New Roman"/>
                <w:sz w:val="16"/>
                <w:szCs w:val="16"/>
                <w:lang w:val="en-GB" w:eastAsia="en-GB"/>
              </w:rPr>
            </w:pPr>
            <w:r w:rsidRPr="00FA100E">
              <w:rPr>
                <w:rFonts w:ascii="Times New Roman" w:eastAsia="Times New Roman" w:hAnsi="Times New Roman" w:cs="Times New Roman"/>
                <w:sz w:val="16"/>
                <w:szCs w:val="16"/>
                <w:lang w:val="en-GB" w:eastAsia="en-GB"/>
              </w:rPr>
              <w:t>No</w:t>
            </w:r>
          </w:p>
        </w:tc>
        <w:tc>
          <w:tcPr>
            <w:tcW w:w="1239" w:type="dxa"/>
            <w:tcBorders>
              <w:top w:val="nil"/>
              <w:left w:val="nil"/>
              <w:bottom w:val="single" w:sz="4" w:space="0" w:color="auto"/>
              <w:right w:val="single" w:sz="4" w:space="0" w:color="auto"/>
            </w:tcBorders>
            <w:shd w:val="clear" w:color="000000" w:fill="FFFFFF"/>
            <w:hideMark/>
          </w:tcPr>
          <w:p w14:paraId="00F6F20A" w14:textId="77777777" w:rsidR="00CF4CE3" w:rsidRPr="00FA100E" w:rsidRDefault="00CF4CE3" w:rsidP="00CF4CE3">
            <w:pPr>
              <w:spacing w:after="0" w:line="240" w:lineRule="auto"/>
              <w:jc w:val="center"/>
              <w:rPr>
                <w:rFonts w:ascii="Times New Roman" w:eastAsia="Times New Roman" w:hAnsi="Times New Roman" w:cs="Times New Roman"/>
                <w:sz w:val="16"/>
                <w:szCs w:val="16"/>
                <w:lang w:val="en-GB" w:eastAsia="en-GB"/>
              </w:rPr>
            </w:pPr>
            <w:r w:rsidRPr="00FA100E">
              <w:rPr>
                <w:rFonts w:ascii="Times New Roman" w:eastAsia="Times New Roman" w:hAnsi="Times New Roman" w:cs="Times New Roman"/>
                <w:sz w:val="16"/>
                <w:szCs w:val="16"/>
                <w:lang w:val="en-GB" w:eastAsia="en-GB"/>
              </w:rPr>
              <w:t>No</w:t>
            </w:r>
          </w:p>
        </w:tc>
        <w:tc>
          <w:tcPr>
            <w:tcW w:w="1225" w:type="dxa"/>
            <w:tcBorders>
              <w:top w:val="nil"/>
              <w:left w:val="nil"/>
              <w:bottom w:val="single" w:sz="4" w:space="0" w:color="auto"/>
              <w:right w:val="single" w:sz="4" w:space="0" w:color="auto"/>
            </w:tcBorders>
            <w:shd w:val="clear" w:color="000000" w:fill="FFFFFF"/>
            <w:hideMark/>
          </w:tcPr>
          <w:p w14:paraId="1CB0256E" w14:textId="77777777" w:rsidR="00CF4CE3" w:rsidRPr="00FA100E" w:rsidRDefault="00CF4CE3" w:rsidP="00CF4CE3">
            <w:pPr>
              <w:spacing w:after="0" w:line="240" w:lineRule="auto"/>
              <w:jc w:val="center"/>
              <w:rPr>
                <w:rFonts w:ascii="Times New Roman" w:eastAsia="Times New Roman" w:hAnsi="Times New Roman" w:cs="Times New Roman"/>
                <w:sz w:val="16"/>
                <w:szCs w:val="16"/>
                <w:lang w:val="en-GB" w:eastAsia="en-GB"/>
              </w:rPr>
            </w:pPr>
            <w:r w:rsidRPr="00FA100E">
              <w:rPr>
                <w:rFonts w:ascii="Times New Roman" w:eastAsia="Times New Roman" w:hAnsi="Times New Roman" w:cs="Times New Roman"/>
                <w:sz w:val="16"/>
                <w:szCs w:val="16"/>
                <w:lang w:val="en-GB" w:eastAsia="en-GB"/>
              </w:rPr>
              <w:t>Yes</w:t>
            </w:r>
          </w:p>
        </w:tc>
        <w:tc>
          <w:tcPr>
            <w:tcW w:w="1236" w:type="dxa"/>
            <w:tcBorders>
              <w:top w:val="nil"/>
              <w:left w:val="nil"/>
              <w:bottom w:val="single" w:sz="4" w:space="0" w:color="auto"/>
              <w:right w:val="single" w:sz="4" w:space="0" w:color="auto"/>
            </w:tcBorders>
            <w:shd w:val="clear" w:color="000000" w:fill="FFFFFF"/>
            <w:hideMark/>
          </w:tcPr>
          <w:p w14:paraId="2C989E7E" w14:textId="77777777" w:rsidR="00CF4CE3" w:rsidRPr="00FA100E" w:rsidRDefault="00CF4CE3" w:rsidP="00CF4CE3">
            <w:pPr>
              <w:spacing w:after="0" w:line="240" w:lineRule="auto"/>
              <w:jc w:val="center"/>
              <w:rPr>
                <w:rFonts w:ascii="Times New Roman" w:eastAsia="Times New Roman" w:hAnsi="Times New Roman" w:cs="Times New Roman"/>
                <w:sz w:val="16"/>
                <w:szCs w:val="16"/>
                <w:lang w:val="en-GB" w:eastAsia="en-GB"/>
              </w:rPr>
            </w:pPr>
            <w:r w:rsidRPr="00FA100E">
              <w:rPr>
                <w:rFonts w:ascii="Times New Roman" w:eastAsia="Times New Roman" w:hAnsi="Times New Roman" w:cs="Times New Roman"/>
                <w:sz w:val="16"/>
                <w:szCs w:val="16"/>
                <w:lang w:val="en-GB" w:eastAsia="en-GB"/>
              </w:rPr>
              <w:t>Yes</w:t>
            </w:r>
          </w:p>
        </w:tc>
        <w:tc>
          <w:tcPr>
            <w:tcW w:w="1060" w:type="dxa"/>
            <w:tcBorders>
              <w:top w:val="nil"/>
              <w:left w:val="nil"/>
              <w:bottom w:val="single" w:sz="4" w:space="0" w:color="auto"/>
              <w:right w:val="single" w:sz="4" w:space="0" w:color="auto"/>
            </w:tcBorders>
            <w:shd w:val="clear" w:color="auto" w:fill="auto"/>
            <w:noWrap/>
            <w:hideMark/>
          </w:tcPr>
          <w:p w14:paraId="76050938" w14:textId="77777777" w:rsidR="00CF4CE3" w:rsidRPr="00FA100E" w:rsidRDefault="00CF4CE3" w:rsidP="00CF4CE3">
            <w:pPr>
              <w:spacing w:after="0" w:line="240" w:lineRule="auto"/>
              <w:jc w:val="center"/>
              <w:rPr>
                <w:rFonts w:ascii="Times New Roman" w:eastAsia="Times New Roman" w:hAnsi="Times New Roman" w:cs="Times New Roman"/>
                <w:sz w:val="20"/>
                <w:szCs w:val="20"/>
                <w:lang w:val="en-GB" w:eastAsia="en-GB"/>
              </w:rPr>
            </w:pPr>
            <w:r w:rsidRPr="00FA100E">
              <w:rPr>
                <w:rFonts w:ascii="Times New Roman" w:eastAsia="Times New Roman" w:hAnsi="Times New Roman" w:cs="Times New Roman"/>
                <w:sz w:val="20"/>
                <w:szCs w:val="20"/>
                <w:lang w:val="en-GB" w:eastAsia="en-GB"/>
              </w:rPr>
              <w:t>6</w:t>
            </w:r>
          </w:p>
        </w:tc>
      </w:tr>
      <w:tr w:rsidR="00FA100E" w:rsidRPr="00FA100E" w14:paraId="64D19F03" w14:textId="77777777" w:rsidTr="00CF4CE3">
        <w:trPr>
          <w:trHeight w:val="390"/>
        </w:trPr>
        <w:tc>
          <w:tcPr>
            <w:tcW w:w="1881" w:type="dxa"/>
            <w:tcBorders>
              <w:top w:val="nil"/>
              <w:left w:val="single" w:sz="4" w:space="0" w:color="auto"/>
              <w:bottom w:val="single" w:sz="4" w:space="0" w:color="auto"/>
              <w:right w:val="single" w:sz="4" w:space="0" w:color="auto"/>
            </w:tcBorders>
            <w:shd w:val="clear" w:color="auto" w:fill="auto"/>
            <w:noWrap/>
            <w:hideMark/>
          </w:tcPr>
          <w:p w14:paraId="384836D8" w14:textId="77777777" w:rsidR="00CF4CE3" w:rsidRPr="00FA100E" w:rsidRDefault="00CF4CE3" w:rsidP="00CF4CE3">
            <w:pPr>
              <w:spacing w:after="0" w:line="240" w:lineRule="auto"/>
              <w:rPr>
                <w:rFonts w:ascii="Times New Roman" w:eastAsia="Times New Roman" w:hAnsi="Times New Roman" w:cs="Times New Roman"/>
                <w:sz w:val="16"/>
                <w:szCs w:val="16"/>
                <w:lang w:val="en-GB" w:eastAsia="en-GB"/>
              </w:rPr>
            </w:pPr>
            <w:r w:rsidRPr="00FA100E">
              <w:rPr>
                <w:rFonts w:ascii="Times New Roman" w:eastAsia="Times New Roman" w:hAnsi="Times New Roman" w:cs="Times New Roman"/>
                <w:sz w:val="16"/>
                <w:szCs w:val="16"/>
                <w:lang w:val="en-GB" w:eastAsia="en-GB"/>
              </w:rPr>
              <w:t>Maloney-Hall (2020)</w:t>
            </w:r>
          </w:p>
        </w:tc>
        <w:tc>
          <w:tcPr>
            <w:tcW w:w="1220" w:type="dxa"/>
            <w:tcBorders>
              <w:top w:val="nil"/>
              <w:left w:val="nil"/>
              <w:bottom w:val="single" w:sz="4" w:space="0" w:color="auto"/>
              <w:right w:val="single" w:sz="4" w:space="0" w:color="auto"/>
            </w:tcBorders>
            <w:shd w:val="clear" w:color="000000" w:fill="FFFFFF"/>
            <w:hideMark/>
          </w:tcPr>
          <w:p w14:paraId="456CE179" w14:textId="77777777" w:rsidR="00CF4CE3" w:rsidRPr="00FA100E" w:rsidRDefault="00CF4CE3" w:rsidP="00CF4CE3">
            <w:pPr>
              <w:spacing w:after="0" w:line="240" w:lineRule="auto"/>
              <w:jc w:val="center"/>
              <w:rPr>
                <w:rFonts w:ascii="Times New Roman" w:eastAsia="Times New Roman" w:hAnsi="Times New Roman" w:cs="Times New Roman"/>
                <w:sz w:val="16"/>
                <w:szCs w:val="16"/>
                <w:lang w:val="en-GB" w:eastAsia="en-GB"/>
              </w:rPr>
            </w:pPr>
            <w:r w:rsidRPr="00FA100E">
              <w:rPr>
                <w:rFonts w:ascii="Times New Roman" w:eastAsia="Times New Roman" w:hAnsi="Times New Roman" w:cs="Times New Roman"/>
                <w:sz w:val="16"/>
                <w:szCs w:val="16"/>
                <w:lang w:val="en-GB" w:eastAsia="en-GB"/>
              </w:rPr>
              <w:t>Yes</w:t>
            </w:r>
          </w:p>
        </w:tc>
        <w:tc>
          <w:tcPr>
            <w:tcW w:w="1222" w:type="dxa"/>
            <w:tcBorders>
              <w:top w:val="nil"/>
              <w:left w:val="nil"/>
              <w:bottom w:val="single" w:sz="4" w:space="0" w:color="auto"/>
              <w:right w:val="single" w:sz="4" w:space="0" w:color="auto"/>
            </w:tcBorders>
            <w:shd w:val="clear" w:color="000000" w:fill="FFFFFF"/>
            <w:hideMark/>
          </w:tcPr>
          <w:p w14:paraId="7D12B319" w14:textId="77777777" w:rsidR="00CF4CE3" w:rsidRPr="00FA100E" w:rsidRDefault="00CF4CE3" w:rsidP="00CF4CE3">
            <w:pPr>
              <w:spacing w:after="0" w:line="240" w:lineRule="auto"/>
              <w:jc w:val="center"/>
              <w:rPr>
                <w:rFonts w:ascii="Times New Roman" w:eastAsia="Times New Roman" w:hAnsi="Times New Roman" w:cs="Times New Roman"/>
                <w:sz w:val="16"/>
                <w:szCs w:val="16"/>
                <w:lang w:val="en-GB" w:eastAsia="en-GB"/>
              </w:rPr>
            </w:pPr>
            <w:r w:rsidRPr="00FA100E">
              <w:rPr>
                <w:rFonts w:ascii="Times New Roman" w:eastAsia="Times New Roman" w:hAnsi="Times New Roman" w:cs="Times New Roman"/>
                <w:sz w:val="16"/>
                <w:szCs w:val="16"/>
                <w:lang w:val="en-GB" w:eastAsia="en-GB"/>
              </w:rPr>
              <w:t>Yes</w:t>
            </w:r>
          </w:p>
        </w:tc>
        <w:tc>
          <w:tcPr>
            <w:tcW w:w="1222" w:type="dxa"/>
            <w:tcBorders>
              <w:top w:val="nil"/>
              <w:left w:val="nil"/>
              <w:bottom w:val="single" w:sz="4" w:space="0" w:color="auto"/>
              <w:right w:val="single" w:sz="4" w:space="0" w:color="auto"/>
            </w:tcBorders>
            <w:shd w:val="clear" w:color="000000" w:fill="FFFFFF"/>
            <w:hideMark/>
          </w:tcPr>
          <w:p w14:paraId="516DC59C" w14:textId="77777777" w:rsidR="00CF4CE3" w:rsidRPr="00FA100E" w:rsidRDefault="00CF4CE3" w:rsidP="00CF4CE3">
            <w:pPr>
              <w:spacing w:after="0" w:line="240" w:lineRule="auto"/>
              <w:jc w:val="center"/>
              <w:rPr>
                <w:rFonts w:ascii="Times New Roman" w:eastAsia="Times New Roman" w:hAnsi="Times New Roman" w:cs="Times New Roman"/>
                <w:sz w:val="16"/>
                <w:szCs w:val="16"/>
                <w:lang w:val="en-GB" w:eastAsia="en-GB"/>
              </w:rPr>
            </w:pPr>
            <w:r w:rsidRPr="00FA100E">
              <w:rPr>
                <w:rFonts w:ascii="Times New Roman" w:eastAsia="Times New Roman" w:hAnsi="Times New Roman" w:cs="Times New Roman"/>
                <w:sz w:val="16"/>
                <w:szCs w:val="16"/>
                <w:lang w:val="en-GB" w:eastAsia="en-GB"/>
              </w:rPr>
              <w:t>Yes</w:t>
            </w:r>
          </w:p>
        </w:tc>
        <w:tc>
          <w:tcPr>
            <w:tcW w:w="1543" w:type="dxa"/>
            <w:tcBorders>
              <w:top w:val="nil"/>
              <w:left w:val="nil"/>
              <w:bottom w:val="single" w:sz="4" w:space="0" w:color="auto"/>
              <w:right w:val="single" w:sz="4" w:space="0" w:color="auto"/>
            </w:tcBorders>
            <w:shd w:val="clear" w:color="000000" w:fill="FFFFFF"/>
            <w:hideMark/>
          </w:tcPr>
          <w:p w14:paraId="7B42D180" w14:textId="77777777" w:rsidR="00CF4CE3" w:rsidRPr="00FA100E" w:rsidRDefault="00CF4CE3" w:rsidP="00CF4CE3">
            <w:pPr>
              <w:spacing w:after="0" w:line="240" w:lineRule="auto"/>
              <w:jc w:val="center"/>
              <w:rPr>
                <w:rFonts w:ascii="Times New Roman" w:eastAsia="Times New Roman" w:hAnsi="Times New Roman" w:cs="Times New Roman"/>
                <w:sz w:val="16"/>
                <w:szCs w:val="16"/>
                <w:lang w:val="en-GB" w:eastAsia="en-GB"/>
              </w:rPr>
            </w:pPr>
            <w:r w:rsidRPr="00FA100E">
              <w:rPr>
                <w:rFonts w:ascii="Times New Roman" w:eastAsia="Times New Roman" w:hAnsi="Times New Roman" w:cs="Times New Roman"/>
                <w:sz w:val="16"/>
                <w:szCs w:val="16"/>
                <w:lang w:val="en-GB" w:eastAsia="en-GB"/>
              </w:rPr>
              <w:t>Yes</w:t>
            </w:r>
          </w:p>
        </w:tc>
        <w:tc>
          <w:tcPr>
            <w:tcW w:w="1012" w:type="dxa"/>
            <w:tcBorders>
              <w:top w:val="nil"/>
              <w:left w:val="nil"/>
              <w:bottom w:val="single" w:sz="4" w:space="0" w:color="auto"/>
              <w:right w:val="single" w:sz="4" w:space="0" w:color="auto"/>
            </w:tcBorders>
            <w:shd w:val="clear" w:color="000000" w:fill="FFFFFF"/>
            <w:hideMark/>
          </w:tcPr>
          <w:p w14:paraId="4D6C27EA" w14:textId="77777777" w:rsidR="00CF4CE3" w:rsidRPr="00FA100E" w:rsidRDefault="00CF4CE3" w:rsidP="00CF4CE3">
            <w:pPr>
              <w:spacing w:after="0" w:line="240" w:lineRule="auto"/>
              <w:jc w:val="center"/>
              <w:rPr>
                <w:rFonts w:ascii="Times New Roman" w:eastAsia="Times New Roman" w:hAnsi="Times New Roman" w:cs="Times New Roman"/>
                <w:sz w:val="16"/>
                <w:szCs w:val="16"/>
                <w:lang w:val="en-GB" w:eastAsia="en-GB"/>
              </w:rPr>
            </w:pPr>
            <w:r w:rsidRPr="00FA100E">
              <w:rPr>
                <w:rFonts w:ascii="Times New Roman" w:eastAsia="Times New Roman" w:hAnsi="Times New Roman" w:cs="Times New Roman"/>
                <w:sz w:val="16"/>
                <w:szCs w:val="16"/>
                <w:lang w:val="en-GB" w:eastAsia="en-GB"/>
              </w:rPr>
              <w:t>Yes</w:t>
            </w:r>
          </w:p>
        </w:tc>
        <w:tc>
          <w:tcPr>
            <w:tcW w:w="1239" w:type="dxa"/>
            <w:tcBorders>
              <w:top w:val="nil"/>
              <w:left w:val="nil"/>
              <w:bottom w:val="single" w:sz="4" w:space="0" w:color="auto"/>
              <w:right w:val="single" w:sz="4" w:space="0" w:color="auto"/>
            </w:tcBorders>
            <w:shd w:val="clear" w:color="000000" w:fill="FFFFFF"/>
            <w:hideMark/>
          </w:tcPr>
          <w:p w14:paraId="49442522" w14:textId="77777777" w:rsidR="00CF4CE3" w:rsidRPr="00FA100E" w:rsidRDefault="00CF4CE3" w:rsidP="00CF4CE3">
            <w:pPr>
              <w:spacing w:after="0" w:line="240" w:lineRule="auto"/>
              <w:jc w:val="center"/>
              <w:rPr>
                <w:rFonts w:ascii="Times New Roman" w:eastAsia="Times New Roman" w:hAnsi="Times New Roman" w:cs="Times New Roman"/>
                <w:sz w:val="16"/>
                <w:szCs w:val="16"/>
                <w:lang w:val="en-GB" w:eastAsia="en-GB"/>
              </w:rPr>
            </w:pPr>
            <w:r w:rsidRPr="00FA100E">
              <w:rPr>
                <w:rFonts w:ascii="Times New Roman" w:eastAsia="Times New Roman" w:hAnsi="Times New Roman" w:cs="Times New Roman"/>
                <w:sz w:val="16"/>
                <w:szCs w:val="16"/>
                <w:lang w:val="en-GB" w:eastAsia="en-GB"/>
              </w:rPr>
              <w:t>No</w:t>
            </w:r>
          </w:p>
        </w:tc>
        <w:tc>
          <w:tcPr>
            <w:tcW w:w="1225" w:type="dxa"/>
            <w:tcBorders>
              <w:top w:val="nil"/>
              <w:left w:val="nil"/>
              <w:bottom w:val="single" w:sz="4" w:space="0" w:color="auto"/>
              <w:right w:val="single" w:sz="4" w:space="0" w:color="auto"/>
            </w:tcBorders>
            <w:shd w:val="clear" w:color="000000" w:fill="FFFFFF"/>
            <w:hideMark/>
          </w:tcPr>
          <w:p w14:paraId="56515D1F" w14:textId="77777777" w:rsidR="00CF4CE3" w:rsidRPr="00FA100E" w:rsidRDefault="00CF4CE3" w:rsidP="00CF4CE3">
            <w:pPr>
              <w:spacing w:after="0" w:line="240" w:lineRule="auto"/>
              <w:jc w:val="center"/>
              <w:rPr>
                <w:rFonts w:ascii="Times New Roman" w:eastAsia="Times New Roman" w:hAnsi="Times New Roman" w:cs="Times New Roman"/>
                <w:sz w:val="16"/>
                <w:szCs w:val="16"/>
                <w:lang w:val="en-GB" w:eastAsia="en-GB"/>
              </w:rPr>
            </w:pPr>
            <w:r w:rsidRPr="00FA100E">
              <w:rPr>
                <w:rFonts w:ascii="Times New Roman" w:eastAsia="Times New Roman" w:hAnsi="Times New Roman" w:cs="Times New Roman"/>
                <w:sz w:val="16"/>
                <w:szCs w:val="16"/>
                <w:lang w:val="en-GB" w:eastAsia="en-GB"/>
              </w:rPr>
              <w:t>Yes</w:t>
            </w:r>
          </w:p>
        </w:tc>
        <w:tc>
          <w:tcPr>
            <w:tcW w:w="1236" w:type="dxa"/>
            <w:tcBorders>
              <w:top w:val="nil"/>
              <w:left w:val="nil"/>
              <w:bottom w:val="single" w:sz="4" w:space="0" w:color="auto"/>
              <w:right w:val="single" w:sz="4" w:space="0" w:color="auto"/>
            </w:tcBorders>
            <w:shd w:val="clear" w:color="000000" w:fill="FFFFFF"/>
            <w:hideMark/>
          </w:tcPr>
          <w:p w14:paraId="0A6E4AF4" w14:textId="77777777" w:rsidR="00CF4CE3" w:rsidRPr="00FA100E" w:rsidRDefault="00CF4CE3" w:rsidP="00CF4CE3">
            <w:pPr>
              <w:spacing w:after="0" w:line="240" w:lineRule="auto"/>
              <w:jc w:val="center"/>
              <w:rPr>
                <w:rFonts w:ascii="Times New Roman" w:eastAsia="Times New Roman" w:hAnsi="Times New Roman" w:cs="Times New Roman"/>
                <w:sz w:val="16"/>
                <w:szCs w:val="16"/>
                <w:lang w:val="en-GB" w:eastAsia="en-GB"/>
              </w:rPr>
            </w:pPr>
            <w:r w:rsidRPr="00FA100E">
              <w:rPr>
                <w:rFonts w:ascii="Times New Roman" w:eastAsia="Times New Roman" w:hAnsi="Times New Roman" w:cs="Times New Roman"/>
                <w:sz w:val="16"/>
                <w:szCs w:val="16"/>
                <w:lang w:val="en-GB" w:eastAsia="en-GB"/>
              </w:rPr>
              <w:t>Yes</w:t>
            </w:r>
          </w:p>
        </w:tc>
        <w:tc>
          <w:tcPr>
            <w:tcW w:w="1060" w:type="dxa"/>
            <w:tcBorders>
              <w:top w:val="nil"/>
              <w:left w:val="nil"/>
              <w:bottom w:val="single" w:sz="4" w:space="0" w:color="auto"/>
              <w:right w:val="single" w:sz="4" w:space="0" w:color="auto"/>
            </w:tcBorders>
            <w:shd w:val="clear" w:color="auto" w:fill="auto"/>
            <w:noWrap/>
            <w:hideMark/>
          </w:tcPr>
          <w:p w14:paraId="443E1A34" w14:textId="77777777" w:rsidR="00CF4CE3" w:rsidRPr="00FA100E" w:rsidRDefault="00CF4CE3" w:rsidP="00CF4CE3">
            <w:pPr>
              <w:spacing w:after="0" w:line="240" w:lineRule="auto"/>
              <w:jc w:val="center"/>
              <w:rPr>
                <w:rFonts w:ascii="Times New Roman" w:eastAsia="Times New Roman" w:hAnsi="Times New Roman" w:cs="Times New Roman"/>
                <w:sz w:val="20"/>
                <w:szCs w:val="20"/>
                <w:lang w:val="en-GB" w:eastAsia="en-GB"/>
              </w:rPr>
            </w:pPr>
            <w:r w:rsidRPr="00FA100E">
              <w:rPr>
                <w:rFonts w:ascii="Times New Roman" w:eastAsia="Times New Roman" w:hAnsi="Times New Roman" w:cs="Times New Roman"/>
                <w:sz w:val="20"/>
                <w:szCs w:val="20"/>
                <w:lang w:val="en-GB" w:eastAsia="en-GB"/>
              </w:rPr>
              <w:t>7</w:t>
            </w:r>
          </w:p>
        </w:tc>
      </w:tr>
      <w:tr w:rsidR="00FA100E" w:rsidRPr="00FA100E" w14:paraId="643219D7" w14:textId="77777777" w:rsidTr="00CF4CE3">
        <w:trPr>
          <w:trHeight w:val="390"/>
        </w:trPr>
        <w:tc>
          <w:tcPr>
            <w:tcW w:w="1881" w:type="dxa"/>
            <w:tcBorders>
              <w:top w:val="nil"/>
              <w:left w:val="single" w:sz="4" w:space="0" w:color="auto"/>
              <w:bottom w:val="single" w:sz="4" w:space="0" w:color="auto"/>
              <w:right w:val="single" w:sz="4" w:space="0" w:color="auto"/>
            </w:tcBorders>
            <w:shd w:val="clear" w:color="auto" w:fill="auto"/>
            <w:noWrap/>
            <w:hideMark/>
          </w:tcPr>
          <w:p w14:paraId="556ADBD0" w14:textId="77777777" w:rsidR="00CF4CE3" w:rsidRPr="00FA100E" w:rsidRDefault="00CF4CE3" w:rsidP="00CF4CE3">
            <w:pPr>
              <w:spacing w:after="0" w:line="240" w:lineRule="auto"/>
              <w:rPr>
                <w:rFonts w:ascii="Times New Roman" w:eastAsia="Times New Roman" w:hAnsi="Times New Roman" w:cs="Times New Roman"/>
                <w:sz w:val="16"/>
                <w:szCs w:val="16"/>
                <w:lang w:val="en-GB" w:eastAsia="en-GB"/>
              </w:rPr>
            </w:pPr>
            <w:r w:rsidRPr="00FA100E">
              <w:rPr>
                <w:rFonts w:ascii="Times New Roman" w:eastAsia="Times New Roman" w:hAnsi="Times New Roman" w:cs="Times New Roman"/>
                <w:sz w:val="16"/>
                <w:szCs w:val="16"/>
                <w:lang w:val="en-GB" w:eastAsia="en-GB"/>
              </w:rPr>
              <w:t>Morean (2022)</w:t>
            </w:r>
          </w:p>
        </w:tc>
        <w:tc>
          <w:tcPr>
            <w:tcW w:w="1220" w:type="dxa"/>
            <w:tcBorders>
              <w:top w:val="nil"/>
              <w:left w:val="nil"/>
              <w:bottom w:val="single" w:sz="4" w:space="0" w:color="auto"/>
              <w:right w:val="single" w:sz="4" w:space="0" w:color="auto"/>
            </w:tcBorders>
            <w:shd w:val="clear" w:color="000000" w:fill="FFFFFF"/>
            <w:hideMark/>
          </w:tcPr>
          <w:p w14:paraId="7F7F99F1" w14:textId="77777777" w:rsidR="00CF4CE3" w:rsidRPr="00FA100E" w:rsidRDefault="00CF4CE3" w:rsidP="00CF4CE3">
            <w:pPr>
              <w:spacing w:after="0" w:line="240" w:lineRule="auto"/>
              <w:jc w:val="center"/>
              <w:rPr>
                <w:rFonts w:ascii="Times New Roman" w:eastAsia="Times New Roman" w:hAnsi="Times New Roman" w:cs="Times New Roman"/>
                <w:sz w:val="16"/>
                <w:szCs w:val="16"/>
                <w:lang w:val="en-GB" w:eastAsia="en-GB"/>
              </w:rPr>
            </w:pPr>
            <w:r w:rsidRPr="00FA100E">
              <w:rPr>
                <w:rFonts w:ascii="Times New Roman" w:eastAsia="Times New Roman" w:hAnsi="Times New Roman" w:cs="Times New Roman"/>
                <w:sz w:val="16"/>
                <w:szCs w:val="16"/>
                <w:lang w:val="en-GB" w:eastAsia="en-GB"/>
              </w:rPr>
              <w:t>Yes</w:t>
            </w:r>
          </w:p>
        </w:tc>
        <w:tc>
          <w:tcPr>
            <w:tcW w:w="1222" w:type="dxa"/>
            <w:tcBorders>
              <w:top w:val="nil"/>
              <w:left w:val="nil"/>
              <w:bottom w:val="single" w:sz="4" w:space="0" w:color="auto"/>
              <w:right w:val="single" w:sz="4" w:space="0" w:color="auto"/>
            </w:tcBorders>
            <w:shd w:val="clear" w:color="000000" w:fill="FFFFFF"/>
            <w:hideMark/>
          </w:tcPr>
          <w:p w14:paraId="5D41BB85" w14:textId="77777777" w:rsidR="00CF4CE3" w:rsidRPr="00FA100E" w:rsidRDefault="00CF4CE3" w:rsidP="00CF4CE3">
            <w:pPr>
              <w:spacing w:after="0" w:line="240" w:lineRule="auto"/>
              <w:jc w:val="center"/>
              <w:rPr>
                <w:rFonts w:ascii="Times New Roman" w:eastAsia="Times New Roman" w:hAnsi="Times New Roman" w:cs="Times New Roman"/>
                <w:sz w:val="16"/>
                <w:szCs w:val="16"/>
                <w:lang w:val="en-GB" w:eastAsia="en-GB"/>
              </w:rPr>
            </w:pPr>
            <w:r w:rsidRPr="00FA100E">
              <w:rPr>
                <w:rFonts w:ascii="Times New Roman" w:eastAsia="Times New Roman" w:hAnsi="Times New Roman" w:cs="Times New Roman"/>
                <w:sz w:val="16"/>
                <w:szCs w:val="16"/>
                <w:lang w:val="en-GB" w:eastAsia="en-GB"/>
              </w:rPr>
              <w:t>Yes</w:t>
            </w:r>
          </w:p>
        </w:tc>
        <w:tc>
          <w:tcPr>
            <w:tcW w:w="1222" w:type="dxa"/>
            <w:tcBorders>
              <w:top w:val="nil"/>
              <w:left w:val="nil"/>
              <w:bottom w:val="single" w:sz="4" w:space="0" w:color="auto"/>
              <w:right w:val="single" w:sz="4" w:space="0" w:color="auto"/>
            </w:tcBorders>
            <w:shd w:val="clear" w:color="000000" w:fill="FFFFFF"/>
            <w:hideMark/>
          </w:tcPr>
          <w:p w14:paraId="3DC3B8A8" w14:textId="77777777" w:rsidR="00CF4CE3" w:rsidRPr="00FA100E" w:rsidRDefault="00CF4CE3" w:rsidP="00CF4CE3">
            <w:pPr>
              <w:spacing w:after="0" w:line="240" w:lineRule="auto"/>
              <w:jc w:val="center"/>
              <w:rPr>
                <w:rFonts w:ascii="Times New Roman" w:eastAsia="Times New Roman" w:hAnsi="Times New Roman" w:cs="Times New Roman"/>
                <w:sz w:val="16"/>
                <w:szCs w:val="16"/>
                <w:lang w:val="en-GB" w:eastAsia="en-GB"/>
              </w:rPr>
            </w:pPr>
            <w:r w:rsidRPr="00FA100E">
              <w:rPr>
                <w:rFonts w:ascii="Times New Roman" w:eastAsia="Times New Roman" w:hAnsi="Times New Roman" w:cs="Times New Roman"/>
                <w:sz w:val="16"/>
                <w:szCs w:val="16"/>
                <w:lang w:val="en-GB" w:eastAsia="en-GB"/>
              </w:rPr>
              <w:t>Yes</w:t>
            </w:r>
          </w:p>
        </w:tc>
        <w:tc>
          <w:tcPr>
            <w:tcW w:w="1543" w:type="dxa"/>
            <w:tcBorders>
              <w:top w:val="nil"/>
              <w:left w:val="nil"/>
              <w:bottom w:val="single" w:sz="4" w:space="0" w:color="auto"/>
              <w:right w:val="single" w:sz="4" w:space="0" w:color="auto"/>
            </w:tcBorders>
            <w:shd w:val="clear" w:color="000000" w:fill="FFFFFF"/>
            <w:hideMark/>
          </w:tcPr>
          <w:p w14:paraId="188FC89F" w14:textId="77777777" w:rsidR="00CF4CE3" w:rsidRPr="00FA100E" w:rsidRDefault="00CF4CE3" w:rsidP="00CF4CE3">
            <w:pPr>
              <w:spacing w:after="0" w:line="240" w:lineRule="auto"/>
              <w:jc w:val="center"/>
              <w:rPr>
                <w:rFonts w:ascii="Times New Roman" w:eastAsia="Times New Roman" w:hAnsi="Times New Roman" w:cs="Times New Roman"/>
                <w:sz w:val="16"/>
                <w:szCs w:val="16"/>
                <w:lang w:val="en-GB" w:eastAsia="en-GB"/>
              </w:rPr>
            </w:pPr>
            <w:r w:rsidRPr="00FA100E">
              <w:rPr>
                <w:rFonts w:ascii="Times New Roman" w:eastAsia="Times New Roman" w:hAnsi="Times New Roman" w:cs="Times New Roman"/>
                <w:sz w:val="16"/>
                <w:szCs w:val="16"/>
                <w:lang w:val="en-GB" w:eastAsia="en-GB"/>
              </w:rPr>
              <w:t>Yes</w:t>
            </w:r>
          </w:p>
        </w:tc>
        <w:tc>
          <w:tcPr>
            <w:tcW w:w="1012" w:type="dxa"/>
            <w:tcBorders>
              <w:top w:val="nil"/>
              <w:left w:val="nil"/>
              <w:bottom w:val="single" w:sz="4" w:space="0" w:color="auto"/>
              <w:right w:val="single" w:sz="4" w:space="0" w:color="auto"/>
            </w:tcBorders>
            <w:shd w:val="clear" w:color="000000" w:fill="FFFFFF"/>
            <w:hideMark/>
          </w:tcPr>
          <w:p w14:paraId="5F102917" w14:textId="77777777" w:rsidR="00CF4CE3" w:rsidRPr="00FA100E" w:rsidRDefault="00CF4CE3" w:rsidP="00CF4CE3">
            <w:pPr>
              <w:spacing w:after="0" w:line="240" w:lineRule="auto"/>
              <w:jc w:val="center"/>
              <w:rPr>
                <w:rFonts w:ascii="Times New Roman" w:eastAsia="Times New Roman" w:hAnsi="Times New Roman" w:cs="Times New Roman"/>
                <w:sz w:val="16"/>
                <w:szCs w:val="16"/>
                <w:lang w:val="en-GB" w:eastAsia="en-GB"/>
              </w:rPr>
            </w:pPr>
            <w:r w:rsidRPr="00FA100E">
              <w:rPr>
                <w:rFonts w:ascii="Times New Roman" w:eastAsia="Times New Roman" w:hAnsi="Times New Roman" w:cs="Times New Roman"/>
                <w:sz w:val="16"/>
                <w:szCs w:val="16"/>
                <w:lang w:val="en-GB" w:eastAsia="en-GB"/>
              </w:rPr>
              <w:t>Yes</w:t>
            </w:r>
          </w:p>
        </w:tc>
        <w:tc>
          <w:tcPr>
            <w:tcW w:w="1239" w:type="dxa"/>
            <w:tcBorders>
              <w:top w:val="nil"/>
              <w:left w:val="nil"/>
              <w:bottom w:val="single" w:sz="4" w:space="0" w:color="auto"/>
              <w:right w:val="single" w:sz="4" w:space="0" w:color="auto"/>
            </w:tcBorders>
            <w:shd w:val="clear" w:color="000000" w:fill="FFFFFF"/>
            <w:hideMark/>
          </w:tcPr>
          <w:p w14:paraId="0A055371" w14:textId="77777777" w:rsidR="00CF4CE3" w:rsidRPr="00FA100E" w:rsidRDefault="00CF4CE3" w:rsidP="00CF4CE3">
            <w:pPr>
              <w:spacing w:after="0" w:line="240" w:lineRule="auto"/>
              <w:jc w:val="center"/>
              <w:rPr>
                <w:rFonts w:ascii="Times New Roman" w:eastAsia="Times New Roman" w:hAnsi="Times New Roman" w:cs="Times New Roman"/>
                <w:sz w:val="16"/>
                <w:szCs w:val="16"/>
                <w:lang w:val="en-GB" w:eastAsia="en-GB"/>
              </w:rPr>
            </w:pPr>
            <w:r w:rsidRPr="00FA100E">
              <w:rPr>
                <w:rFonts w:ascii="Times New Roman" w:eastAsia="Times New Roman" w:hAnsi="Times New Roman" w:cs="Times New Roman"/>
                <w:sz w:val="16"/>
                <w:szCs w:val="16"/>
                <w:lang w:val="en-GB" w:eastAsia="en-GB"/>
              </w:rPr>
              <w:t>No</w:t>
            </w:r>
          </w:p>
        </w:tc>
        <w:tc>
          <w:tcPr>
            <w:tcW w:w="1225" w:type="dxa"/>
            <w:tcBorders>
              <w:top w:val="nil"/>
              <w:left w:val="nil"/>
              <w:bottom w:val="single" w:sz="4" w:space="0" w:color="auto"/>
              <w:right w:val="single" w:sz="4" w:space="0" w:color="auto"/>
            </w:tcBorders>
            <w:shd w:val="clear" w:color="000000" w:fill="FFFFFF"/>
            <w:hideMark/>
          </w:tcPr>
          <w:p w14:paraId="095EC1BD" w14:textId="77777777" w:rsidR="00CF4CE3" w:rsidRPr="00FA100E" w:rsidRDefault="00CF4CE3" w:rsidP="00CF4CE3">
            <w:pPr>
              <w:spacing w:after="0" w:line="240" w:lineRule="auto"/>
              <w:jc w:val="center"/>
              <w:rPr>
                <w:rFonts w:ascii="Times New Roman" w:eastAsia="Times New Roman" w:hAnsi="Times New Roman" w:cs="Times New Roman"/>
                <w:sz w:val="16"/>
                <w:szCs w:val="16"/>
                <w:lang w:val="en-GB" w:eastAsia="en-GB"/>
              </w:rPr>
            </w:pPr>
            <w:r w:rsidRPr="00FA100E">
              <w:rPr>
                <w:rFonts w:ascii="Times New Roman" w:eastAsia="Times New Roman" w:hAnsi="Times New Roman" w:cs="Times New Roman"/>
                <w:sz w:val="16"/>
                <w:szCs w:val="16"/>
                <w:lang w:val="en-GB" w:eastAsia="en-GB"/>
              </w:rPr>
              <w:t>Yes</w:t>
            </w:r>
          </w:p>
        </w:tc>
        <w:tc>
          <w:tcPr>
            <w:tcW w:w="1236" w:type="dxa"/>
            <w:tcBorders>
              <w:top w:val="nil"/>
              <w:left w:val="nil"/>
              <w:bottom w:val="single" w:sz="4" w:space="0" w:color="auto"/>
              <w:right w:val="single" w:sz="4" w:space="0" w:color="auto"/>
            </w:tcBorders>
            <w:shd w:val="clear" w:color="000000" w:fill="FFFFFF"/>
            <w:hideMark/>
          </w:tcPr>
          <w:p w14:paraId="133B1F2B" w14:textId="77777777" w:rsidR="00CF4CE3" w:rsidRPr="00FA100E" w:rsidRDefault="00CF4CE3" w:rsidP="00CF4CE3">
            <w:pPr>
              <w:spacing w:after="0" w:line="240" w:lineRule="auto"/>
              <w:jc w:val="center"/>
              <w:rPr>
                <w:rFonts w:ascii="Times New Roman" w:eastAsia="Times New Roman" w:hAnsi="Times New Roman" w:cs="Times New Roman"/>
                <w:sz w:val="16"/>
                <w:szCs w:val="16"/>
                <w:lang w:val="en-GB" w:eastAsia="en-GB"/>
              </w:rPr>
            </w:pPr>
            <w:r w:rsidRPr="00FA100E">
              <w:rPr>
                <w:rFonts w:ascii="Times New Roman" w:eastAsia="Times New Roman" w:hAnsi="Times New Roman" w:cs="Times New Roman"/>
                <w:sz w:val="16"/>
                <w:szCs w:val="16"/>
                <w:lang w:val="en-GB" w:eastAsia="en-GB"/>
              </w:rPr>
              <w:t>No</w:t>
            </w:r>
          </w:p>
        </w:tc>
        <w:tc>
          <w:tcPr>
            <w:tcW w:w="1060" w:type="dxa"/>
            <w:tcBorders>
              <w:top w:val="nil"/>
              <w:left w:val="nil"/>
              <w:bottom w:val="single" w:sz="4" w:space="0" w:color="auto"/>
              <w:right w:val="single" w:sz="4" w:space="0" w:color="auto"/>
            </w:tcBorders>
            <w:shd w:val="clear" w:color="auto" w:fill="auto"/>
            <w:noWrap/>
            <w:hideMark/>
          </w:tcPr>
          <w:p w14:paraId="5E276E3D" w14:textId="77777777" w:rsidR="00CF4CE3" w:rsidRPr="00FA100E" w:rsidRDefault="00CF4CE3" w:rsidP="00CF4CE3">
            <w:pPr>
              <w:spacing w:after="0" w:line="240" w:lineRule="auto"/>
              <w:jc w:val="center"/>
              <w:rPr>
                <w:rFonts w:ascii="Times New Roman" w:eastAsia="Times New Roman" w:hAnsi="Times New Roman" w:cs="Times New Roman"/>
                <w:sz w:val="20"/>
                <w:szCs w:val="20"/>
                <w:lang w:val="en-GB" w:eastAsia="en-GB"/>
              </w:rPr>
            </w:pPr>
            <w:r w:rsidRPr="00FA100E">
              <w:rPr>
                <w:rFonts w:ascii="Times New Roman" w:eastAsia="Times New Roman" w:hAnsi="Times New Roman" w:cs="Times New Roman"/>
                <w:sz w:val="20"/>
                <w:szCs w:val="20"/>
                <w:lang w:val="en-GB" w:eastAsia="en-GB"/>
              </w:rPr>
              <w:t>6</w:t>
            </w:r>
          </w:p>
        </w:tc>
      </w:tr>
      <w:tr w:rsidR="00FA100E" w:rsidRPr="00FA100E" w14:paraId="2E15C7EA" w14:textId="77777777" w:rsidTr="00CF4CE3">
        <w:trPr>
          <w:trHeight w:val="390"/>
        </w:trPr>
        <w:tc>
          <w:tcPr>
            <w:tcW w:w="1881" w:type="dxa"/>
            <w:tcBorders>
              <w:top w:val="nil"/>
              <w:left w:val="single" w:sz="4" w:space="0" w:color="auto"/>
              <w:bottom w:val="single" w:sz="4" w:space="0" w:color="auto"/>
              <w:right w:val="single" w:sz="4" w:space="0" w:color="auto"/>
            </w:tcBorders>
            <w:shd w:val="clear" w:color="auto" w:fill="auto"/>
            <w:noWrap/>
            <w:hideMark/>
          </w:tcPr>
          <w:p w14:paraId="54D4A889" w14:textId="77777777" w:rsidR="00CF4CE3" w:rsidRPr="00FA100E" w:rsidRDefault="00CF4CE3" w:rsidP="00CF4CE3">
            <w:pPr>
              <w:spacing w:after="0" w:line="240" w:lineRule="auto"/>
              <w:rPr>
                <w:rFonts w:ascii="Times New Roman" w:eastAsia="Times New Roman" w:hAnsi="Times New Roman" w:cs="Times New Roman"/>
                <w:sz w:val="16"/>
                <w:szCs w:val="16"/>
                <w:lang w:val="en-GB" w:eastAsia="en-GB"/>
              </w:rPr>
            </w:pPr>
            <w:r w:rsidRPr="00FA100E">
              <w:rPr>
                <w:rFonts w:ascii="Times New Roman" w:eastAsia="Times New Roman" w:hAnsi="Times New Roman" w:cs="Times New Roman"/>
                <w:sz w:val="16"/>
                <w:szCs w:val="16"/>
                <w:lang w:val="en-GB" w:eastAsia="en-GB"/>
              </w:rPr>
              <w:t>Myran (2022a)</w:t>
            </w:r>
          </w:p>
        </w:tc>
        <w:tc>
          <w:tcPr>
            <w:tcW w:w="1220" w:type="dxa"/>
            <w:tcBorders>
              <w:top w:val="nil"/>
              <w:left w:val="nil"/>
              <w:bottom w:val="single" w:sz="4" w:space="0" w:color="auto"/>
              <w:right w:val="single" w:sz="4" w:space="0" w:color="auto"/>
            </w:tcBorders>
            <w:shd w:val="clear" w:color="000000" w:fill="FFFFFF"/>
            <w:hideMark/>
          </w:tcPr>
          <w:p w14:paraId="7D527CB6" w14:textId="77777777" w:rsidR="00CF4CE3" w:rsidRPr="00FA100E" w:rsidRDefault="00CF4CE3" w:rsidP="00CF4CE3">
            <w:pPr>
              <w:spacing w:after="0" w:line="240" w:lineRule="auto"/>
              <w:jc w:val="center"/>
              <w:rPr>
                <w:rFonts w:ascii="Times New Roman" w:eastAsia="Times New Roman" w:hAnsi="Times New Roman" w:cs="Times New Roman"/>
                <w:sz w:val="16"/>
                <w:szCs w:val="16"/>
                <w:lang w:val="en-GB" w:eastAsia="en-GB"/>
              </w:rPr>
            </w:pPr>
            <w:r w:rsidRPr="00FA100E">
              <w:rPr>
                <w:rFonts w:ascii="Times New Roman" w:eastAsia="Times New Roman" w:hAnsi="Times New Roman" w:cs="Times New Roman"/>
                <w:sz w:val="16"/>
                <w:szCs w:val="16"/>
                <w:lang w:val="en-GB" w:eastAsia="en-GB"/>
              </w:rPr>
              <w:t>Yes</w:t>
            </w:r>
          </w:p>
        </w:tc>
        <w:tc>
          <w:tcPr>
            <w:tcW w:w="1222" w:type="dxa"/>
            <w:tcBorders>
              <w:top w:val="nil"/>
              <w:left w:val="nil"/>
              <w:bottom w:val="single" w:sz="4" w:space="0" w:color="auto"/>
              <w:right w:val="single" w:sz="4" w:space="0" w:color="auto"/>
            </w:tcBorders>
            <w:shd w:val="clear" w:color="000000" w:fill="FFFFFF"/>
            <w:hideMark/>
          </w:tcPr>
          <w:p w14:paraId="6087565D" w14:textId="77777777" w:rsidR="00CF4CE3" w:rsidRPr="00FA100E" w:rsidRDefault="00CF4CE3" w:rsidP="00CF4CE3">
            <w:pPr>
              <w:spacing w:after="0" w:line="240" w:lineRule="auto"/>
              <w:jc w:val="center"/>
              <w:rPr>
                <w:rFonts w:ascii="Times New Roman" w:eastAsia="Times New Roman" w:hAnsi="Times New Roman" w:cs="Times New Roman"/>
                <w:sz w:val="16"/>
                <w:szCs w:val="16"/>
                <w:lang w:val="en-GB" w:eastAsia="en-GB"/>
              </w:rPr>
            </w:pPr>
            <w:r w:rsidRPr="00FA100E">
              <w:rPr>
                <w:rFonts w:ascii="Times New Roman" w:eastAsia="Times New Roman" w:hAnsi="Times New Roman" w:cs="Times New Roman"/>
                <w:sz w:val="16"/>
                <w:szCs w:val="16"/>
                <w:lang w:val="en-GB" w:eastAsia="en-GB"/>
              </w:rPr>
              <w:t>Yes</w:t>
            </w:r>
          </w:p>
        </w:tc>
        <w:tc>
          <w:tcPr>
            <w:tcW w:w="1222" w:type="dxa"/>
            <w:tcBorders>
              <w:top w:val="nil"/>
              <w:left w:val="nil"/>
              <w:bottom w:val="single" w:sz="4" w:space="0" w:color="auto"/>
              <w:right w:val="single" w:sz="4" w:space="0" w:color="auto"/>
            </w:tcBorders>
            <w:shd w:val="clear" w:color="000000" w:fill="FFFFFF"/>
            <w:hideMark/>
          </w:tcPr>
          <w:p w14:paraId="43091E8D" w14:textId="77777777" w:rsidR="00CF4CE3" w:rsidRPr="00FA100E" w:rsidRDefault="00CF4CE3" w:rsidP="00CF4CE3">
            <w:pPr>
              <w:spacing w:after="0" w:line="240" w:lineRule="auto"/>
              <w:jc w:val="center"/>
              <w:rPr>
                <w:rFonts w:ascii="Times New Roman" w:eastAsia="Times New Roman" w:hAnsi="Times New Roman" w:cs="Times New Roman"/>
                <w:sz w:val="16"/>
                <w:szCs w:val="16"/>
                <w:lang w:val="en-GB" w:eastAsia="en-GB"/>
              </w:rPr>
            </w:pPr>
            <w:r w:rsidRPr="00FA100E">
              <w:rPr>
                <w:rFonts w:ascii="Times New Roman" w:eastAsia="Times New Roman" w:hAnsi="Times New Roman" w:cs="Times New Roman"/>
                <w:sz w:val="16"/>
                <w:szCs w:val="16"/>
                <w:lang w:val="en-GB" w:eastAsia="en-GB"/>
              </w:rPr>
              <w:t>Yes</w:t>
            </w:r>
          </w:p>
        </w:tc>
        <w:tc>
          <w:tcPr>
            <w:tcW w:w="1543" w:type="dxa"/>
            <w:tcBorders>
              <w:top w:val="nil"/>
              <w:left w:val="nil"/>
              <w:bottom w:val="single" w:sz="4" w:space="0" w:color="auto"/>
              <w:right w:val="single" w:sz="4" w:space="0" w:color="auto"/>
            </w:tcBorders>
            <w:shd w:val="clear" w:color="000000" w:fill="FFFFFF"/>
            <w:hideMark/>
          </w:tcPr>
          <w:p w14:paraId="4FE5EF39" w14:textId="77777777" w:rsidR="00CF4CE3" w:rsidRPr="00FA100E" w:rsidRDefault="00CF4CE3" w:rsidP="00CF4CE3">
            <w:pPr>
              <w:spacing w:after="0" w:line="240" w:lineRule="auto"/>
              <w:jc w:val="center"/>
              <w:rPr>
                <w:rFonts w:ascii="Times New Roman" w:eastAsia="Times New Roman" w:hAnsi="Times New Roman" w:cs="Times New Roman"/>
                <w:sz w:val="16"/>
                <w:szCs w:val="16"/>
                <w:lang w:val="en-GB" w:eastAsia="en-GB"/>
              </w:rPr>
            </w:pPr>
            <w:r w:rsidRPr="00FA100E">
              <w:rPr>
                <w:rFonts w:ascii="Times New Roman" w:eastAsia="Times New Roman" w:hAnsi="Times New Roman" w:cs="Times New Roman"/>
                <w:sz w:val="16"/>
                <w:szCs w:val="16"/>
                <w:lang w:val="en-GB" w:eastAsia="en-GB"/>
              </w:rPr>
              <w:t>Yes</w:t>
            </w:r>
          </w:p>
        </w:tc>
        <w:tc>
          <w:tcPr>
            <w:tcW w:w="1012" w:type="dxa"/>
            <w:tcBorders>
              <w:top w:val="nil"/>
              <w:left w:val="nil"/>
              <w:bottom w:val="single" w:sz="4" w:space="0" w:color="auto"/>
              <w:right w:val="single" w:sz="4" w:space="0" w:color="auto"/>
            </w:tcBorders>
            <w:shd w:val="clear" w:color="000000" w:fill="FFFFFF"/>
            <w:hideMark/>
          </w:tcPr>
          <w:p w14:paraId="43173C0B" w14:textId="77777777" w:rsidR="00CF4CE3" w:rsidRPr="00FA100E" w:rsidRDefault="00CF4CE3" w:rsidP="00CF4CE3">
            <w:pPr>
              <w:spacing w:after="0" w:line="240" w:lineRule="auto"/>
              <w:jc w:val="center"/>
              <w:rPr>
                <w:rFonts w:ascii="Times New Roman" w:eastAsia="Times New Roman" w:hAnsi="Times New Roman" w:cs="Times New Roman"/>
                <w:sz w:val="16"/>
                <w:szCs w:val="16"/>
                <w:lang w:val="en-GB" w:eastAsia="en-GB"/>
              </w:rPr>
            </w:pPr>
            <w:r w:rsidRPr="00FA100E">
              <w:rPr>
                <w:rFonts w:ascii="Times New Roman" w:eastAsia="Times New Roman" w:hAnsi="Times New Roman" w:cs="Times New Roman"/>
                <w:sz w:val="16"/>
                <w:szCs w:val="16"/>
                <w:lang w:val="en-GB" w:eastAsia="en-GB"/>
              </w:rPr>
              <w:t>Yes</w:t>
            </w:r>
          </w:p>
        </w:tc>
        <w:tc>
          <w:tcPr>
            <w:tcW w:w="1239" w:type="dxa"/>
            <w:tcBorders>
              <w:top w:val="nil"/>
              <w:left w:val="nil"/>
              <w:bottom w:val="single" w:sz="4" w:space="0" w:color="auto"/>
              <w:right w:val="single" w:sz="4" w:space="0" w:color="auto"/>
            </w:tcBorders>
            <w:shd w:val="clear" w:color="000000" w:fill="FFFFFF"/>
            <w:hideMark/>
          </w:tcPr>
          <w:p w14:paraId="6D673FC5" w14:textId="77777777" w:rsidR="00CF4CE3" w:rsidRPr="00FA100E" w:rsidRDefault="00CF4CE3" w:rsidP="00CF4CE3">
            <w:pPr>
              <w:spacing w:after="0" w:line="240" w:lineRule="auto"/>
              <w:jc w:val="center"/>
              <w:rPr>
                <w:rFonts w:ascii="Times New Roman" w:eastAsia="Times New Roman" w:hAnsi="Times New Roman" w:cs="Times New Roman"/>
                <w:sz w:val="16"/>
                <w:szCs w:val="16"/>
                <w:lang w:val="en-GB" w:eastAsia="en-GB"/>
              </w:rPr>
            </w:pPr>
            <w:r w:rsidRPr="00FA100E">
              <w:rPr>
                <w:rFonts w:ascii="Times New Roman" w:eastAsia="Times New Roman" w:hAnsi="Times New Roman" w:cs="Times New Roman"/>
                <w:sz w:val="16"/>
                <w:szCs w:val="16"/>
                <w:lang w:val="en-GB" w:eastAsia="en-GB"/>
              </w:rPr>
              <w:t>No</w:t>
            </w:r>
          </w:p>
        </w:tc>
        <w:tc>
          <w:tcPr>
            <w:tcW w:w="1225" w:type="dxa"/>
            <w:tcBorders>
              <w:top w:val="nil"/>
              <w:left w:val="nil"/>
              <w:bottom w:val="single" w:sz="4" w:space="0" w:color="auto"/>
              <w:right w:val="single" w:sz="4" w:space="0" w:color="auto"/>
            </w:tcBorders>
            <w:shd w:val="clear" w:color="000000" w:fill="FFFFFF"/>
            <w:hideMark/>
          </w:tcPr>
          <w:p w14:paraId="2D06573D" w14:textId="77777777" w:rsidR="00CF4CE3" w:rsidRPr="00FA100E" w:rsidRDefault="00CF4CE3" w:rsidP="00CF4CE3">
            <w:pPr>
              <w:spacing w:after="0" w:line="240" w:lineRule="auto"/>
              <w:jc w:val="center"/>
              <w:rPr>
                <w:rFonts w:ascii="Times New Roman" w:eastAsia="Times New Roman" w:hAnsi="Times New Roman" w:cs="Times New Roman"/>
                <w:sz w:val="16"/>
                <w:szCs w:val="16"/>
                <w:lang w:val="en-GB" w:eastAsia="en-GB"/>
              </w:rPr>
            </w:pPr>
            <w:r w:rsidRPr="00FA100E">
              <w:rPr>
                <w:rFonts w:ascii="Times New Roman" w:eastAsia="Times New Roman" w:hAnsi="Times New Roman" w:cs="Times New Roman"/>
                <w:sz w:val="16"/>
                <w:szCs w:val="16"/>
                <w:lang w:val="en-GB" w:eastAsia="en-GB"/>
              </w:rPr>
              <w:t>Yes</w:t>
            </w:r>
          </w:p>
        </w:tc>
        <w:tc>
          <w:tcPr>
            <w:tcW w:w="1236" w:type="dxa"/>
            <w:tcBorders>
              <w:top w:val="nil"/>
              <w:left w:val="nil"/>
              <w:bottom w:val="single" w:sz="4" w:space="0" w:color="auto"/>
              <w:right w:val="single" w:sz="4" w:space="0" w:color="auto"/>
            </w:tcBorders>
            <w:shd w:val="clear" w:color="000000" w:fill="FFFFFF"/>
            <w:hideMark/>
          </w:tcPr>
          <w:p w14:paraId="674D7D93" w14:textId="77777777" w:rsidR="00CF4CE3" w:rsidRPr="00FA100E" w:rsidRDefault="00CF4CE3" w:rsidP="00CF4CE3">
            <w:pPr>
              <w:spacing w:after="0" w:line="240" w:lineRule="auto"/>
              <w:jc w:val="center"/>
              <w:rPr>
                <w:rFonts w:ascii="Times New Roman" w:eastAsia="Times New Roman" w:hAnsi="Times New Roman" w:cs="Times New Roman"/>
                <w:sz w:val="16"/>
                <w:szCs w:val="16"/>
                <w:lang w:val="en-GB" w:eastAsia="en-GB"/>
              </w:rPr>
            </w:pPr>
            <w:r w:rsidRPr="00FA100E">
              <w:rPr>
                <w:rFonts w:ascii="Times New Roman" w:eastAsia="Times New Roman" w:hAnsi="Times New Roman" w:cs="Times New Roman"/>
                <w:sz w:val="16"/>
                <w:szCs w:val="16"/>
                <w:lang w:val="en-GB" w:eastAsia="en-GB"/>
              </w:rPr>
              <w:t>Yes</w:t>
            </w:r>
          </w:p>
        </w:tc>
        <w:tc>
          <w:tcPr>
            <w:tcW w:w="1060" w:type="dxa"/>
            <w:tcBorders>
              <w:top w:val="nil"/>
              <w:left w:val="nil"/>
              <w:bottom w:val="single" w:sz="4" w:space="0" w:color="auto"/>
              <w:right w:val="single" w:sz="4" w:space="0" w:color="auto"/>
            </w:tcBorders>
            <w:shd w:val="clear" w:color="auto" w:fill="auto"/>
            <w:noWrap/>
            <w:hideMark/>
          </w:tcPr>
          <w:p w14:paraId="22D75602" w14:textId="77777777" w:rsidR="00CF4CE3" w:rsidRPr="00FA100E" w:rsidRDefault="00CF4CE3" w:rsidP="00CF4CE3">
            <w:pPr>
              <w:spacing w:after="0" w:line="240" w:lineRule="auto"/>
              <w:jc w:val="center"/>
              <w:rPr>
                <w:rFonts w:ascii="Times New Roman" w:eastAsia="Times New Roman" w:hAnsi="Times New Roman" w:cs="Times New Roman"/>
                <w:sz w:val="20"/>
                <w:szCs w:val="20"/>
                <w:lang w:val="en-GB" w:eastAsia="en-GB"/>
              </w:rPr>
            </w:pPr>
            <w:r w:rsidRPr="00FA100E">
              <w:rPr>
                <w:rFonts w:ascii="Times New Roman" w:eastAsia="Times New Roman" w:hAnsi="Times New Roman" w:cs="Times New Roman"/>
                <w:sz w:val="20"/>
                <w:szCs w:val="20"/>
                <w:lang w:val="en-GB" w:eastAsia="en-GB"/>
              </w:rPr>
              <w:t>7</w:t>
            </w:r>
          </w:p>
        </w:tc>
      </w:tr>
      <w:tr w:rsidR="00FA100E" w:rsidRPr="00FA100E" w14:paraId="14C39E19" w14:textId="77777777" w:rsidTr="00CF4CE3">
        <w:trPr>
          <w:trHeight w:val="390"/>
        </w:trPr>
        <w:tc>
          <w:tcPr>
            <w:tcW w:w="1881" w:type="dxa"/>
            <w:tcBorders>
              <w:top w:val="nil"/>
              <w:left w:val="single" w:sz="4" w:space="0" w:color="auto"/>
              <w:bottom w:val="single" w:sz="4" w:space="0" w:color="auto"/>
              <w:right w:val="single" w:sz="4" w:space="0" w:color="auto"/>
            </w:tcBorders>
            <w:shd w:val="clear" w:color="auto" w:fill="auto"/>
            <w:noWrap/>
            <w:hideMark/>
          </w:tcPr>
          <w:p w14:paraId="5E1E8E63" w14:textId="77777777" w:rsidR="00CF4CE3" w:rsidRPr="00FA100E" w:rsidRDefault="00CF4CE3" w:rsidP="00CF4CE3">
            <w:pPr>
              <w:spacing w:after="0" w:line="240" w:lineRule="auto"/>
              <w:rPr>
                <w:rFonts w:ascii="Times New Roman" w:eastAsia="Times New Roman" w:hAnsi="Times New Roman" w:cs="Times New Roman"/>
                <w:sz w:val="16"/>
                <w:szCs w:val="16"/>
                <w:lang w:val="en-GB" w:eastAsia="en-GB"/>
              </w:rPr>
            </w:pPr>
            <w:r w:rsidRPr="00FA100E">
              <w:rPr>
                <w:rFonts w:ascii="Times New Roman" w:eastAsia="Times New Roman" w:hAnsi="Times New Roman" w:cs="Times New Roman"/>
                <w:sz w:val="16"/>
                <w:szCs w:val="16"/>
                <w:lang w:val="en-GB" w:eastAsia="en-GB"/>
              </w:rPr>
              <w:t>Myran (2022b)</w:t>
            </w:r>
          </w:p>
        </w:tc>
        <w:tc>
          <w:tcPr>
            <w:tcW w:w="1220" w:type="dxa"/>
            <w:tcBorders>
              <w:top w:val="nil"/>
              <w:left w:val="nil"/>
              <w:bottom w:val="single" w:sz="4" w:space="0" w:color="auto"/>
              <w:right w:val="single" w:sz="4" w:space="0" w:color="auto"/>
            </w:tcBorders>
            <w:shd w:val="clear" w:color="000000" w:fill="FFFFFF"/>
            <w:hideMark/>
          </w:tcPr>
          <w:p w14:paraId="55494EA5" w14:textId="77777777" w:rsidR="00CF4CE3" w:rsidRPr="00FA100E" w:rsidRDefault="00CF4CE3" w:rsidP="00CF4CE3">
            <w:pPr>
              <w:spacing w:after="0" w:line="240" w:lineRule="auto"/>
              <w:jc w:val="center"/>
              <w:rPr>
                <w:rFonts w:ascii="Times New Roman" w:eastAsia="Times New Roman" w:hAnsi="Times New Roman" w:cs="Times New Roman"/>
                <w:sz w:val="16"/>
                <w:szCs w:val="16"/>
                <w:lang w:val="en-GB" w:eastAsia="en-GB"/>
              </w:rPr>
            </w:pPr>
            <w:r w:rsidRPr="00FA100E">
              <w:rPr>
                <w:rFonts w:ascii="Times New Roman" w:eastAsia="Times New Roman" w:hAnsi="Times New Roman" w:cs="Times New Roman"/>
                <w:sz w:val="16"/>
                <w:szCs w:val="16"/>
                <w:lang w:val="en-GB" w:eastAsia="en-GB"/>
              </w:rPr>
              <w:t>Yes</w:t>
            </w:r>
          </w:p>
        </w:tc>
        <w:tc>
          <w:tcPr>
            <w:tcW w:w="1222" w:type="dxa"/>
            <w:tcBorders>
              <w:top w:val="nil"/>
              <w:left w:val="nil"/>
              <w:bottom w:val="single" w:sz="4" w:space="0" w:color="auto"/>
              <w:right w:val="single" w:sz="4" w:space="0" w:color="auto"/>
            </w:tcBorders>
            <w:shd w:val="clear" w:color="000000" w:fill="FFFFFF"/>
            <w:hideMark/>
          </w:tcPr>
          <w:p w14:paraId="785AF23F" w14:textId="77777777" w:rsidR="00CF4CE3" w:rsidRPr="00FA100E" w:rsidRDefault="00CF4CE3" w:rsidP="00CF4CE3">
            <w:pPr>
              <w:spacing w:after="0" w:line="240" w:lineRule="auto"/>
              <w:jc w:val="center"/>
              <w:rPr>
                <w:rFonts w:ascii="Times New Roman" w:eastAsia="Times New Roman" w:hAnsi="Times New Roman" w:cs="Times New Roman"/>
                <w:sz w:val="16"/>
                <w:szCs w:val="16"/>
                <w:lang w:val="en-GB" w:eastAsia="en-GB"/>
              </w:rPr>
            </w:pPr>
            <w:r w:rsidRPr="00FA100E">
              <w:rPr>
                <w:rFonts w:ascii="Times New Roman" w:eastAsia="Times New Roman" w:hAnsi="Times New Roman" w:cs="Times New Roman"/>
                <w:sz w:val="16"/>
                <w:szCs w:val="16"/>
                <w:lang w:val="en-GB" w:eastAsia="en-GB"/>
              </w:rPr>
              <w:t>Yes</w:t>
            </w:r>
          </w:p>
        </w:tc>
        <w:tc>
          <w:tcPr>
            <w:tcW w:w="1222" w:type="dxa"/>
            <w:tcBorders>
              <w:top w:val="nil"/>
              <w:left w:val="nil"/>
              <w:bottom w:val="single" w:sz="4" w:space="0" w:color="auto"/>
              <w:right w:val="single" w:sz="4" w:space="0" w:color="auto"/>
            </w:tcBorders>
            <w:shd w:val="clear" w:color="000000" w:fill="FFFFFF"/>
            <w:hideMark/>
          </w:tcPr>
          <w:p w14:paraId="540C40B7" w14:textId="77777777" w:rsidR="00CF4CE3" w:rsidRPr="00FA100E" w:rsidRDefault="00CF4CE3" w:rsidP="00CF4CE3">
            <w:pPr>
              <w:spacing w:after="0" w:line="240" w:lineRule="auto"/>
              <w:jc w:val="center"/>
              <w:rPr>
                <w:rFonts w:ascii="Times New Roman" w:eastAsia="Times New Roman" w:hAnsi="Times New Roman" w:cs="Times New Roman"/>
                <w:sz w:val="16"/>
                <w:szCs w:val="16"/>
                <w:lang w:val="en-GB" w:eastAsia="en-GB"/>
              </w:rPr>
            </w:pPr>
            <w:r w:rsidRPr="00FA100E">
              <w:rPr>
                <w:rFonts w:ascii="Times New Roman" w:eastAsia="Times New Roman" w:hAnsi="Times New Roman" w:cs="Times New Roman"/>
                <w:sz w:val="16"/>
                <w:szCs w:val="16"/>
                <w:lang w:val="en-GB" w:eastAsia="en-GB"/>
              </w:rPr>
              <w:t>Yes</w:t>
            </w:r>
          </w:p>
        </w:tc>
        <w:tc>
          <w:tcPr>
            <w:tcW w:w="1543" w:type="dxa"/>
            <w:tcBorders>
              <w:top w:val="nil"/>
              <w:left w:val="nil"/>
              <w:bottom w:val="single" w:sz="4" w:space="0" w:color="auto"/>
              <w:right w:val="single" w:sz="4" w:space="0" w:color="auto"/>
            </w:tcBorders>
            <w:shd w:val="clear" w:color="000000" w:fill="FFFFFF"/>
            <w:hideMark/>
          </w:tcPr>
          <w:p w14:paraId="751B809F" w14:textId="77777777" w:rsidR="00CF4CE3" w:rsidRPr="00FA100E" w:rsidRDefault="00CF4CE3" w:rsidP="00CF4CE3">
            <w:pPr>
              <w:spacing w:after="0" w:line="240" w:lineRule="auto"/>
              <w:jc w:val="center"/>
              <w:rPr>
                <w:rFonts w:ascii="Times New Roman" w:eastAsia="Times New Roman" w:hAnsi="Times New Roman" w:cs="Times New Roman"/>
                <w:sz w:val="16"/>
                <w:szCs w:val="16"/>
                <w:lang w:val="en-GB" w:eastAsia="en-GB"/>
              </w:rPr>
            </w:pPr>
            <w:r w:rsidRPr="00FA100E">
              <w:rPr>
                <w:rFonts w:ascii="Times New Roman" w:eastAsia="Times New Roman" w:hAnsi="Times New Roman" w:cs="Times New Roman"/>
                <w:sz w:val="16"/>
                <w:szCs w:val="16"/>
                <w:lang w:val="en-GB" w:eastAsia="en-GB"/>
              </w:rPr>
              <w:t>Yes</w:t>
            </w:r>
          </w:p>
        </w:tc>
        <w:tc>
          <w:tcPr>
            <w:tcW w:w="1012" w:type="dxa"/>
            <w:tcBorders>
              <w:top w:val="nil"/>
              <w:left w:val="nil"/>
              <w:bottom w:val="single" w:sz="4" w:space="0" w:color="auto"/>
              <w:right w:val="single" w:sz="4" w:space="0" w:color="auto"/>
            </w:tcBorders>
            <w:shd w:val="clear" w:color="000000" w:fill="FFFFFF"/>
            <w:hideMark/>
          </w:tcPr>
          <w:p w14:paraId="3B22534A" w14:textId="77777777" w:rsidR="00CF4CE3" w:rsidRPr="00FA100E" w:rsidRDefault="00CF4CE3" w:rsidP="00CF4CE3">
            <w:pPr>
              <w:spacing w:after="0" w:line="240" w:lineRule="auto"/>
              <w:jc w:val="center"/>
              <w:rPr>
                <w:rFonts w:ascii="Times New Roman" w:eastAsia="Times New Roman" w:hAnsi="Times New Roman" w:cs="Times New Roman"/>
                <w:sz w:val="16"/>
                <w:szCs w:val="16"/>
                <w:lang w:val="en-GB" w:eastAsia="en-GB"/>
              </w:rPr>
            </w:pPr>
            <w:r w:rsidRPr="00FA100E">
              <w:rPr>
                <w:rFonts w:ascii="Times New Roman" w:eastAsia="Times New Roman" w:hAnsi="Times New Roman" w:cs="Times New Roman"/>
                <w:sz w:val="16"/>
                <w:szCs w:val="16"/>
                <w:lang w:val="en-GB" w:eastAsia="en-GB"/>
              </w:rPr>
              <w:t>Yes</w:t>
            </w:r>
          </w:p>
        </w:tc>
        <w:tc>
          <w:tcPr>
            <w:tcW w:w="1239" w:type="dxa"/>
            <w:tcBorders>
              <w:top w:val="nil"/>
              <w:left w:val="nil"/>
              <w:bottom w:val="single" w:sz="4" w:space="0" w:color="auto"/>
              <w:right w:val="single" w:sz="4" w:space="0" w:color="auto"/>
            </w:tcBorders>
            <w:shd w:val="clear" w:color="000000" w:fill="FFFFFF"/>
            <w:hideMark/>
          </w:tcPr>
          <w:p w14:paraId="2EE21DB8" w14:textId="77777777" w:rsidR="00CF4CE3" w:rsidRPr="00FA100E" w:rsidRDefault="00CF4CE3" w:rsidP="00CF4CE3">
            <w:pPr>
              <w:spacing w:after="0" w:line="240" w:lineRule="auto"/>
              <w:jc w:val="center"/>
              <w:rPr>
                <w:rFonts w:ascii="Times New Roman" w:eastAsia="Times New Roman" w:hAnsi="Times New Roman" w:cs="Times New Roman"/>
                <w:sz w:val="16"/>
                <w:szCs w:val="16"/>
                <w:lang w:val="en-GB" w:eastAsia="en-GB"/>
              </w:rPr>
            </w:pPr>
            <w:r w:rsidRPr="00FA100E">
              <w:rPr>
                <w:rFonts w:ascii="Times New Roman" w:eastAsia="Times New Roman" w:hAnsi="Times New Roman" w:cs="Times New Roman"/>
                <w:sz w:val="16"/>
                <w:szCs w:val="16"/>
                <w:lang w:val="en-GB" w:eastAsia="en-GB"/>
              </w:rPr>
              <w:t>No</w:t>
            </w:r>
          </w:p>
        </w:tc>
        <w:tc>
          <w:tcPr>
            <w:tcW w:w="1225" w:type="dxa"/>
            <w:tcBorders>
              <w:top w:val="nil"/>
              <w:left w:val="nil"/>
              <w:bottom w:val="single" w:sz="4" w:space="0" w:color="auto"/>
              <w:right w:val="single" w:sz="4" w:space="0" w:color="auto"/>
            </w:tcBorders>
            <w:shd w:val="clear" w:color="000000" w:fill="FFFFFF"/>
            <w:hideMark/>
          </w:tcPr>
          <w:p w14:paraId="339ADB89" w14:textId="77777777" w:rsidR="00CF4CE3" w:rsidRPr="00FA100E" w:rsidRDefault="00CF4CE3" w:rsidP="00CF4CE3">
            <w:pPr>
              <w:spacing w:after="0" w:line="240" w:lineRule="auto"/>
              <w:jc w:val="center"/>
              <w:rPr>
                <w:rFonts w:ascii="Times New Roman" w:eastAsia="Times New Roman" w:hAnsi="Times New Roman" w:cs="Times New Roman"/>
                <w:sz w:val="16"/>
                <w:szCs w:val="16"/>
                <w:lang w:val="en-GB" w:eastAsia="en-GB"/>
              </w:rPr>
            </w:pPr>
            <w:r w:rsidRPr="00FA100E">
              <w:rPr>
                <w:rFonts w:ascii="Times New Roman" w:eastAsia="Times New Roman" w:hAnsi="Times New Roman" w:cs="Times New Roman"/>
                <w:sz w:val="16"/>
                <w:szCs w:val="16"/>
                <w:lang w:val="en-GB" w:eastAsia="en-GB"/>
              </w:rPr>
              <w:t>Yes</w:t>
            </w:r>
          </w:p>
        </w:tc>
        <w:tc>
          <w:tcPr>
            <w:tcW w:w="1236" w:type="dxa"/>
            <w:tcBorders>
              <w:top w:val="nil"/>
              <w:left w:val="nil"/>
              <w:bottom w:val="single" w:sz="4" w:space="0" w:color="auto"/>
              <w:right w:val="single" w:sz="4" w:space="0" w:color="auto"/>
            </w:tcBorders>
            <w:shd w:val="clear" w:color="000000" w:fill="FFFFFF"/>
            <w:hideMark/>
          </w:tcPr>
          <w:p w14:paraId="56E4D961" w14:textId="77777777" w:rsidR="00CF4CE3" w:rsidRPr="00FA100E" w:rsidRDefault="00CF4CE3" w:rsidP="00CF4CE3">
            <w:pPr>
              <w:spacing w:after="0" w:line="240" w:lineRule="auto"/>
              <w:jc w:val="center"/>
              <w:rPr>
                <w:rFonts w:ascii="Times New Roman" w:eastAsia="Times New Roman" w:hAnsi="Times New Roman" w:cs="Times New Roman"/>
                <w:sz w:val="16"/>
                <w:szCs w:val="16"/>
                <w:lang w:val="en-GB" w:eastAsia="en-GB"/>
              </w:rPr>
            </w:pPr>
            <w:r w:rsidRPr="00FA100E">
              <w:rPr>
                <w:rFonts w:ascii="Times New Roman" w:eastAsia="Times New Roman" w:hAnsi="Times New Roman" w:cs="Times New Roman"/>
                <w:sz w:val="16"/>
                <w:szCs w:val="16"/>
                <w:lang w:val="en-GB" w:eastAsia="en-GB"/>
              </w:rPr>
              <w:t>Yes</w:t>
            </w:r>
          </w:p>
        </w:tc>
        <w:tc>
          <w:tcPr>
            <w:tcW w:w="1060" w:type="dxa"/>
            <w:tcBorders>
              <w:top w:val="nil"/>
              <w:left w:val="nil"/>
              <w:bottom w:val="single" w:sz="4" w:space="0" w:color="auto"/>
              <w:right w:val="single" w:sz="4" w:space="0" w:color="auto"/>
            </w:tcBorders>
            <w:shd w:val="clear" w:color="auto" w:fill="auto"/>
            <w:noWrap/>
            <w:hideMark/>
          </w:tcPr>
          <w:p w14:paraId="24744A70" w14:textId="77777777" w:rsidR="00CF4CE3" w:rsidRPr="00FA100E" w:rsidRDefault="00CF4CE3" w:rsidP="00CF4CE3">
            <w:pPr>
              <w:spacing w:after="0" w:line="240" w:lineRule="auto"/>
              <w:jc w:val="center"/>
              <w:rPr>
                <w:rFonts w:ascii="Times New Roman" w:eastAsia="Times New Roman" w:hAnsi="Times New Roman" w:cs="Times New Roman"/>
                <w:sz w:val="20"/>
                <w:szCs w:val="20"/>
                <w:lang w:val="en-GB" w:eastAsia="en-GB"/>
              </w:rPr>
            </w:pPr>
            <w:r w:rsidRPr="00FA100E">
              <w:rPr>
                <w:rFonts w:ascii="Times New Roman" w:eastAsia="Times New Roman" w:hAnsi="Times New Roman" w:cs="Times New Roman"/>
                <w:sz w:val="20"/>
                <w:szCs w:val="20"/>
                <w:lang w:val="en-GB" w:eastAsia="en-GB"/>
              </w:rPr>
              <w:t>7</w:t>
            </w:r>
          </w:p>
        </w:tc>
      </w:tr>
      <w:tr w:rsidR="00FA100E" w:rsidRPr="00FA100E" w14:paraId="1380A1AC" w14:textId="77777777" w:rsidTr="00CF4CE3">
        <w:trPr>
          <w:trHeight w:val="390"/>
        </w:trPr>
        <w:tc>
          <w:tcPr>
            <w:tcW w:w="1881" w:type="dxa"/>
            <w:tcBorders>
              <w:top w:val="nil"/>
              <w:left w:val="single" w:sz="4" w:space="0" w:color="auto"/>
              <w:bottom w:val="single" w:sz="4" w:space="0" w:color="auto"/>
              <w:right w:val="single" w:sz="4" w:space="0" w:color="auto"/>
            </w:tcBorders>
            <w:shd w:val="clear" w:color="auto" w:fill="auto"/>
            <w:noWrap/>
            <w:hideMark/>
          </w:tcPr>
          <w:p w14:paraId="06CAAFCB" w14:textId="77777777" w:rsidR="00CF4CE3" w:rsidRPr="00FA100E" w:rsidRDefault="00CF4CE3" w:rsidP="00CF4CE3">
            <w:pPr>
              <w:spacing w:after="0" w:line="240" w:lineRule="auto"/>
              <w:rPr>
                <w:rFonts w:ascii="Times New Roman" w:eastAsia="Times New Roman" w:hAnsi="Times New Roman" w:cs="Times New Roman"/>
                <w:sz w:val="16"/>
                <w:szCs w:val="16"/>
                <w:lang w:val="en-GB" w:eastAsia="en-GB"/>
              </w:rPr>
            </w:pPr>
            <w:r w:rsidRPr="00FA100E">
              <w:rPr>
                <w:rFonts w:ascii="Times New Roman" w:eastAsia="Times New Roman" w:hAnsi="Times New Roman" w:cs="Times New Roman"/>
                <w:sz w:val="16"/>
                <w:szCs w:val="16"/>
                <w:lang w:val="en-GB" w:eastAsia="en-GB"/>
              </w:rPr>
              <w:t>Myran 2023</w:t>
            </w:r>
          </w:p>
        </w:tc>
        <w:tc>
          <w:tcPr>
            <w:tcW w:w="1220" w:type="dxa"/>
            <w:tcBorders>
              <w:top w:val="nil"/>
              <w:left w:val="nil"/>
              <w:bottom w:val="single" w:sz="4" w:space="0" w:color="auto"/>
              <w:right w:val="single" w:sz="4" w:space="0" w:color="auto"/>
            </w:tcBorders>
            <w:shd w:val="clear" w:color="000000" w:fill="FFFFFF"/>
            <w:hideMark/>
          </w:tcPr>
          <w:p w14:paraId="28C6B5AC" w14:textId="77777777" w:rsidR="00CF4CE3" w:rsidRPr="00FA100E" w:rsidRDefault="00CF4CE3" w:rsidP="00CF4CE3">
            <w:pPr>
              <w:spacing w:after="0" w:line="240" w:lineRule="auto"/>
              <w:jc w:val="center"/>
              <w:rPr>
                <w:rFonts w:ascii="Times New Roman" w:eastAsia="Times New Roman" w:hAnsi="Times New Roman" w:cs="Times New Roman"/>
                <w:sz w:val="16"/>
                <w:szCs w:val="16"/>
                <w:lang w:val="en-GB" w:eastAsia="en-GB"/>
              </w:rPr>
            </w:pPr>
            <w:r w:rsidRPr="00FA100E">
              <w:rPr>
                <w:rFonts w:ascii="Times New Roman" w:eastAsia="Times New Roman" w:hAnsi="Times New Roman" w:cs="Times New Roman"/>
                <w:sz w:val="16"/>
                <w:szCs w:val="16"/>
                <w:lang w:val="en-GB" w:eastAsia="en-GB"/>
              </w:rPr>
              <w:t>Yes</w:t>
            </w:r>
          </w:p>
        </w:tc>
        <w:tc>
          <w:tcPr>
            <w:tcW w:w="1222" w:type="dxa"/>
            <w:tcBorders>
              <w:top w:val="nil"/>
              <w:left w:val="nil"/>
              <w:bottom w:val="single" w:sz="4" w:space="0" w:color="auto"/>
              <w:right w:val="single" w:sz="4" w:space="0" w:color="auto"/>
            </w:tcBorders>
            <w:shd w:val="clear" w:color="000000" w:fill="FFFFFF"/>
            <w:hideMark/>
          </w:tcPr>
          <w:p w14:paraId="6A34406D" w14:textId="77777777" w:rsidR="00CF4CE3" w:rsidRPr="00FA100E" w:rsidRDefault="00CF4CE3" w:rsidP="00CF4CE3">
            <w:pPr>
              <w:spacing w:after="0" w:line="240" w:lineRule="auto"/>
              <w:jc w:val="center"/>
              <w:rPr>
                <w:rFonts w:ascii="Times New Roman" w:eastAsia="Times New Roman" w:hAnsi="Times New Roman" w:cs="Times New Roman"/>
                <w:sz w:val="16"/>
                <w:szCs w:val="16"/>
                <w:lang w:val="en-GB" w:eastAsia="en-GB"/>
              </w:rPr>
            </w:pPr>
            <w:r w:rsidRPr="00FA100E">
              <w:rPr>
                <w:rFonts w:ascii="Times New Roman" w:eastAsia="Times New Roman" w:hAnsi="Times New Roman" w:cs="Times New Roman"/>
                <w:sz w:val="16"/>
                <w:szCs w:val="16"/>
                <w:lang w:val="en-GB" w:eastAsia="en-GB"/>
              </w:rPr>
              <w:t>Yes</w:t>
            </w:r>
          </w:p>
        </w:tc>
        <w:tc>
          <w:tcPr>
            <w:tcW w:w="1222" w:type="dxa"/>
            <w:tcBorders>
              <w:top w:val="nil"/>
              <w:left w:val="nil"/>
              <w:bottom w:val="single" w:sz="4" w:space="0" w:color="auto"/>
              <w:right w:val="single" w:sz="4" w:space="0" w:color="auto"/>
            </w:tcBorders>
            <w:shd w:val="clear" w:color="000000" w:fill="FFFFFF"/>
            <w:hideMark/>
          </w:tcPr>
          <w:p w14:paraId="71989798" w14:textId="77777777" w:rsidR="00CF4CE3" w:rsidRPr="00FA100E" w:rsidRDefault="00CF4CE3" w:rsidP="00CF4CE3">
            <w:pPr>
              <w:spacing w:after="0" w:line="240" w:lineRule="auto"/>
              <w:jc w:val="center"/>
              <w:rPr>
                <w:rFonts w:ascii="Times New Roman" w:eastAsia="Times New Roman" w:hAnsi="Times New Roman" w:cs="Times New Roman"/>
                <w:sz w:val="16"/>
                <w:szCs w:val="16"/>
                <w:lang w:val="en-GB" w:eastAsia="en-GB"/>
              </w:rPr>
            </w:pPr>
            <w:r w:rsidRPr="00FA100E">
              <w:rPr>
                <w:rFonts w:ascii="Times New Roman" w:eastAsia="Times New Roman" w:hAnsi="Times New Roman" w:cs="Times New Roman"/>
                <w:sz w:val="16"/>
                <w:szCs w:val="16"/>
                <w:lang w:val="en-GB" w:eastAsia="en-GB"/>
              </w:rPr>
              <w:t>Yes</w:t>
            </w:r>
          </w:p>
        </w:tc>
        <w:tc>
          <w:tcPr>
            <w:tcW w:w="1543" w:type="dxa"/>
            <w:tcBorders>
              <w:top w:val="nil"/>
              <w:left w:val="nil"/>
              <w:bottom w:val="single" w:sz="4" w:space="0" w:color="auto"/>
              <w:right w:val="single" w:sz="4" w:space="0" w:color="auto"/>
            </w:tcBorders>
            <w:shd w:val="clear" w:color="000000" w:fill="FFFFFF"/>
            <w:hideMark/>
          </w:tcPr>
          <w:p w14:paraId="05FCA80B" w14:textId="77777777" w:rsidR="00CF4CE3" w:rsidRPr="00FA100E" w:rsidRDefault="00CF4CE3" w:rsidP="00CF4CE3">
            <w:pPr>
              <w:spacing w:after="0" w:line="240" w:lineRule="auto"/>
              <w:jc w:val="center"/>
              <w:rPr>
                <w:rFonts w:ascii="Times New Roman" w:eastAsia="Times New Roman" w:hAnsi="Times New Roman" w:cs="Times New Roman"/>
                <w:sz w:val="16"/>
                <w:szCs w:val="16"/>
                <w:lang w:val="en-GB" w:eastAsia="en-GB"/>
              </w:rPr>
            </w:pPr>
            <w:r w:rsidRPr="00FA100E">
              <w:rPr>
                <w:rFonts w:ascii="Times New Roman" w:eastAsia="Times New Roman" w:hAnsi="Times New Roman" w:cs="Times New Roman"/>
                <w:sz w:val="16"/>
                <w:szCs w:val="16"/>
                <w:lang w:val="en-GB" w:eastAsia="en-GB"/>
              </w:rPr>
              <w:t>Yes</w:t>
            </w:r>
          </w:p>
        </w:tc>
        <w:tc>
          <w:tcPr>
            <w:tcW w:w="1012" w:type="dxa"/>
            <w:tcBorders>
              <w:top w:val="nil"/>
              <w:left w:val="nil"/>
              <w:bottom w:val="single" w:sz="4" w:space="0" w:color="auto"/>
              <w:right w:val="single" w:sz="4" w:space="0" w:color="auto"/>
            </w:tcBorders>
            <w:shd w:val="clear" w:color="000000" w:fill="FFFFFF"/>
            <w:hideMark/>
          </w:tcPr>
          <w:p w14:paraId="48C7715B" w14:textId="77777777" w:rsidR="00CF4CE3" w:rsidRPr="00FA100E" w:rsidRDefault="00CF4CE3" w:rsidP="00CF4CE3">
            <w:pPr>
              <w:spacing w:after="0" w:line="240" w:lineRule="auto"/>
              <w:jc w:val="center"/>
              <w:rPr>
                <w:rFonts w:ascii="Times New Roman" w:eastAsia="Times New Roman" w:hAnsi="Times New Roman" w:cs="Times New Roman"/>
                <w:sz w:val="16"/>
                <w:szCs w:val="16"/>
                <w:lang w:val="en-GB" w:eastAsia="en-GB"/>
              </w:rPr>
            </w:pPr>
            <w:r w:rsidRPr="00FA100E">
              <w:rPr>
                <w:rFonts w:ascii="Times New Roman" w:eastAsia="Times New Roman" w:hAnsi="Times New Roman" w:cs="Times New Roman"/>
                <w:sz w:val="16"/>
                <w:szCs w:val="16"/>
                <w:lang w:val="en-GB" w:eastAsia="en-GB"/>
              </w:rPr>
              <w:t>Yes</w:t>
            </w:r>
          </w:p>
        </w:tc>
        <w:tc>
          <w:tcPr>
            <w:tcW w:w="1239" w:type="dxa"/>
            <w:tcBorders>
              <w:top w:val="nil"/>
              <w:left w:val="nil"/>
              <w:bottom w:val="single" w:sz="4" w:space="0" w:color="auto"/>
              <w:right w:val="single" w:sz="4" w:space="0" w:color="auto"/>
            </w:tcBorders>
            <w:shd w:val="clear" w:color="000000" w:fill="FFFFFF"/>
            <w:hideMark/>
          </w:tcPr>
          <w:p w14:paraId="26549537" w14:textId="77777777" w:rsidR="00CF4CE3" w:rsidRPr="00FA100E" w:rsidRDefault="00CF4CE3" w:rsidP="00CF4CE3">
            <w:pPr>
              <w:spacing w:after="0" w:line="240" w:lineRule="auto"/>
              <w:jc w:val="center"/>
              <w:rPr>
                <w:rFonts w:ascii="Times New Roman" w:eastAsia="Times New Roman" w:hAnsi="Times New Roman" w:cs="Times New Roman"/>
                <w:sz w:val="16"/>
                <w:szCs w:val="16"/>
                <w:lang w:val="en-GB" w:eastAsia="en-GB"/>
              </w:rPr>
            </w:pPr>
            <w:r w:rsidRPr="00FA100E">
              <w:rPr>
                <w:rFonts w:ascii="Times New Roman" w:eastAsia="Times New Roman" w:hAnsi="Times New Roman" w:cs="Times New Roman"/>
                <w:sz w:val="16"/>
                <w:szCs w:val="16"/>
                <w:lang w:val="en-GB" w:eastAsia="en-GB"/>
              </w:rPr>
              <w:t>No</w:t>
            </w:r>
          </w:p>
        </w:tc>
        <w:tc>
          <w:tcPr>
            <w:tcW w:w="1225" w:type="dxa"/>
            <w:tcBorders>
              <w:top w:val="nil"/>
              <w:left w:val="nil"/>
              <w:bottom w:val="single" w:sz="4" w:space="0" w:color="auto"/>
              <w:right w:val="single" w:sz="4" w:space="0" w:color="auto"/>
            </w:tcBorders>
            <w:shd w:val="clear" w:color="000000" w:fill="FFFFFF"/>
            <w:hideMark/>
          </w:tcPr>
          <w:p w14:paraId="15ED1AB4" w14:textId="77777777" w:rsidR="00CF4CE3" w:rsidRPr="00FA100E" w:rsidRDefault="00CF4CE3" w:rsidP="00CF4CE3">
            <w:pPr>
              <w:spacing w:after="0" w:line="240" w:lineRule="auto"/>
              <w:jc w:val="center"/>
              <w:rPr>
                <w:rFonts w:ascii="Times New Roman" w:eastAsia="Times New Roman" w:hAnsi="Times New Roman" w:cs="Times New Roman"/>
                <w:sz w:val="16"/>
                <w:szCs w:val="16"/>
                <w:lang w:val="en-GB" w:eastAsia="en-GB"/>
              </w:rPr>
            </w:pPr>
            <w:r w:rsidRPr="00FA100E">
              <w:rPr>
                <w:rFonts w:ascii="Times New Roman" w:eastAsia="Times New Roman" w:hAnsi="Times New Roman" w:cs="Times New Roman"/>
                <w:sz w:val="16"/>
                <w:szCs w:val="16"/>
                <w:lang w:val="en-GB" w:eastAsia="en-GB"/>
              </w:rPr>
              <w:t>Yes</w:t>
            </w:r>
          </w:p>
        </w:tc>
        <w:tc>
          <w:tcPr>
            <w:tcW w:w="1236" w:type="dxa"/>
            <w:tcBorders>
              <w:top w:val="nil"/>
              <w:left w:val="nil"/>
              <w:bottom w:val="single" w:sz="4" w:space="0" w:color="auto"/>
              <w:right w:val="single" w:sz="4" w:space="0" w:color="auto"/>
            </w:tcBorders>
            <w:shd w:val="clear" w:color="000000" w:fill="FFFFFF"/>
            <w:hideMark/>
          </w:tcPr>
          <w:p w14:paraId="442615F3" w14:textId="77777777" w:rsidR="00CF4CE3" w:rsidRPr="00FA100E" w:rsidRDefault="00CF4CE3" w:rsidP="00CF4CE3">
            <w:pPr>
              <w:spacing w:after="0" w:line="240" w:lineRule="auto"/>
              <w:jc w:val="center"/>
              <w:rPr>
                <w:rFonts w:ascii="Times New Roman" w:eastAsia="Times New Roman" w:hAnsi="Times New Roman" w:cs="Times New Roman"/>
                <w:sz w:val="16"/>
                <w:szCs w:val="16"/>
                <w:lang w:val="en-GB" w:eastAsia="en-GB"/>
              </w:rPr>
            </w:pPr>
            <w:r w:rsidRPr="00FA100E">
              <w:rPr>
                <w:rFonts w:ascii="Times New Roman" w:eastAsia="Times New Roman" w:hAnsi="Times New Roman" w:cs="Times New Roman"/>
                <w:sz w:val="16"/>
                <w:szCs w:val="16"/>
                <w:lang w:val="en-GB" w:eastAsia="en-GB"/>
              </w:rPr>
              <w:t>Yes</w:t>
            </w:r>
          </w:p>
        </w:tc>
        <w:tc>
          <w:tcPr>
            <w:tcW w:w="1060" w:type="dxa"/>
            <w:tcBorders>
              <w:top w:val="nil"/>
              <w:left w:val="nil"/>
              <w:bottom w:val="single" w:sz="4" w:space="0" w:color="auto"/>
              <w:right w:val="single" w:sz="4" w:space="0" w:color="auto"/>
            </w:tcBorders>
            <w:shd w:val="clear" w:color="auto" w:fill="auto"/>
            <w:noWrap/>
            <w:hideMark/>
          </w:tcPr>
          <w:p w14:paraId="0424EBB7" w14:textId="77777777" w:rsidR="00CF4CE3" w:rsidRPr="00FA100E" w:rsidRDefault="00CF4CE3" w:rsidP="00CF4CE3">
            <w:pPr>
              <w:spacing w:after="0" w:line="240" w:lineRule="auto"/>
              <w:jc w:val="center"/>
              <w:rPr>
                <w:rFonts w:ascii="Times New Roman" w:eastAsia="Times New Roman" w:hAnsi="Times New Roman" w:cs="Times New Roman"/>
                <w:sz w:val="20"/>
                <w:szCs w:val="20"/>
                <w:lang w:val="en-GB" w:eastAsia="en-GB"/>
              </w:rPr>
            </w:pPr>
            <w:r w:rsidRPr="00FA100E">
              <w:rPr>
                <w:rFonts w:ascii="Times New Roman" w:eastAsia="Times New Roman" w:hAnsi="Times New Roman" w:cs="Times New Roman"/>
                <w:sz w:val="20"/>
                <w:szCs w:val="20"/>
                <w:lang w:val="en-GB" w:eastAsia="en-GB"/>
              </w:rPr>
              <w:t>7</w:t>
            </w:r>
          </w:p>
        </w:tc>
      </w:tr>
      <w:tr w:rsidR="00FA100E" w:rsidRPr="00FA100E" w14:paraId="30BFA1A4" w14:textId="77777777" w:rsidTr="00CF4CE3">
        <w:trPr>
          <w:trHeight w:val="390"/>
        </w:trPr>
        <w:tc>
          <w:tcPr>
            <w:tcW w:w="1881" w:type="dxa"/>
            <w:tcBorders>
              <w:top w:val="nil"/>
              <w:left w:val="single" w:sz="4" w:space="0" w:color="auto"/>
              <w:bottom w:val="single" w:sz="4" w:space="0" w:color="auto"/>
              <w:right w:val="single" w:sz="4" w:space="0" w:color="auto"/>
            </w:tcBorders>
            <w:shd w:val="clear" w:color="000000" w:fill="FFFFFF"/>
            <w:noWrap/>
            <w:hideMark/>
          </w:tcPr>
          <w:p w14:paraId="4389FDCF" w14:textId="77777777" w:rsidR="00CF4CE3" w:rsidRPr="00FA100E" w:rsidRDefault="00CF4CE3" w:rsidP="00CF4CE3">
            <w:pPr>
              <w:spacing w:after="0" w:line="240" w:lineRule="auto"/>
              <w:rPr>
                <w:rFonts w:ascii="Times New Roman" w:eastAsia="Times New Roman" w:hAnsi="Times New Roman" w:cs="Times New Roman"/>
                <w:sz w:val="16"/>
                <w:szCs w:val="16"/>
                <w:lang w:val="en-GB" w:eastAsia="en-GB"/>
              </w:rPr>
            </w:pPr>
            <w:r w:rsidRPr="00FA100E">
              <w:rPr>
                <w:rFonts w:ascii="Times New Roman" w:eastAsia="Times New Roman" w:hAnsi="Times New Roman" w:cs="Times New Roman"/>
                <w:sz w:val="16"/>
                <w:szCs w:val="16"/>
                <w:lang w:val="en-GB" w:eastAsia="en-GB"/>
              </w:rPr>
              <w:t>Pham (2022)</w:t>
            </w:r>
          </w:p>
        </w:tc>
        <w:tc>
          <w:tcPr>
            <w:tcW w:w="1220" w:type="dxa"/>
            <w:tcBorders>
              <w:top w:val="nil"/>
              <w:left w:val="nil"/>
              <w:bottom w:val="single" w:sz="4" w:space="0" w:color="auto"/>
              <w:right w:val="single" w:sz="4" w:space="0" w:color="auto"/>
            </w:tcBorders>
            <w:shd w:val="clear" w:color="000000" w:fill="FFFFFF"/>
            <w:hideMark/>
          </w:tcPr>
          <w:p w14:paraId="1FDAB708" w14:textId="77777777" w:rsidR="00CF4CE3" w:rsidRPr="00FA100E" w:rsidRDefault="00CF4CE3" w:rsidP="00CF4CE3">
            <w:pPr>
              <w:spacing w:after="0" w:line="240" w:lineRule="auto"/>
              <w:jc w:val="center"/>
              <w:rPr>
                <w:rFonts w:ascii="Times New Roman" w:eastAsia="Times New Roman" w:hAnsi="Times New Roman" w:cs="Times New Roman"/>
                <w:sz w:val="16"/>
                <w:szCs w:val="16"/>
                <w:lang w:val="en-GB" w:eastAsia="en-GB"/>
              </w:rPr>
            </w:pPr>
            <w:r w:rsidRPr="00FA100E">
              <w:rPr>
                <w:rFonts w:ascii="Times New Roman" w:eastAsia="Times New Roman" w:hAnsi="Times New Roman" w:cs="Times New Roman"/>
                <w:sz w:val="16"/>
                <w:szCs w:val="16"/>
                <w:lang w:val="en-GB" w:eastAsia="en-GB"/>
              </w:rPr>
              <w:t>Yes</w:t>
            </w:r>
          </w:p>
        </w:tc>
        <w:tc>
          <w:tcPr>
            <w:tcW w:w="1222" w:type="dxa"/>
            <w:tcBorders>
              <w:top w:val="nil"/>
              <w:left w:val="nil"/>
              <w:bottom w:val="single" w:sz="4" w:space="0" w:color="auto"/>
              <w:right w:val="single" w:sz="4" w:space="0" w:color="auto"/>
            </w:tcBorders>
            <w:shd w:val="clear" w:color="000000" w:fill="FFFFFF"/>
            <w:hideMark/>
          </w:tcPr>
          <w:p w14:paraId="24AC76AA" w14:textId="77777777" w:rsidR="00CF4CE3" w:rsidRPr="00FA100E" w:rsidRDefault="00CF4CE3" w:rsidP="00CF4CE3">
            <w:pPr>
              <w:spacing w:after="0" w:line="240" w:lineRule="auto"/>
              <w:jc w:val="center"/>
              <w:rPr>
                <w:rFonts w:ascii="Times New Roman" w:eastAsia="Times New Roman" w:hAnsi="Times New Roman" w:cs="Times New Roman"/>
                <w:sz w:val="16"/>
                <w:szCs w:val="16"/>
                <w:lang w:val="en-GB" w:eastAsia="en-GB"/>
              </w:rPr>
            </w:pPr>
            <w:r w:rsidRPr="00FA100E">
              <w:rPr>
                <w:rFonts w:ascii="Times New Roman" w:eastAsia="Times New Roman" w:hAnsi="Times New Roman" w:cs="Times New Roman"/>
                <w:sz w:val="16"/>
                <w:szCs w:val="16"/>
                <w:lang w:val="en-GB" w:eastAsia="en-GB"/>
              </w:rPr>
              <w:t>Yes</w:t>
            </w:r>
          </w:p>
        </w:tc>
        <w:tc>
          <w:tcPr>
            <w:tcW w:w="1222" w:type="dxa"/>
            <w:tcBorders>
              <w:top w:val="nil"/>
              <w:left w:val="nil"/>
              <w:bottom w:val="single" w:sz="4" w:space="0" w:color="auto"/>
              <w:right w:val="single" w:sz="4" w:space="0" w:color="auto"/>
            </w:tcBorders>
            <w:shd w:val="clear" w:color="000000" w:fill="FFFFFF"/>
            <w:hideMark/>
          </w:tcPr>
          <w:p w14:paraId="0751198C" w14:textId="77777777" w:rsidR="00CF4CE3" w:rsidRPr="00FA100E" w:rsidRDefault="00CF4CE3" w:rsidP="00CF4CE3">
            <w:pPr>
              <w:spacing w:after="0" w:line="240" w:lineRule="auto"/>
              <w:jc w:val="center"/>
              <w:rPr>
                <w:rFonts w:ascii="Times New Roman" w:eastAsia="Times New Roman" w:hAnsi="Times New Roman" w:cs="Times New Roman"/>
                <w:sz w:val="16"/>
                <w:szCs w:val="16"/>
                <w:lang w:val="en-GB" w:eastAsia="en-GB"/>
              </w:rPr>
            </w:pPr>
            <w:r w:rsidRPr="00FA100E">
              <w:rPr>
                <w:rFonts w:ascii="Times New Roman" w:eastAsia="Times New Roman" w:hAnsi="Times New Roman" w:cs="Times New Roman"/>
                <w:sz w:val="16"/>
                <w:szCs w:val="16"/>
                <w:lang w:val="en-GB" w:eastAsia="en-GB"/>
              </w:rPr>
              <w:t>Yes</w:t>
            </w:r>
          </w:p>
        </w:tc>
        <w:tc>
          <w:tcPr>
            <w:tcW w:w="1543" w:type="dxa"/>
            <w:tcBorders>
              <w:top w:val="nil"/>
              <w:left w:val="nil"/>
              <w:bottom w:val="single" w:sz="4" w:space="0" w:color="auto"/>
              <w:right w:val="single" w:sz="4" w:space="0" w:color="auto"/>
            </w:tcBorders>
            <w:shd w:val="clear" w:color="000000" w:fill="FFFFFF"/>
            <w:hideMark/>
          </w:tcPr>
          <w:p w14:paraId="4D4DD5C4" w14:textId="77777777" w:rsidR="00CF4CE3" w:rsidRPr="00FA100E" w:rsidRDefault="00CF4CE3" w:rsidP="00CF4CE3">
            <w:pPr>
              <w:spacing w:after="0" w:line="240" w:lineRule="auto"/>
              <w:jc w:val="center"/>
              <w:rPr>
                <w:rFonts w:ascii="Times New Roman" w:eastAsia="Times New Roman" w:hAnsi="Times New Roman" w:cs="Times New Roman"/>
                <w:sz w:val="16"/>
                <w:szCs w:val="16"/>
                <w:lang w:val="en-GB" w:eastAsia="en-GB"/>
              </w:rPr>
            </w:pPr>
            <w:r w:rsidRPr="00FA100E">
              <w:rPr>
                <w:rFonts w:ascii="Times New Roman" w:eastAsia="Times New Roman" w:hAnsi="Times New Roman" w:cs="Times New Roman"/>
                <w:sz w:val="16"/>
                <w:szCs w:val="16"/>
                <w:lang w:val="en-GB" w:eastAsia="en-GB"/>
              </w:rPr>
              <w:t>Yes</w:t>
            </w:r>
          </w:p>
        </w:tc>
        <w:tc>
          <w:tcPr>
            <w:tcW w:w="1012" w:type="dxa"/>
            <w:tcBorders>
              <w:top w:val="nil"/>
              <w:left w:val="nil"/>
              <w:bottom w:val="single" w:sz="4" w:space="0" w:color="auto"/>
              <w:right w:val="single" w:sz="4" w:space="0" w:color="auto"/>
            </w:tcBorders>
            <w:shd w:val="clear" w:color="000000" w:fill="FFFFFF"/>
            <w:hideMark/>
          </w:tcPr>
          <w:p w14:paraId="3E0EAC1A" w14:textId="77777777" w:rsidR="00CF4CE3" w:rsidRPr="00FA100E" w:rsidRDefault="00CF4CE3" w:rsidP="00CF4CE3">
            <w:pPr>
              <w:spacing w:after="0" w:line="240" w:lineRule="auto"/>
              <w:jc w:val="center"/>
              <w:rPr>
                <w:rFonts w:ascii="Times New Roman" w:eastAsia="Times New Roman" w:hAnsi="Times New Roman" w:cs="Times New Roman"/>
                <w:sz w:val="16"/>
                <w:szCs w:val="16"/>
                <w:lang w:val="en-GB" w:eastAsia="en-GB"/>
              </w:rPr>
            </w:pPr>
            <w:r w:rsidRPr="00FA100E">
              <w:rPr>
                <w:rFonts w:ascii="Times New Roman" w:eastAsia="Times New Roman" w:hAnsi="Times New Roman" w:cs="Times New Roman"/>
                <w:sz w:val="16"/>
                <w:szCs w:val="16"/>
                <w:lang w:val="en-GB" w:eastAsia="en-GB"/>
              </w:rPr>
              <w:t>Yes</w:t>
            </w:r>
          </w:p>
        </w:tc>
        <w:tc>
          <w:tcPr>
            <w:tcW w:w="1239" w:type="dxa"/>
            <w:tcBorders>
              <w:top w:val="nil"/>
              <w:left w:val="nil"/>
              <w:bottom w:val="single" w:sz="4" w:space="0" w:color="auto"/>
              <w:right w:val="single" w:sz="4" w:space="0" w:color="auto"/>
            </w:tcBorders>
            <w:shd w:val="clear" w:color="000000" w:fill="FFFFFF"/>
            <w:hideMark/>
          </w:tcPr>
          <w:p w14:paraId="53ED2A80" w14:textId="77777777" w:rsidR="00CF4CE3" w:rsidRPr="00FA100E" w:rsidRDefault="00CF4CE3" w:rsidP="00CF4CE3">
            <w:pPr>
              <w:spacing w:after="0" w:line="240" w:lineRule="auto"/>
              <w:jc w:val="center"/>
              <w:rPr>
                <w:rFonts w:ascii="Times New Roman" w:eastAsia="Times New Roman" w:hAnsi="Times New Roman" w:cs="Times New Roman"/>
                <w:sz w:val="16"/>
                <w:szCs w:val="16"/>
                <w:lang w:val="en-GB" w:eastAsia="en-GB"/>
              </w:rPr>
            </w:pPr>
            <w:r w:rsidRPr="00FA100E">
              <w:rPr>
                <w:rFonts w:ascii="Times New Roman" w:eastAsia="Times New Roman" w:hAnsi="Times New Roman" w:cs="Times New Roman"/>
                <w:sz w:val="16"/>
                <w:szCs w:val="16"/>
                <w:lang w:val="en-GB" w:eastAsia="en-GB"/>
              </w:rPr>
              <w:t>No</w:t>
            </w:r>
          </w:p>
        </w:tc>
        <w:tc>
          <w:tcPr>
            <w:tcW w:w="1225" w:type="dxa"/>
            <w:tcBorders>
              <w:top w:val="nil"/>
              <w:left w:val="nil"/>
              <w:bottom w:val="single" w:sz="4" w:space="0" w:color="auto"/>
              <w:right w:val="single" w:sz="4" w:space="0" w:color="auto"/>
            </w:tcBorders>
            <w:shd w:val="clear" w:color="000000" w:fill="FFFFFF"/>
            <w:hideMark/>
          </w:tcPr>
          <w:p w14:paraId="4C844E29" w14:textId="77777777" w:rsidR="00CF4CE3" w:rsidRPr="00FA100E" w:rsidRDefault="00CF4CE3" w:rsidP="00CF4CE3">
            <w:pPr>
              <w:spacing w:after="0" w:line="240" w:lineRule="auto"/>
              <w:jc w:val="center"/>
              <w:rPr>
                <w:rFonts w:ascii="Times New Roman" w:eastAsia="Times New Roman" w:hAnsi="Times New Roman" w:cs="Times New Roman"/>
                <w:sz w:val="16"/>
                <w:szCs w:val="16"/>
                <w:lang w:val="en-GB" w:eastAsia="en-GB"/>
              </w:rPr>
            </w:pPr>
            <w:r w:rsidRPr="00FA100E">
              <w:rPr>
                <w:rFonts w:ascii="Times New Roman" w:eastAsia="Times New Roman" w:hAnsi="Times New Roman" w:cs="Times New Roman"/>
                <w:sz w:val="16"/>
                <w:szCs w:val="16"/>
                <w:lang w:val="en-GB" w:eastAsia="en-GB"/>
              </w:rPr>
              <w:t>No</w:t>
            </w:r>
          </w:p>
        </w:tc>
        <w:tc>
          <w:tcPr>
            <w:tcW w:w="1236" w:type="dxa"/>
            <w:tcBorders>
              <w:top w:val="nil"/>
              <w:left w:val="nil"/>
              <w:bottom w:val="single" w:sz="4" w:space="0" w:color="auto"/>
              <w:right w:val="single" w:sz="4" w:space="0" w:color="auto"/>
            </w:tcBorders>
            <w:shd w:val="clear" w:color="000000" w:fill="FFFFFF"/>
            <w:hideMark/>
          </w:tcPr>
          <w:p w14:paraId="0AB756AF" w14:textId="77777777" w:rsidR="00CF4CE3" w:rsidRPr="00FA100E" w:rsidRDefault="00CF4CE3" w:rsidP="00CF4CE3">
            <w:pPr>
              <w:spacing w:after="0" w:line="240" w:lineRule="auto"/>
              <w:jc w:val="center"/>
              <w:rPr>
                <w:rFonts w:ascii="Times New Roman" w:eastAsia="Times New Roman" w:hAnsi="Times New Roman" w:cs="Times New Roman"/>
                <w:sz w:val="16"/>
                <w:szCs w:val="16"/>
                <w:lang w:val="en-GB" w:eastAsia="en-GB"/>
              </w:rPr>
            </w:pPr>
            <w:r w:rsidRPr="00FA100E">
              <w:rPr>
                <w:rFonts w:ascii="Times New Roman" w:eastAsia="Times New Roman" w:hAnsi="Times New Roman" w:cs="Times New Roman"/>
                <w:sz w:val="16"/>
                <w:szCs w:val="16"/>
                <w:lang w:val="en-GB" w:eastAsia="en-GB"/>
              </w:rPr>
              <w:t>Yes</w:t>
            </w:r>
          </w:p>
        </w:tc>
        <w:tc>
          <w:tcPr>
            <w:tcW w:w="1060" w:type="dxa"/>
            <w:tcBorders>
              <w:top w:val="nil"/>
              <w:left w:val="nil"/>
              <w:bottom w:val="single" w:sz="4" w:space="0" w:color="auto"/>
              <w:right w:val="single" w:sz="4" w:space="0" w:color="auto"/>
            </w:tcBorders>
            <w:shd w:val="clear" w:color="000000" w:fill="FFFFFF"/>
            <w:noWrap/>
            <w:hideMark/>
          </w:tcPr>
          <w:p w14:paraId="36853E9B" w14:textId="77777777" w:rsidR="00CF4CE3" w:rsidRPr="00FA100E" w:rsidRDefault="00CF4CE3" w:rsidP="00CF4CE3">
            <w:pPr>
              <w:spacing w:after="0" w:line="240" w:lineRule="auto"/>
              <w:jc w:val="center"/>
              <w:rPr>
                <w:rFonts w:ascii="Times New Roman" w:eastAsia="Times New Roman" w:hAnsi="Times New Roman" w:cs="Times New Roman"/>
                <w:sz w:val="20"/>
                <w:szCs w:val="20"/>
                <w:lang w:val="en-GB" w:eastAsia="en-GB"/>
              </w:rPr>
            </w:pPr>
            <w:r w:rsidRPr="00FA100E">
              <w:rPr>
                <w:rFonts w:ascii="Times New Roman" w:eastAsia="Times New Roman" w:hAnsi="Times New Roman" w:cs="Times New Roman"/>
                <w:sz w:val="20"/>
                <w:szCs w:val="20"/>
                <w:lang w:val="en-GB" w:eastAsia="en-GB"/>
              </w:rPr>
              <w:t>6</w:t>
            </w:r>
          </w:p>
        </w:tc>
      </w:tr>
      <w:tr w:rsidR="00FA100E" w:rsidRPr="00FA100E" w14:paraId="07CA7C97" w14:textId="77777777" w:rsidTr="00CF4CE3">
        <w:trPr>
          <w:trHeight w:val="390"/>
        </w:trPr>
        <w:tc>
          <w:tcPr>
            <w:tcW w:w="1881" w:type="dxa"/>
            <w:tcBorders>
              <w:top w:val="nil"/>
              <w:left w:val="single" w:sz="4" w:space="0" w:color="auto"/>
              <w:bottom w:val="single" w:sz="4" w:space="0" w:color="auto"/>
              <w:right w:val="single" w:sz="4" w:space="0" w:color="auto"/>
            </w:tcBorders>
            <w:shd w:val="clear" w:color="auto" w:fill="auto"/>
            <w:noWrap/>
            <w:hideMark/>
          </w:tcPr>
          <w:p w14:paraId="42A8E88B" w14:textId="77777777" w:rsidR="00CF4CE3" w:rsidRPr="00FA100E" w:rsidRDefault="00CF4CE3" w:rsidP="00CF4CE3">
            <w:pPr>
              <w:spacing w:after="0" w:line="240" w:lineRule="auto"/>
              <w:rPr>
                <w:rFonts w:ascii="Times New Roman" w:eastAsia="Times New Roman" w:hAnsi="Times New Roman" w:cs="Times New Roman"/>
                <w:sz w:val="16"/>
                <w:szCs w:val="16"/>
                <w:lang w:val="en-GB" w:eastAsia="en-GB"/>
              </w:rPr>
            </w:pPr>
            <w:r w:rsidRPr="00FA100E">
              <w:rPr>
                <w:rFonts w:ascii="Times New Roman" w:eastAsia="Times New Roman" w:hAnsi="Times New Roman" w:cs="Times New Roman"/>
                <w:sz w:val="16"/>
                <w:szCs w:val="16"/>
                <w:lang w:val="en-GB" w:eastAsia="en-GB"/>
              </w:rPr>
              <w:t>Vignault (2021)</w:t>
            </w:r>
          </w:p>
        </w:tc>
        <w:tc>
          <w:tcPr>
            <w:tcW w:w="1220" w:type="dxa"/>
            <w:tcBorders>
              <w:top w:val="nil"/>
              <w:left w:val="nil"/>
              <w:bottom w:val="single" w:sz="4" w:space="0" w:color="auto"/>
              <w:right w:val="single" w:sz="4" w:space="0" w:color="auto"/>
            </w:tcBorders>
            <w:shd w:val="clear" w:color="000000" w:fill="FFFFFF"/>
            <w:hideMark/>
          </w:tcPr>
          <w:p w14:paraId="64EDFFC6" w14:textId="77777777" w:rsidR="00CF4CE3" w:rsidRPr="00FA100E" w:rsidRDefault="00CF4CE3" w:rsidP="00CF4CE3">
            <w:pPr>
              <w:spacing w:after="0" w:line="240" w:lineRule="auto"/>
              <w:jc w:val="center"/>
              <w:rPr>
                <w:rFonts w:ascii="Times New Roman" w:eastAsia="Times New Roman" w:hAnsi="Times New Roman" w:cs="Times New Roman"/>
                <w:sz w:val="16"/>
                <w:szCs w:val="16"/>
                <w:lang w:val="en-GB" w:eastAsia="en-GB"/>
              </w:rPr>
            </w:pPr>
            <w:r w:rsidRPr="00FA100E">
              <w:rPr>
                <w:rFonts w:ascii="Times New Roman" w:eastAsia="Times New Roman" w:hAnsi="Times New Roman" w:cs="Times New Roman"/>
                <w:sz w:val="16"/>
                <w:szCs w:val="16"/>
                <w:lang w:val="en-GB" w:eastAsia="en-GB"/>
              </w:rPr>
              <w:t>Yes</w:t>
            </w:r>
          </w:p>
        </w:tc>
        <w:tc>
          <w:tcPr>
            <w:tcW w:w="1222" w:type="dxa"/>
            <w:tcBorders>
              <w:top w:val="nil"/>
              <w:left w:val="nil"/>
              <w:bottom w:val="single" w:sz="4" w:space="0" w:color="auto"/>
              <w:right w:val="single" w:sz="4" w:space="0" w:color="auto"/>
            </w:tcBorders>
            <w:shd w:val="clear" w:color="000000" w:fill="FFFFFF"/>
            <w:hideMark/>
          </w:tcPr>
          <w:p w14:paraId="197A429F" w14:textId="77777777" w:rsidR="00CF4CE3" w:rsidRPr="00FA100E" w:rsidRDefault="00CF4CE3" w:rsidP="00CF4CE3">
            <w:pPr>
              <w:spacing w:after="0" w:line="240" w:lineRule="auto"/>
              <w:jc w:val="center"/>
              <w:rPr>
                <w:rFonts w:ascii="Times New Roman" w:eastAsia="Times New Roman" w:hAnsi="Times New Roman" w:cs="Times New Roman"/>
                <w:sz w:val="16"/>
                <w:szCs w:val="16"/>
                <w:lang w:val="en-GB" w:eastAsia="en-GB"/>
              </w:rPr>
            </w:pPr>
            <w:r w:rsidRPr="00FA100E">
              <w:rPr>
                <w:rFonts w:ascii="Times New Roman" w:eastAsia="Times New Roman" w:hAnsi="Times New Roman" w:cs="Times New Roman"/>
                <w:sz w:val="16"/>
                <w:szCs w:val="16"/>
                <w:lang w:val="en-GB" w:eastAsia="en-GB"/>
              </w:rPr>
              <w:t>Yes</w:t>
            </w:r>
          </w:p>
        </w:tc>
        <w:tc>
          <w:tcPr>
            <w:tcW w:w="1222" w:type="dxa"/>
            <w:tcBorders>
              <w:top w:val="nil"/>
              <w:left w:val="nil"/>
              <w:bottom w:val="single" w:sz="4" w:space="0" w:color="auto"/>
              <w:right w:val="single" w:sz="4" w:space="0" w:color="auto"/>
            </w:tcBorders>
            <w:shd w:val="clear" w:color="000000" w:fill="FFFFFF"/>
            <w:hideMark/>
          </w:tcPr>
          <w:p w14:paraId="025A92A0" w14:textId="77777777" w:rsidR="00CF4CE3" w:rsidRPr="00FA100E" w:rsidRDefault="00CF4CE3" w:rsidP="00CF4CE3">
            <w:pPr>
              <w:spacing w:after="0" w:line="240" w:lineRule="auto"/>
              <w:jc w:val="center"/>
              <w:rPr>
                <w:rFonts w:ascii="Times New Roman" w:eastAsia="Times New Roman" w:hAnsi="Times New Roman" w:cs="Times New Roman"/>
                <w:sz w:val="16"/>
                <w:szCs w:val="16"/>
                <w:lang w:val="en-GB" w:eastAsia="en-GB"/>
              </w:rPr>
            </w:pPr>
            <w:r w:rsidRPr="00FA100E">
              <w:rPr>
                <w:rFonts w:ascii="Times New Roman" w:eastAsia="Times New Roman" w:hAnsi="Times New Roman" w:cs="Times New Roman"/>
                <w:sz w:val="16"/>
                <w:szCs w:val="16"/>
                <w:lang w:val="en-GB" w:eastAsia="en-GB"/>
              </w:rPr>
              <w:t>Yes</w:t>
            </w:r>
          </w:p>
        </w:tc>
        <w:tc>
          <w:tcPr>
            <w:tcW w:w="1543" w:type="dxa"/>
            <w:tcBorders>
              <w:top w:val="nil"/>
              <w:left w:val="nil"/>
              <w:bottom w:val="single" w:sz="4" w:space="0" w:color="auto"/>
              <w:right w:val="single" w:sz="4" w:space="0" w:color="auto"/>
            </w:tcBorders>
            <w:shd w:val="clear" w:color="000000" w:fill="FFFFFF"/>
            <w:hideMark/>
          </w:tcPr>
          <w:p w14:paraId="67B7B4D4" w14:textId="77777777" w:rsidR="00CF4CE3" w:rsidRPr="00FA100E" w:rsidRDefault="00CF4CE3" w:rsidP="00CF4CE3">
            <w:pPr>
              <w:spacing w:after="0" w:line="240" w:lineRule="auto"/>
              <w:jc w:val="center"/>
              <w:rPr>
                <w:rFonts w:ascii="Times New Roman" w:eastAsia="Times New Roman" w:hAnsi="Times New Roman" w:cs="Times New Roman"/>
                <w:sz w:val="16"/>
                <w:szCs w:val="16"/>
                <w:lang w:val="en-GB" w:eastAsia="en-GB"/>
              </w:rPr>
            </w:pPr>
            <w:r w:rsidRPr="00FA100E">
              <w:rPr>
                <w:rFonts w:ascii="Times New Roman" w:eastAsia="Times New Roman" w:hAnsi="Times New Roman" w:cs="Times New Roman"/>
                <w:sz w:val="16"/>
                <w:szCs w:val="16"/>
                <w:lang w:val="en-GB" w:eastAsia="en-GB"/>
              </w:rPr>
              <w:t>Yes</w:t>
            </w:r>
          </w:p>
        </w:tc>
        <w:tc>
          <w:tcPr>
            <w:tcW w:w="1012" w:type="dxa"/>
            <w:tcBorders>
              <w:top w:val="nil"/>
              <w:left w:val="nil"/>
              <w:bottom w:val="single" w:sz="4" w:space="0" w:color="auto"/>
              <w:right w:val="single" w:sz="4" w:space="0" w:color="auto"/>
            </w:tcBorders>
            <w:shd w:val="clear" w:color="000000" w:fill="FFFFFF"/>
            <w:hideMark/>
          </w:tcPr>
          <w:p w14:paraId="0DA10568" w14:textId="77777777" w:rsidR="00CF4CE3" w:rsidRPr="00FA100E" w:rsidRDefault="00CF4CE3" w:rsidP="00CF4CE3">
            <w:pPr>
              <w:spacing w:after="0" w:line="240" w:lineRule="auto"/>
              <w:jc w:val="center"/>
              <w:rPr>
                <w:rFonts w:ascii="Times New Roman" w:eastAsia="Times New Roman" w:hAnsi="Times New Roman" w:cs="Times New Roman"/>
                <w:sz w:val="16"/>
                <w:szCs w:val="16"/>
                <w:lang w:val="en-GB" w:eastAsia="en-GB"/>
              </w:rPr>
            </w:pPr>
            <w:r w:rsidRPr="00FA100E">
              <w:rPr>
                <w:rFonts w:ascii="Times New Roman" w:eastAsia="Times New Roman" w:hAnsi="Times New Roman" w:cs="Times New Roman"/>
                <w:sz w:val="16"/>
                <w:szCs w:val="16"/>
                <w:lang w:val="en-GB" w:eastAsia="en-GB"/>
              </w:rPr>
              <w:t>Yes</w:t>
            </w:r>
          </w:p>
        </w:tc>
        <w:tc>
          <w:tcPr>
            <w:tcW w:w="1239" w:type="dxa"/>
            <w:tcBorders>
              <w:top w:val="nil"/>
              <w:left w:val="nil"/>
              <w:bottom w:val="single" w:sz="4" w:space="0" w:color="auto"/>
              <w:right w:val="single" w:sz="4" w:space="0" w:color="auto"/>
            </w:tcBorders>
            <w:shd w:val="clear" w:color="000000" w:fill="FFFFFF"/>
            <w:hideMark/>
          </w:tcPr>
          <w:p w14:paraId="75592FD5" w14:textId="77777777" w:rsidR="00CF4CE3" w:rsidRPr="00FA100E" w:rsidRDefault="00CF4CE3" w:rsidP="00CF4CE3">
            <w:pPr>
              <w:spacing w:after="0" w:line="240" w:lineRule="auto"/>
              <w:jc w:val="center"/>
              <w:rPr>
                <w:rFonts w:ascii="Times New Roman" w:eastAsia="Times New Roman" w:hAnsi="Times New Roman" w:cs="Times New Roman"/>
                <w:sz w:val="16"/>
                <w:szCs w:val="16"/>
                <w:lang w:val="en-GB" w:eastAsia="en-GB"/>
              </w:rPr>
            </w:pPr>
            <w:r w:rsidRPr="00FA100E">
              <w:rPr>
                <w:rFonts w:ascii="Times New Roman" w:eastAsia="Times New Roman" w:hAnsi="Times New Roman" w:cs="Times New Roman"/>
                <w:sz w:val="16"/>
                <w:szCs w:val="16"/>
                <w:lang w:val="en-GB" w:eastAsia="en-GB"/>
              </w:rPr>
              <w:t>No</w:t>
            </w:r>
          </w:p>
        </w:tc>
        <w:tc>
          <w:tcPr>
            <w:tcW w:w="1225" w:type="dxa"/>
            <w:tcBorders>
              <w:top w:val="nil"/>
              <w:left w:val="nil"/>
              <w:bottom w:val="single" w:sz="4" w:space="0" w:color="auto"/>
              <w:right w:val="single" w:sz="4" w:space="0" w:color="auto"/>
            </w:tcBorders>
            <w:shd w:val="clear" w:color="000000" w:fill="FFFFFF"/>
            <w:hideMark/>
          </w:tcPr>
          <w:p w14:paraId="798D0266" w14:textId="77777777" w:rsidR="00CF4CE3" w:rsidRPr="00FA100E" w:rsidRDefault="00CF4CE3" w:rsidP="00CF4CE3">
            <w:pPr>
              <w:spacing w:after="0" w:line="240" w:lineRule="auto"/>
              <w:jc w:val="center"/>
              <w:rPr>
                <w:rFonts w:ascii="Times New Roman" w:eastAsia="Times New Roman" w:hAnsi="Times New Roman" w:cs="Times New Roman"/>
                <w:sz w:val="16"/>
                <w:szCs w:val="16"/>
                <w:lang w:val="en-GB" w:eastAsia="en-GB"/>
              </w:rPr>
            </w:pPr>
            <w:r w:rsidRPr="00FA100E">
              <w:rPr>
                <w:rFonts w:ascii="Times New Roman" w:eastAsia="Times New Roman" w:hAnsi="Times New Roman" w:cs="Times New Roman"/>
                <w:sz w:val="16"/>
                <w:szCs w:val="16"/>
                <w:lang w:val="en-GB" w:eastAsia="en-GB"/>
              </w:rPr>
              <w:t>Yes</w:t>
            </w:r>
          </w:p>
        </w:tc>
        <w:tc>
          <w:tcPr>
            <w:tcW w:w="1236" w:type="dxa"/>
            <w:tcBorders>
              <w:top w:val="nil"/>
              <w:left w:val="nil"/>
              <w:bottom w:val="single" w:sz="4" w:space="0" w:color="auto"/>
              <w:right w:val="single" w:sz="4" w:space="0" w:color="auto"/>
            </w:tcBorders>
            <w:shd w:val="clear" w:color="000000" w:fill="FFFFFF"/>
            <w:hideMark/>
          </w:tcPr>
          <w:p w14:paraId="31A2055B" w14:textId="77777777" w:rsidR="00CF4CE3" w:rsidRPr="00FA100E" w:rsidRDefault="00CF4CE3" w:rsidP="00CF4CE3">
            <w:pPr>
              <w:spacing w:after="0" w:line="240" w:lineRule="auto"/>
              <w:jc w:val="center"/>
              <w:rPr>
                <w:rFonts w:ascii="Times New Roman" w:eastAsia="Times New Roman" w:hAnsi="Times New Roman" w:cs="Times New Roman"/>
                <w:sz w:val="16"/>
                <w:szCs w:val="16"/>
                <w:lang w:val="en-GB" w:eastAsia="en-GB"/>
              </w:rPr>
            </w:pPr>
            <w:r w:rsidRPr="00FA100E">
              <w:rPr>
                <w:rFonts w:ascii="Times New Roman" w:eastAsia="Times New Roman" w:hAnsi="Times New Roman" w:cs="Times New Roman"/>
                <w:sz w:val="16"/>
                <w:szCs w:val="16"/>
                <w:lang w:val="en-GB" w:eastAsia="en-GB"/>
              </w:rPr>
              <w:t>Yes</w:t>
            </w:r>
          </w:p>
        </w:tc>
        <w:tc>
          <w:tcPr>
            <w:tcW w:w="1060" w:type="dxa"/>
            <w:tcBorders>
              <w:top w:val="nil"/>
              <w:left w:val="nil"/>
              <w:bottom w:val="single" w:sz="4" w:space="0" w:color="auto"/>
              <w:right w:val="single" w:sz="4" w:space="0" w:color="auto"/>
            </w:tcBorders>
            <w:shd w:val="clear" w:color="auto" w:fill="auto"/>
            <w:noWrap/>
            <w:hideMark/>
          </w:tcPr>
          <w:p w14:paraId="2FB4491B" w14:textId="77777777" w:rsidR="00CF4CE3" w:rsidRPr="00FA100E" w:rsidRDefault="00CF4CE3" w:rsidP="00CF4CE3">
            <w:pPr>
              <w:spacing w:after="0" w:line="240" w:lineRule="auto"/>
              <w:jc w:val="center"/>
              <w:rPr>
                <w:rFonts w:ascii="Times New Roman" w:eastAsia="Times New Roman" w:hAnsi="Times New Roman" w:cs="Times New Roman"/>
                <w:sz w:val="20"/>
                <w:szCs w:val="20"/>
                <w:lang w:val="en-GB" w:eastAsia="en-GB"/>
              </w:rPr>
            </w:pPr>
            <w:r w:rsidRPr="00FA100E">
              <w:rPr>
                <w:rFonts w:ascii="Times New Roman" w:eastAsia="Times New Roman" w:hAnsi="Times New Roman" w:cs="Times New Roman"/>
                <w:sz w:val="20"/>
                <w:szCs w:val="20"/>
                <w:lang w:val="en-GB" w:eastAsia="en-GB"/>
              </w:rPr>
              <w:t>7</w:t>
            </w:r>
          </w:p>
        </w:tc>
      </w:tr>
      <w:tr w:rsidR="00FA100E" w:rsidRPr="00FA100E" w14:paraId="6EC2E833" w14:textId="77777777" w:rsidTr="00CF4CE3">
        <w:trPr>
          <w:trHeight w:val="390"/>
        </w:trPr>
        <w:tc>
          <w:tcPr>
            <w:tcW w:w="1881" w:type="dxa"/>
            <w:tcBorders>
              <w:top w:val="nil"/>
              <w:left w:val="single" w:sz="4" w:space="0" w:color="auto"/>
              <w:bottom w:val="single" w:sz="4" w:space="0" w:color="auto"/>
              <w:right w:val="single" w:sz="4" w:space="0" w:color="auto"/>
            </w:tcBorders>
            <w:shd w:val="clear" w:color="auto" w:fill="auto"/>
            <w:noWrap/>
            <w:hideMark/>
          </w:tcPr>
          <w:p w14:paraId="72E80B74" w14:textId="77777777" w:rsidR="00CF4CE3" w:rsidRPr="00FA100E" w:rsidRDefault="00CF4CE3" w:rsidP="00CF4CE3">
            <w:pPr>
              <w:spacing w:after="0" w:line="240" w:lineRule="auto"/>
              <w:rPr>
                <w:rFonts w:ascii="Times New Roman" w:eastAsia="Times New Roman" w:hAnsi="Times New Roman" w:cs="Times New Roman"/>
                <w:sz w:val="16"/>
                <w:szCs w:val="16"/>
                <w:lang w:val="en-GB" w:eastAsia="en-GB"/>
              </w:rPr>
            </w:pPr>
            <w:r w:rsidRPr="00FA100E">
              <w:rPr>
                <w:rFonts w:ascii="Times New Roman" w:eastAsia="Times New Roman" w:hAnsi="Times New Roman" w:cs="Times New Roman"/>
                <w:sz w:val="16"/>
                <w:szCs w:val="16"/>
                <w:lang w:val="en-GB" w:eastAsia="en-GB"/>
              </w:rPr>
              <w:t>Yeung 2020</w:t>
            </w:r>
          </w:p>
        </w:tc>
        <w:tc>
          <w:tcPr>
            <w:tcW w:w="1220" w:type="dxa"/>
            <w:tcBorders>
              <w:top w:val="nil"/>
              <w:left w:val="nil"/>
              <w:bottom w:val="single" w:sz="4" w:space="0" w:color="auto"/>
              <w:right w:val="single" w:sz="4" w:space="0" w:color="auto"/>
            </w:tcBorders>
            <w:shd w:val="clear" w:color="000000" w:fill="FFFFFF"/>
            <w:hideMark/>
          </w:tcPr>
          <w:p w14:paraId="4B0C641D" w14:textId="77777777" w:rsidR="00CF4CE3" w:rsidRPr="00FA100E" w:rsidRDefault="00CF4CE3" w:rsidP="00CF4CE3">
            <w:pPr>
              <w:spacing w:after="0" w:line="240" w:lineRule="auto"/>
              <w:jc w:val="center"/>
              <w:rPr>
                <w:rFonts w:ascii="Times New Roman" w:eastAsia="Times New Roman" w:hAnsi="Times New Roman" w:cs="Times New Roman"/>
                <w:sz w:val="16"/>
                <w:szCs w:val="16"/>
                <w:lang w:val="en-GB" w:eastAsia="en-GB"/>
              </w:rPr>
            </w:pPr>
            <w:r w:rsidRPr="00FA100E">
              <w:rPr>
                <w:rFonts w:ascii="Times New Roman" w:eastAsia="Times New Roman" w:hAnsi="Times New Roman" w:cs="Times New Roman"/>
                <w:sz w:val="16"/>
                <w:szCs w:val="16"/>
                <w:lang w:val="en-GB" w:eastAsia="en-GB"/>
              </w:rPr>
              <w:t>Yes</w:t>
            </w:r>
          </w:p>
        </w:tc>
        <w:tc>
          <w:tcPr>
            <w:tcW w:w="1222" w:type="dxa"/>
            <w:tcBorders>
              <w:top w:val="nil"/>
              <w:left w:val="nil"/>
              <w:bottom w:val="single" w:sz="4" w:space="0" w:color="auto"/>
              <w:right w:val="single" w:sz="4" w:space="0" w:color="auto"/>
            </w:tcBorders>
            <w:shd w:val="clear" w:color="000000" w:fill="FFFFFF"/>
            <w:hideMark/>
          </w:tcPr>
          <w:p w14:paraId="356999DB" w14:textId="77777777" w:rsidR="00CF4CE3" w:rsidRPr="00FA100E" w:rsidRDefault="00CF4CE3" w:rsidP="00CF4CE3">
            <w:pPr>
              <w:spacing w:after="0" w:line="240" w:lineRule="auto"/>
              <w:jc w:val="center"/>
              <w:rPr>
                <w:rFonts w:ascii="Times New Roman" w:eastAsia="Times New Roman" w:hAnsi="Times New Roman" w:cs="Times New Roman"/>
                <w:sz w:val="16"/>
                <w:szCs w:val="16"/>
                <w:lang w:val="en-GB" w:eastAsia="en-GB"/>
              </w:rPr>
            </w:pPr>
            <w:r w:rsidRPr="00FA100E">
              <w:rPr>
                <w:rFonts w:ascii="Times New Roman" w:eastAsia="Times New Roman" w:hAnsi="Times New Roman" w:cs="Times New Roman"/>
                <w:sz w:val="16"/>
                <w:szCs w:val="16"/>
                <w:lang w:val="en-GB" w:eastAsia="en-GB"/>
              </w:rPr>
              <w:t>Yes</w:t>
            </w:r>
          </w:p>
        </w:tc>
        <w:tc>
          <w:tcPr>
            <w:tcW w:w="1222" w:type="dxa"/>
            <w:tcBorders>
              <w:top w:val="nil"/>
              <w:left w:val="nil"/>
              <w:bottom w:val="single" w:sz="4" w:space="0" w:color="auto"/>
              <w:right w:val="single" w:sz="4" w:space="0" w:color="auto"/>
            </w:tcBorders>
            <w:shd w:val="clear" w:color="000000" w:fill="FFFFFF"/>
            <w:hideMark/>
          </w:tcPr>
          <w:p w14:paraId="2F4040EC" w14:textId="77777777" w:rsidR="00CF4CE3" w:rsidRPr="00FA100E" w:rsidRDefault="00CF4CE3" w:rsidP="00CF4CE3">
            <w:pPr>
              <w:spacing w:after="0" w:line="240" w:lineRule="auto"/>
              <w:jc w:val="center"/>
              <w:rPr>
                <w:rFonts w:ascii="Times New Roman" w:eastAsia="Times New Roman" w:hAnsi="Times New Roman" w:cs="Times New Roman"/>
                <w:sz w:val="16"/>
                <w:szCs w:val="16"/>
                <w:lang w:val="en-GB" w:eastAsia="en-GB"/>
              </w:rPr>
            </w:pPr>
            <w:r w:rsidRPr="00FA100E">
              <w:rPr>
                <w:rFonts w:ascii="Times New Roman" w:eastAsia="Times New Roman" w:hAnsi="Times New Roman" w:cs="Times New Roman"/>
                <w:sz w:val="16"/>
                <w:szCs w:val="16"/>
                <w:lang w:val="en-GB" w:eastAsia="en-GB"/>
              </w:rPr>
              <w:t>Yes</w:t>
            </w:r>
          </w:p>
        </w:tc>
        <w:tc>
          <w:tcPr>
            <w:tcW w:w="1543" w:type="dxa"/>
            <w:tcBorders>
              <w:top w:val="nil"/>
              <w:left w:val="nil"/>
              <w:bottom w:val="single" w:sz="4" w:space="0" w:color="auto"/>
              <w:right w:val="single" w:sz="4" w:space="0" w:color="auto"/>
            </w:tcBorders>
            <w:shd w:val="clear" w:color="000000" w:fill="FFFFFF"/>
            <w:hideMark/>
          </w:tcPr>
          <w:p w14:paraId="4F0779D2" w14:textId="77777777" w:rsidR="00CF4CE3" w:rsidRPr="00FA100E" w:rsidRDefault="00CF4CE3" w:rsidP="00CF4CE3">
            <w:pPr>
              <w:spacing w:after="0" w:line="240" w:lineRule="auto"/>
              <w:jc w:val="center"/>
              <w:rPr>
                <w:rFonts w:ascii="Times New Roman" w:eastAsia="Times New Roman" w:hAnsi="Times New Roman" w:cs="Times New Roman"/>
                <w:sz w:val="16"/>
                <w:szCs w:val="16"/>
                <w:lang w:val="en-GB" w:eastAsia="en-GB"/>
              </w:rPr>
            </w:pPr>
            <w:r w:rsidRPr="00FA100E">
              <w:rPr>
                <w:rFonts w:ascii="Times New Roman" w:eastAsia="Times New Roman" w:hAnsi="Times New Roman" w:cs="Times New Roman"/>
                <w:sz w:val="16"/>
                <w:szCs w:val="16"/>
                <w:lang w:val="en-GB" w:eastAsia="en-GB"/>
              </w:rPr>
              <w:t>Yes</w:t>
            </w:r>
          </w:p>
        </w:tc>
        <w:tc>
          <w:tcPr>
            <w:tcW w:w="1012" w:type="dxa"/>
            <w:tcBorders>
              <w:top w:val="nil"/>
              <w:left w:val="nil"/>
              <w:bottom w:val="single" w:sz="4" w:space="0" w:color="auto"/>
              <w:right w:val="single" w:sz="4" w:space="0" w:color="auto"/>
            </w:tcBorders>
            <w:shd w:val="clear" w:color="000000" w:fill="FFFFFF"/>
            <w:hideMark/>
          </w:tcPr>
          <w:p w14:paraId="6CD95031" w14:textId="77777777" w:rsidR="00CF4CE3" w:rsidRPr="00FA100E" w:rsidRDefault="00CF4CE3" w:rsidP="00CF4CE3">
            <w:pPr>
              <w:spacing w:after="0" w:line="240" w:lineRule="auto"/>
              <w:jc w:val="center"/>
              <w:rPr>
                <w:rFonts w:ascii="Times New Roman" w:eastAsia="Times New Roman" w:hAnsi="Times New Roman" w:cs="Times New Roman"/>
                <w:sz w:val="16"/>
                <w:szCs w:val="16"/>
                <w:lang w:val="en-GB" w:eastAsia="en-GB"/>
              </w:rPr>
            </w:pPr>
            <w:r w:rsidRPr="00FA100E">
              <w:rPr>
                <w:rFonts w:ascii="Times New Roman" w:eastAsia="Times New Roman" w:hAnsi="Times New Roman" w:cs="Times New Roman"/>
                <w:sz w:val="16"/>
                <w:szCs w:val="16"/>
                <w:lang w:val="en-GB" w:eastAsia="en-GB"/>
              </w:rPr>
              <w:t>Yes</w:t>
            </w:r>
          </w:p>
        </w:tc>
        <w:tc>
          <w:tcPr>
            <w:tcW w:w="1239" w:type="dxa"/>
            <w:tcBorders>
              <w:top w:val="nil"/>
              <w:left w:val="nil"/>
              <w:bottom w:val="single" w:sz="4" w:space="0" w:color="auto"/>
              <w:right w:val="single" w:sz="4" w:space="0" w:color="auto"/>
            </w:tcBorders>
            <w:shd w:val="clear" w:color="000000" w:fill="FFFFFF"/>
            <w:hideMark/>
          </w:tcPr>
          <w:p w14:paraId="67E65F02" w14:textId="77777777" w:rsidR="00CF4CE3" w:rsidRPr="00FA100E" w:rsidRDefault="00CF4CE3" w:rsidP="00CF4CE3">
            <w:pPr>
              <w:spacing w:after="0" w:line="240" w:lineRule="auto"/>
              <w:jc w:val="center"/>
              <w:rPr>
                <w:rFonts w:ascii="Times New Roman" w:eastAsia="Times New Roman" w:hAnsi="Times New Roman" w:cs="Times New Roman"/>
                <w:sz w:val="16"/>
                <w:szCs w:val="16"/>
                <w:lang w:val="en-GB" w:eastAsia="en-GB"/>
              </w:rPr>
            </w:pPr>
            <w:r w:rsidRPr="00FA100E">
              <w:rPr>
                <w:rFonts w:ascii="Times New Roman" w:eastAsia="Times New Roman" w:hAnsi="Times New Roman" w:cs="Times New Roman"/>
                <w:sz w:val="16"/>
                <w:szCs w:val="16"/>
                <w:lang w:val="en-GB" w:eastAsia="en-GB"/>
              </w:rPr>
              <w:t>No</w:t>
            </w:r>
          </w:p>
        </w:tc>
        <w:tc>
          <w:tcPr>
            <w:tcW w:w="1225" w:type="dxa"/>
            <w:tcBorders>
              <w:top w:val="nil"/>
              <w:left w:val="nil"/>
              <w:bottom w:val="single" w:sz="4" w:space="0" w:color="auto"/>
              <w:right w:val="single" w:sz="4" w:space="0" w:color="auto"/>
            </w:tcBorders>
            <w:shd w:val="clear" w:color="000000" w:fill="FFFFFF"/>
            <w:hideMark/>
          </w:tcPr>
          <w:p w14:paraId="0BD7CFA2" w14:textId="77777777" w:rsidR="00CF4CE3" w:rsidRPr="00FA100E" w:rsidRDefault="00CF4CE3" w:rsidP="00CF4CE3">
            <w:pPr>
              <w:spacing w:after="0" w:line="240" w:lineRule="auto"/>
              <w:jc w:val="center"/>
              <w:rPr>
                <w:rFonts w:ascii="Times New Roman" w:eastAsia="Times New Roman" w:hAnsi="Times New Roman" w:cs="Times New Roman"/>
                <w:sz w:val="16"/>
                <w:szCs w:val="16"/>
                <w:lang w:val="en-GB" w:eastAsia="en-GB"/>
              </w:rPr>
            </w:pPr>
            <w:r w:rsidRPr="00FA100E">
              <w:rPr>
                <w:rFonts w:ascii="Times New Roman" w:eastAsia="Times New Roman" w:hAnsi="Times New Roman" w:cs="Times New Roman"/>
                <w:sz w:val="16"/>
                <w:szCs w:val="16"/>
                <w:lang w:val="en-GB" w:eastAsia="en-GB"/>
              </w:rPr>
              <w:t>Yes</w:t>
            </w:r>
          </w:p>
        </w:tc>
        <w:tc>
          <w:tcPr>
            <w:tcW w:w="1236" w:type="dxa"/>
            <w:tcBorders>
              <w:top w:val="nil"/>
              <w:left w:val="nil"/>
              <w:bottom w:val="single" w:sz="4" w:space="0" w:color="auto"/>
              <w:right w:val="single" w:sz="4" w:space="0" w:color="auto"/>
            </w:tcBorders>
            <w:shd w:val="clear" w:color="000000" w:fill="FFFFFF"/>
            <w:hideMark/>
          </w:tcPr>
          <w:p w14:paraId="71452FA6" w14:textId="77777777" w:rsidR="00CF4CE3" w:rsidRPr="00FA100E" w:rsidRDefault="00CF4CE3" w:rsidP="00CF4CE3">
            <w:pPr>
              <w:spacing w:after="0" w:line="240" w:lineRule="auto"/>
              <w:jc w:val="center"/>
              <w:rPr>
                <w:rFonts w:ascii="Times New Roman" w:eastAsia="Times New Roman" w:hAnsi="Times New Roman" w:cs="Times New Roman"/>
                <w:sz w:val="16"/>
                <w:szCs w:val="16"/>
                <w:lang w:val="en-GB" w:eastAsia="en-GB"/>
              </w:rPr>
            </w:pPr>
            <w:r w:rsidRPr="00FA100E">
              <w:rPr>
                <w:rFonts w:ascii="Times New Roman" w:eastAsia="Times New Roman" w:hAnsi="Times New Roman" w:cs="Times New Roman"/>
                <w:sz w:val="16"/>
                <w:szCs w:val="16"/>
                <w:lang w:val="en-GB" w:eastAsia="en-GB"/>
              </w:rPr>
              <w:t>Yes</w:t>
            </w:r>
          </w:p>
        </w:tc>
        <w:tc>
          <w:tcPr>
            <w:tcW w:w="1060" w:type="dxa"/>
            <w:tcBorders>
              <w:top w:val="nil"/>
              <w:left w:val="nil"/>
              <w:bottom w:val="single" w:sz="4" w:space="0" w:color="auto"/>
              <w:right w:val="single" w:sz="4" w:space="0" w:color="auto"/>
            </w:tcBorders>
            <w:shd w:val="clear" w:color="auto" w:fill="auto"/>
            <w:noWrap/>
            <w:hideMark/>
          </w:tcPr>
          <w:p w14:paraId="0641DD2F" w14:textId="77777777" w:rsidR="00CF4CE3" w:rsidRPr="00FA100E" w:rsidRDefault="00CF4CE3" w:rsidP="00CF4CE3">
            <w:pPr>
              <w:spacing w:after="0" w:line="240" w:lineRule="auto"/>
              <w:jc w:val="center"/>
              <w:rPr>
                <w:rFonts w:ascii="Times New Roman" w:eastAsia="Times New Roman" w:hAnsi="Times New Roman" w:cs="Times New Roman"/>
                <w:sz w:val="20"/>
                <w:szCs w:val="20"/>
                <w:lang w:val="en-GB" w:eastAsia="en-GB"/>
              </w:rPr>
            </w:pPr>
            <w:r w:rsidRPr="00FA100E">
              <w:rPr>
                <w:rFonts w:ascii="Times New Roman" w:eastAsia="Times New Roman" w:hAnsi="Times New Roman" w:cs="Times New Roman"/>
                <w:sz w:val="20"/>
                <w:szCs w:val="20"/>
                <w:lang w:val="en-GB" w:eastAsia="en-GB"/>
              </w:rPr>
              <w:t>7</w:t>
            </w:r>
          </w:p>
        </w:tc>
      </w:tr>
      <w:tr w:rsidR="00FA100E" w:rsidRPr="00FA100E" w14:paraId="79988490" w14:textId="77777777" w:rsidTr="00CF4CE3">
        <w:trPr>
          <w:trHeight w:val="390"/>
        </w:trPr>
        <w:tc>
          <w:tcPr>
            <w:tcW w:w="1881" w:type="dxa"/>
            <w:tcBorders>
              <w:top w:val="nil"/>
              <w:left w:val="single" w:sz="4" w:space="0" w:color="auto"/>
              <w:bottom w:val="single" w:sz="4" w:space="0" w:color="auto"/>
              <w:right w:val="single" w:sz="4" w:space="0" w:color="auto"/>
            </w:tcBorders>
            <w:shd w:val="clear" w:color="auto" w:fill="auto"/>
            <w:noWrap/>
            <w:hideMark/>
          </w:tcPr>
          <w:p w14:paraId="4A6D5466" w14:textId="77777777" w:rsidR="00CF4CE3" w:rsidRPr="00FA100E" w:rsidRDefault="00CF4CE3" w:rsidP="00CF4CE3">
            <w:pPr>
              <w:spacing w:after="0" w:line="240" w:lineRule="auto"/>
              <w:rPr>
                <w:rFonts w:ascii="Times New Roman" w:eastAsia="Times New Roman" w:hAnsi="Times New Roman" w:cs="Times New Roman"/>
                <w:sz w:val="16"/>
                <w:szCs w:val="16"/>
                <w:lang w:val="en-GB" w:eastAsia="en-GB"/>
              </w:rPr>
            </w:pPr>
            <w:r w:rsidRPr="00FA100E">
              <w:rPr>
                <w:rFonts w:ascii="Times New Roman" w:eastAsia="Times New Roman" w:hAnsi="Times New Roman" w:cs="Times New Roman"/>
                <w:sz w:val="16"/>
                <w:szCs w:val="16"/>
                <w:lang w:val="en-GB" w:eastAsia="en-GB"/>
              </w:rPr>
              <w:t>Yeung 2021</w:t>
            </w:r>
          </w:p>
        </w:tc>
        <w:tc>
          <w:tcPr>
            <w:tcW w:w="1220" w:type="dxa"/>
            <w:tcBorders>
              <w:top w:val="nil"/>
              <w:left w:val="nil"/>
              <w:bottom w:val="single" w:sz="4" w:space="0" w:color="auto"/>
              <w:right w:val="single" w:sz="4" w:space="0" w:color="auto"/>
            </w:tcBorders>
            <w:shd w:val="clear" w:color="000000" w:fill="FFFFFF"/>
            <w:hideMark/>
          </w:tcPr>
          <w:p w14:paraId="5F4B9A9B" w14:textId="77777777" w:rsidR="00CF4CE3" w:rsidRPr="00FA100E" w:rsidRDefault="00CF4CE3" w:rsidP="00CF4CE3">
            <w:pPr>
              <w:spacing w:after="0" w:line="240" w:lineRule="auto"/>
              <w:jc w:val="center"/>
              <w:rPr>
                <w:rFonts w:ascii="Times New Roman" w:eastAsia="Times New Roman" w:hAnsi="Times New Roman" w:cs="Times New Roman"/>
                <w:sz w:val="16"/>
                <w:szCs w:val="16"/>
                <w:lang w:val="en-GB" w:eastAsia="en-GB"/>
              </w:rPr>
            </w:pPr>
            <w:r w:rsidRPr="00FA100E">
              <w:rPr>
                <w:rFonts w:ascii="Times New Roman" w:eastAsia="Times New Roman" w:hAnsi="Times New Roman" w:cs="Times New Roman"/>
                <w:sz w:val="16"/>
                <w:szCs w:val="16"/>
                <w:lang w:val="en-GB" w:eastAsia="en-GB"/>
              </w:rPr>
              <w:t>Yes</w:t>
            </w:r>
          </w:p>
        </w:tc>
        <w:tc>
          <w:tcPr>
            <w:tcW w:w="1222" w:type="dxa"/>
            <w:tcBorders>
              <w:top w:val="nil"/>
              <w:left w:val="nil"/>
              <w:bottom w:val="single" w:sz="4" w:space="0" w:color="auto"/>
              <w:right w:val="single" w:sz="4" w:space="0" w:color="auto"/>
            </w:tcBorders>
            <w:shd w:val="clear" w:color="000000" w:fill="FFFFFF"/>
            <w:hideMark/>
          </w:tcPr>
          <w:p w14:paraId="72770612" w14:textId="77777777" w:rsidR="00CF4CE3" w:rsidRPr="00FA100E" w:rsidRDefault="00CF4CE3" w:rsidP="00CF4CE3">
            <w:pPr>
              <w:spacing w:after="0" w:line="240" w:lineRule="auto"/>
              <w:jc w:val="center"/>
              <w:rPr>
                <w:rFonts w:ascii="Times New Roman" w:eastAsia="Times New Roman" w:hAnsi="Times New Roman" w:cs="Times New Roman"/>
                <w:sz w:val="16"/>
                <w:szCs w:val="16"/>
                <w:lang w:val="en-GB" w:eastAsia="en-GB"/>
              </w:rPr>
            </w:pPr>
            <w:r w:rsidRPr="00FA100E">
              <w:rPr>
                <w:rFonts w:ascii="Times New Roman" w:eastAsia="Times New Roman" w:hAnsi="Times New Roman" w:cs="Times New Roman"/>
                <w:sz w:val="16"/>
                <w:szCs w:val="16"/>
                <w:lang w:val="en-GB" w:eastAsia="en-GB"/>
              </w:rPr>
              <w:t>Yes</w:t>
            </w:r>
          </w:p>
        </w:tc>
        <w:tc>
          <w:tcPr>
            <w:tcW w:w="1222" w:type="dxa"/>
            <w:tcBorders>
              <w:top w:val="nil"/>
              <w:left w:val="nil"/>
              <w:bottom w:val="single" w:sz="4" w:space="0" w:color="auto"/>
              <w:right w:val="single" w:sz="4" w:space="0" w:color="auto"/>
            </w:tcBorders>
            <w:shd w:val="clear" w:color="000000" w:fill="FFFFFF"/>
            <w:hideMark/>
          </w:tcPr>
          <w:p w14:paraId="5B30D19B" w14:textId="77777777" w:rsidR="00CF4CE3" w:rsidRPr="00FA100E" w:rsidRDefault="00CF4CE3" w:rsidP="00CF4CE3">
            <w:pPr>
              <w:spacing w:after="0" w:line="240" w:lineRule="auto"/>
              <w:jc w:val="center"/>
              <w:rPr>
                <w:rFonts w:ascii="Times New Roman" w:eastAsia="Times New Roman" w:hAnsi="Times New Roman" w:cs="Times New Roman"/>
                <w:sz w:val="16"/>
                <w:szCs w:val="16"/>
                <w:lang w:val="en-GB" w:eastAsia="en-GB"/>
              </w:rPr>
            </w:pPr>
            <w:r w:rsidRPr="00FA100E">
              <w:rPr>
                <w:rFonts w:ascii="Times New Roman" w:eastAsia="Times New Roman" w:hAnsi="Times New Roman" w:cs="Times New Roman"/>
                <w:sz w:val="16"/>
                <w:szCs w:val="16"/>
                <w:lang w:val="en-GB" w:eastAsia="en-GB"/>
              </w:rPr>
              <w:t>Yes</w:t>
            </w:r>
          </w:p>
        </w:tc>
        <w:tc>
          <w:tcPr>
            <w:tcW w:w="1543" w:type="dxa"/>
            <w:tcBorders>
              <w:top w:val="nil"/>
              <w:left w:val="nil"/>
              <w:bottom w:val="single" w:sz="4" w:space="0" w:color="auto"/>
              <w:right w:val="single" w:sz="4" w:space="0" w:color="auto"/>
            </w:tcBorders>
            <w:shd w:val="clear" w:color="000000" w:fill="FFFFFF"/>
            <w:hideMark/>
          </w:tcPr>
          <w:p w14:paraId="7AE604E4" w14:textId="77777777" w:rsidR="00CF4CE3" w:rsidRPr="00FA100E" w:rsidRDefault="00CF4CE3" w:rsidP="00CF4CE3">
            <w:pPr>
              <w:spacing w:after="0" w:line="240" w:lineRule="auto"/>
              <w:jc w:val="center"/>
              <w:rPr>
                <w:rFonts w:ascii="Times New Roman" w:eastAsia="Times New Roman" w:hAnsi="Times New Roman" w:cs="Times New Roman"/>
                <w:sz w:val="16"/>
                <w:szCs w:val="16"/>
                <w:lang w:val="en-GB" w:eastAsia="en-GB"/>
              </w:rPr>
            </w:pPr>
            <w:r w:rsidRPr="00FA100E">
              <w:rPr>
                <w:rFonts w:ascii="Times New Roman" w:eastAsia="Times New Roman" w:hAnsi="Times New Roman" w:cs="Times New Roman"/>
                <w:sz w:val="16"/>
                <w:szCs w:val="16"/>
                <w:lang w:val="en-GB" w:eastAsia="en-GB"/>
              </w:rPr>
              <w:t>Yes</w:t>
            </w:r>
          </w:p>
        </w:tc>
        <w:tc>
          <w:tcPr>
            <w:tcW w:w="1012" w:type="dxa"/>
            <w:tcBorders>
              <w:top w:val="nil"/>
              <w:left w:val="nil"/>
              <w:bottom w:val="single" w:sz="4" w:space="0" w:color="auto"/>
              <w:right w:val="single" w:sz="4" w:space="0" w:color="auto"/>
            </w:tcBorders>
            <w:shd w:val="clear" w:color="000000" w:fill="FFFFFF"/>
            <w:hideMark/>
          </w:tcPr>
          <w:p w14:paraId="65569A02" w14:textId="77777777" w:rsidR="00CF4CE3" w:rsidRPr="00FA100E" w:rsidRDefault="00CF4CE3" w:rsidP="00CF4CE3">
            <w:pPr>
              <w:spacing w:after="0" w:line="240" w:lineRule="auto"/>
              <w:jc w:val="center"/>
              <w:rPr>
                <w:rFonts w:ascii="Times New Roman" w:eastAsia="Times New Roman" w:hAnsi="Times New Roman" w:cs="Times New Roman"/>
                <w:sz w:val="16"/>
                <w:szCs w:val="16"/>
                <w:lang w:val="en-GB" w:eastAsia="en-GB"/>
              </w:rPr>
            </w:pPr>
            <w:r w:rsidRPr="00FA100E">
              <w:rPr>
                <w:rFonts w:ascii="Times New Roman" w:eastAsia="Times New Roman" w:hAnsi="Times New Roman" w:cs="Times New Roman"/>
                <w:sz w:val="16"/>
                <w:szCs w:val="16"/>
                <w:lang w:val="en-GB" w:eastAsia="en-GB"/>
              </w:rPr>
              <w:t>Yes</w:t>
            </w:r>
          </w:p>
        </w:tc>
        <w:tc>
          <w:tcPr>
            <w:tcW w:w="1239" w:type="dxa"/>
            <w:tcBorders>
              <w:top w:val="nil"/>
              <w:left w:val="nil"/>
              <w:bottom w:val="single" w:sz="4" w:space="0" w:color="auto"/>
              <w:right w:val="single" w:sz="4" w:space="0" w:color="auto"/>
            </w:tcBorders>
            <w:shd w:val="clear" w:color="000000" w:fill="FFFFFF"/>
            <w:hideMark/>
          </w:tcPr>
          <w:p w14:paraId="465F303E" w14:textId="77777777" w:rsidR="00CF4CE3" w:rsidRPr="00FA100E" w:rsidRDefault="00CF4CE3" w:rsidP="00CF4CE3">
            <w:pPr>
              <w:spacing w:after="0" w:line="240" w:lineRule="auto"/>
              <w:jc w:val="center"/>
              <w:rPr>
                <w:rFonts w:ascii="Times New Roman" w:eastAsia="Times New Roman" w:hAnsi="Times New Roman" w:cs="Times New Roman"/>
                <w:sz w:val="16"/>
                <w:szCs w:val="16"/>
                <w:lang w:val="en-GB" w:eastAsia="en-GB"/>
              </w:rPr>
            </w:pPr>
            <w:r w:rsidRPr="00FA100E">
              <w:rPr>
                <w:rFonts w:ascii="Times New Roman" w:eastAsia="Times New Roman" w:hAnsi="Times New Roman" w:cs="Times New Roman"/>
                <w:sz w:val="16"/>
                <w:szCs w:val="16"/>
                <w:lang w:val="en-GB" w:eastAsia="en-GB"/>
              </w:rPr>
              <w:t>No</w:t>
            </w:r>
          </w:p>
        </w:tc>
        <w:tc>
          <w:tcPr>
            <w:tcW w:w="1225" w:type="dxa"/>
            <w:tcBorders>
              <w:top w:val="nil"/>
              <w:left w:val="nil"/>
              <w:bottom w:val="single" w:sz="4" w:space="0" w:color="auto"/>
              <w:right w:val="single" w:sz="4" w:space="0" w:color="auto"/>
            </w:tcBorders>
            <w:shd w:val="clear" w:color="000000" w:fill="FFFFFF"/>
            <w:hideMark/>
          </w:tcPr>
          <w:p w14:paraId="4CCA9B7B" w14:textId="77777777" w:rsidR="00CF4CE3" w:rsidRPr="00FA100E" w:rsidRDefault="00CF4CE3" w:rsidP="00CF4CE3">
            <w:pPr>
              <w:spacing w:after="0" w:line="240" w:lineRule="auto"/>
              <w:jc w:val="center"/>
              <w:rPr>
                <w:rFonts w:ascii="Times New Roman" w:eastAsia="Times New Roman" w:hAnsi="Times New Roman" w:cs="Times New Roman"/>
                <w:sz w:val="16"/>
                <w:szCs w:val="16"/>
                <w:lang w:val="en-GB" w:eastAsia="en-GB"/>
              </w:rPr>
            </w:pPr>
            <w:r w:rsidRPr="00FA100E">
              <w:rPr>
                <w:rFonts w:ascii="Times New Roman" w:eastAsia="Times New Roman" w:hAnsi="Times New Roman" w:cs="Times New Roman"/>
                <w:sz w:val="16"/>
                <w:szCs w:val="16"/>
                <w:lang w:val="en-GB" w:eastAsia="en-GB"/>
              </w:rPr>
              <w:t>Yes</w:t>
            </w:r>
          </w:p>
        </w:tc>
        <w:tc>
          <w:tcPr>
            <w:tcW w:w="1236" w:type="dxa"/>
            <w:tcBorders>
              <w:top w:val="nil"/>
              <w:left w:val="nil"/>
              <w:bottom w:val="single" w:sz="4" w:space="0" w:color="auto"/>
              <w:right w:val="single" w:sz="4" w:space="0" w:color="auto"/>
            </w:tcBorders>
            <w:shd w:val="clear" w:color="000000" w:fill="FFFFFF"/>
            <w:hideMark/>
          </w:tcPr>
          <w:p w14:paraId="13BB992D" w14:textId="77777777" w:rsidR="00CF4CE3" w:rsidRPr="00FA100E" w:rsidRDefault="00CF4CE3" w:rsidP="00CF4CE3">
            <w:pPr>
              <w:spacing w:after="0" w:line="240" w:lineRule="auto"/>
              <w:jc w:val="center"/>
              <w:rPr>
                <w:rFonts w:ascii="Times New Roman" w:eastAsia="Times New Roman" w:hAnsi="Times New Roman" w:cs="Times New Roman"/>
                <w:sz w:val="16"/>
                <w:szCs w:val="16"/>
                <w:lang w:val="en-GB" w:eastAsia="en-GB"/>
              </w:rPr>
            </w:pPr>
            <w:r w:rsidRPr="00FA100E">
              <w:rPr>
                <w:rFonts w:ascii="Times New Roman" w:eastAsia="Times New Roman" w:hAnsi="Times New Roman" w:cs="Times New Roman"/>
                <w:sz w:val="16"/>
                <w:szCs w:val="16"/>
                <w:lang w:val="en-GB" w:eastAsia="en-GB"/>
              </w:rPr>
              <w:t>Yes</w:t>
            </w:r>
          </w:p>
        </w:tc>
        <w:tc>
          <w:tcPr>
            <w:tcW w:w="1060" w:type="dxa"/>
            <w:tcBorders>
              <w:top w:val="nil"/>
              <w:left w:val="nil"/>
              <w:bottom w:val="single" w:sz="4" w:space="0" w:color="auto"/>
              <w:right w:val="single" w:sz="4" w:space="0" w:color="auto"/>
            </w:tcBorders>
            <w:shd w:val="clear" w:color="auto" w:fill="auto"/>
            <w:noWrap/>
            <w:hideMark/>
          </w:tcPr>
          <w:p w14:paraId="1EEFFE82" w14:textId="77777777" w:rsidR="00CF4CE3" w:rsidRPr="00FA100E" w:rsidRDefault="00CF4CE3" w:rsidP="00CF4CE3">
            <w:pPr>
              <w:spacing w:after="0" w:line="240" w:lineRule="auto"/>
              <w:jc w:val="center"/>
              <w:rPr>
                <w:rFonts w:ascii="Times New Roman" w:eastAsia="Times New Roman" w:hAnsi="Times New Roman" w:cs="Times New Roman"/>
                <w:sz w:val="20"/>
                <w:szCs w:val="20"/>
                <w:lang w:val="en-GB" w:eastAsia="en-GB"/>
              </w:rPr>
            </w:pPr>
            <w:r w:rsidRPr="00FA100E">
              <w:rPr>
                <w:rFonts w:ascii="Times New Roman" w:eastAsia="Times New Roman" w:hAnsi="Times New Roman" w:cs="Times New Roman"/>
                <w:sz w:val="20"/>
                <w:szCs w:val="20"/>
                <w:lang w:val="en-GB" w:eastAsia="en-GB"/>
              </w:rPr>
              <w:t>7</w:t>
            </w:r>
          </w:p>
        </w:tc>
      </w:tr>
    </w:tbl>
    <w:p w14:paraId="3EE0FDED" w14:textId="75BAE9FC" w:rsidR="00CF4CE3" w:rsidRPr="00FA100E" w:rsidRDefault="00CF4CE3" w:rsidP="00844B84">
      <w:pPr>
        <w:pStyle w:val="Heading1"/>
        <w:rPr>
          <w:b w:val="0"/>
          <w:bCs w:val="0"/>
        </w:rPr>
        <w:sectPr w:rsidR="00CF4CE3" w:rsidRPr="00FA100E" w:rsidSect="00844B84">
          <w:pgSz w:w="16838" w:h="11906" w:orient="landscape"/>
          <w:pgMar w:top="142" w:right="1440" w:bottom="0" w:left="1440" w:header="708" w:footer="708" w:gutter="0"/>
          <w:pgNumType w:start="0"/>
          <w:cols w:space="708"/>
          <w:docGrid w:linePitch="360"/>
        </w:sectPr>
      </w:pPr>
    </w:p>
    <w:p w14:paraId="4616EFAD" w14:textId="4D481AA4" w:rsidR="00093F7E" w:rsidRPr="00FA100E" w:rsidRDefault="00EA0446">
      <w:pPr>
        <w:pStyle w:val="Heading1"/>
        <w:rPr>
          <w:rFonts w:ascii="Times New Roman" w:hAnsi="Times New Roman" w:cs="Times New Roman"/>
        </w:rPr>
      </w:pPr>
      <w:bookmarkStart w:id="16" w:name="_Toc128412293"/>
      <w:r w:rsidRPr="00FA100E">
        <w:t>S8. Summary of individual studies on the impacts of cannabis legalisation in Canada</w:t>
      </w:r>
      <w:bookmarkEnd w:id="16"/>
    </w:p>
    <w:tbl>
      <w:tblPr>
        <w:tblW w:w="1586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1"/>
        <w:gridCol w:w="2946"/>
        <w:gridCol w:w="2317"/>
        <w:gridCol w:w="1971"/>
        <w:gridCol w:w="1630"/>
        <w:gridCol w:w="948"/>
        <w:gridCol w:w="3926"/>
        <w:gridCol w:w="10"/>
      </w:tblGrid>
      <w:tr w:rsidR="00FA100E" w:rsidRPr="00FA100E" w14:paraId="3DC1263C" w14:textId="77777777" w:rsidTr="000C3DC1">
        <w:trPr>
          <w:gridAfter w:val="1"/>
          <w:wAfter w:w="10" w:type="dxa"/>
          <w:trHeight w:val="900"/>
        </w:trPr>
        <w:tc>
          <w:tcPr>
            <w:tcW w:w="2122" w:type="dxa"/>
            <w:shd w:val="clear" w:color="auto" w:fill="595959" w:themeFill="text1" w:themeFillTint="A6"/>
            <w:hideMark/>
          </w:tcPr>
          <w:p w14:paraId="7670713D" w14:textId="77777777" w:rsidR="00EA0446" w:rsidRPr="00FA100E" w:rsidRDefault="00EA0446" w:rsidP="000C3DC1">
            <w:pPr>
              <w:spacing w:after="0" w:line="240" w:lineRule="auto"/>
              <w:rPr>
                <w:rFonts w:ascii="Times New Roman" w:eastAsia="Times New Roman" w:hAnsi="Times New Roman" w:cs="Times New Roman"/>
                <w:b/>
                <w:sz w:val="22"/>
                <w:szCs w:val="22"/>
                <w:lang w:val="en-GB" w:eastAsia="en-GB"/>
              </w:rPr>
            </w:pPr>
            <w:r w:rsidRPr="00FA100E">
              <w:rPr>
                <w:rFonts w:ascii="Times New Roman" w:eastAsia="Times New Roman" w:hAnsi="Times New Roman" w:cs="Times New Roman"/>
                <w:b/>
                <w:sz w:val="22"/>
                <w:szCs w:val="22"/>
                <w:lang w:val="en-GB" w:eastAsia="en-GB"/>
              </w:rPr>
              <w:t>Study first author (year): aim [Quality]</w:t>
            </w:r>
          </w:p>
        </w:tc>
        <w:tc>
          <w:tcPr>
            <w:tcW w:w="2947" w:type="dxa"/>
            <w:shd w:val="clear" w:color="auto" w:fill="595959" w:themeFill="text1" w:themeFillTint="A6"/>
            <w:hideMark/>
          </w:tcPr>
          <w:p w14:paraId="52B52F57" w14:textId="77777777" w:rsidR="00EA0446" w:rsidRPr="00FA100E" w:rsidRDefault="00EA0446" w:rsidP="000C3DC1">
            <w:pPr>
              <w:spacing w:after="0" w:line="240" w:lineRule="auto"/>
              <w:rPr>
                <w:rFonts w:ascii="Times New Roman" w:eastAsia="Times New Roman" w:hAnsi="Times New Roman" w:cs="Times New Roman"/>
                <w:b/>
                <w:sz w:val="22"/>
                <w:szCs w:val="22"/>
                <w:lang w:val="en-GB" w:eastAsia="en-GB"/>
              </w:rPr>
            </w:pPr>
            <w:r w:rsidRPr="00FA100E">
              <w:rPr>
                <w:rFonts w:ascii="Times New Roman" w:eastAsia="Times New Roman" w:hAnsi="Times New Roman" w:cs="Times New Roman"/>
                <w:b/>
                <w:sz w:val="22"/>
                <w:szCs w:val="22"/>
                <w:lang w:val="en-GB" w:eastAsia="en-GB"/>
              </w:rPr>
              <w:t>Design &amp; Setting; year of data</w:t>
            </w:r>
          </w:p>
        </w:tc>
        <w:tc>
          <w:tcPr>
            <w:tcW w:w="2317" w:type="dxa"/>
            <w:shd w:val="clear" w:color="auto" w:fill="595959" w:themeFill="text1" w:themeFillTint="A6"/>
            <w:hideMark/>
          </w:tcPr>
          <w:p w14:paraId="0BE5F1F4" w14:textId="77777777" w:rsidR="00EA0446" w:rsidRPr="00FA100E" w:rsidRDefault="00EA0446" w:rsidP="000C3DC1">
            <w:pPr>
              <w:spacing w:after="0" w:line="240" w:lineRule="auto"/>
              <w:rPr>
                <w:rFonts w:ascii="Times New Roman" w:eastAsia="Times New Roman" w:hAnsi="Times New Roman" w:cs="Times New Roman"/>
                <w:b/>
                <w:sz w:val="22"/>
                <w:szCs w:val="22"/>
                <w:lang w:val="en-GB" w:eastAsia="en-GB"/>
              </w:rPr>
            </w:pPr>
            <w:r w:rsidRPr="00FA100E">
              <w:rPr>
                <w:rFonts w:ascii="Times New Roman" w:eastAsia="Times New Roman" w:hAnsi="Times New Roman" w:cs="Times New Roman"/>
                <w:b/>
                <w:sz w:val="22"/>
                <w:szCs w:val="22"/>
                <w:lang w:val="en-GB" w:eastAsia="en-GB"/>
              </w:rPr>
              <w:t>Outcome</w:t>
            </w:r>
          </w:p>
        </w:tc>
        <w:tc>
          <w:tcPr>
            <w:tcW w:w="1971" w:type="dxa"/>
            <w:shd w:val="clear" w:color="auto" w:fill="595959" w:themeFill="text1" w:themeFillTint="A6"/>
            <w:hideMark/>
          </w:tcPr>
          <w:p w14:paraId="0F7FCCD9" w14:textId="77777777" w:rsidR="00EA0446" w:rsidRPr="00FA100E" w:rsidRDefault="00EA0446" w:rsidP="000C3DC1">
            <w:pPr>
              <w:spacing w:after="0" w:line="240" w:lineRule="auto"/>
              <w:rPr>
                <w:rFonts w:ascii="Times New Roman" w:eastAsia="Times New Roman" w:hAnsi="Times New Roman" w:cs="Times New Roman"/>
                <w:b/>
                <w:sz w:val="22"/>
                <w:szCs w:val="22"/>
                <w:lang w:val="en-GB" w:eastAsia="en-GB"/>
              </w:rPr>
            </w:pPr>
            <w:r w:rsidRPr="00FA100E">
              <w:rPr>
                <w:rFonts w:ascii="Times New Roman" w:eastAsia="Times New Roman" w:hAnsi="Times New Roman" w:cs="Times New Roman"/>
                <w:b/>
                <w:sz w:val="22"/>
                <w:szCs w:val="22"/>
                <w:lang w:val="en-GB" w:eastAsia="en-GB"/>
              </w:rPr>
              <w:t>Measure</w:t>
            </w:r>
          </w:p>
        </w:tc>
        <w:tc>
          <w:tcPr>
            <w:tcW w:w="1627" w:type="dxa"/>
            <w:shd w:val="clear" w:color="auto" w:fill="595959" w:themeFill="text1" w:themeFillTint="A6"/>
            <w:hideMark/>
          </w:tcPr>
          <w:p w14:paraId="34E264F1" w14:textId="77777777" w:rsidR="00EA0446" w:rsidRPr="00FA100E" w:rsidRDefault="00EA0446" w:rsidP="000C3DC1">
            <w:pPr>
              <w:spacing w:after="0" w:line="240" w:lineRule="auto"/>
              <w:rPr>
                <w:rFonts w:ascii="Times New Roman" w:eastAsia="Times New Roman" w:hAnsi="Times New Roman" w:cs="Times New Roman"/>
                <w:b/>
                <w:sz w:val="22"/>
                <w:szCs w:val="22"/>
                <w:lang w:val="en-GB" w:eastAsia="en-GB"/>
              </w:rPr>
            </w:pPr>
            <w:r w:rsidRPr="00FA100E">
              <w:rPr>
                <w:rFonts w:ascii="Times New Roman" w:eastAsia="Times New Roman" w:hAnsi="Times New Roman" w:cs="Times New Roman"/>
                <w:b/>
                <w:sz w:val="22"/>
                <w:szCs w:val="22"/>
                <w:lang w:val="en-GB" w:eastAsia="en-GB"/>
              </w:rPr>
              <w:t>Estimates</w:t>
            </w:r>
          </w:p>
        </w:tc>
        <w:tc>
          <w:tcPr>
            <w:tcW w:w="948" w:type="dxa"/>
            <w:shd w:val="clear" w:color="auto" w:fill="595959" w:themeFill="text1" w:themeFillTint="A6"/>
            <w:hideMark/>
          </w:tcPr>
          <w:p w14:paraId="6C474FA9" w14:textId="77777777" w:rsidR="00EA0446" w:rsidRPr="00FA100E" w:rsidRDefault="00EA0446" w:rsidP="000C3DC1">
            <w:pPr>
              <w:spacing w:after="0" w:line="240" w:lineRule="auto"/>
              <w:rPr>
                <w:rFonts w:ascii="Times New Roman" w:eastAsia="Times New Roman" w:hAnsi="Times New Roman" w:cs="Times New Roman"/>
                <w:b/>
                <w:sz w:val="22"/>
                <w:szCs w:val="22"/>
                <w:lang w:val="en-GB" w:eastAsia="en-GB"/>
              </w:rPr>
            </w:pPr>
            <w:r w:rsidRPr="00FA100E">
              <w:rPr>
                <w:rFonts w:ascii="Times New Roman" w:eastAsia="Times New Roman" w:hAnsi="Times New Roman" w:cs="Times New Roman"/>
                <w:b/>
                <w:sz w:val="22"/>
                <w:szCs w:val="22"/>
                <w:lang w:val="en-GB" w:eastAsia="en-GB"/>
              </w:rPr>
              <w:t>Impact</w:t>
            </w:r>
          </w:p>
        </w:tc>
        <w:tc>
          <w:tcPr>
            <w:tcW w:w="3927" w:type="dxa"/>
            <w:shd w:val="clear" w:color="auto" w:fill="595959" w:themeFill="text1" w:themeFillTint="A6"/>
            <w:hideMark/>
          </w:tcPr>
          <w:p w14:paraId="06C7E5A2" w14:textId="77777777" w:rsidR="00EA0446" w:rsidRPr="00FA100E" w:rsidRDefault="00EA0446" w:rsidP="000C3DC1">
            <w:pPr>
              <w:spacing w:after="0" w:line="240" w:lineRule="auto"/>
              <w:rPr>
                <w:rFonts w:ascii="Times New Roman" w:eastAsia="Times New Roman" w:hAnsi="Times New Roman" w:cs="Times New Roman"/>
                <w:b/>
                <w:sz w:val="22"/>
                <w:szCs w:val="22"/>
                <w:lang w:val="en-GB" w:eastAsia="en-GB"/>
              </w:rPr>
            </w:pPr>
            <w:r w:rsidRPr="00FA100E">
              <w:rPr>
                <w:rFonts w:ascii="Times New Roman" w:eastAsia="Times New Roman" w:hAnsi="Times New Roman" w:cs="Times New Roman"/>
                <w:b/>
                <w:sz w:val="22"/>
                <w:szCs w:val="22"/>
                <w:lang w:val="en-GB" w:eastAsia="en-GB"/>
              </w:rPr>
              <w:t>Key results and conclusions</w:t>
            </w:r>
          </w:p>
        </w:tc>
      </w:tr>
      <w:tr w:rsidR="00FA100E" w:rsidRPr="00FA100E" w14:paraId="1C747544" w14:textId="77777777" w:rsidTr="000C3DC1">
        <w:trPr>
          <w:trHeight w:val="315"/>
        </w:trPr>
        <w:tc>
          <w:tcPr>
            <w:tcW w:w="15869" w:type="dxa"/>
            <w:gridSpan w:val="8"/>
            <w:shd w:val="clear" w:color="auto" w:fill="BFBFBF" w:themeFill="background1" w:themeFillShade="BF"/>
            <w:hideMark/>
          </w:tcPr>
          <w:p w14:paraId="35E48FFC" w14:textId="77777777" w:rsidR="00EA0446" w:rsidRPr="00FA100E" w:rsidRDefault="00EA0446" w:rsidP="000C3DC1">
            <w:pPr>
              <w:spacing w:after="0" w:line="240" w:lineRule="auto"/>
              <w:rPr>
                <w:rFonts w:ascii="Times New Roman" w:eastAsia="Times New Roman" w:hAnsi="Times New Roman" w:cs="Times New Roman"/>
                <w:b/>
                <w:sz w:val="22"/>
                <w:szCs w:val="22"/>
                <w:lang w:val="en-GB" w:eastAsia="en-GB"/>
              </w:rPr>
            </w:pPr>
            <w:r w:rsidRPr="00FA100E">
              <w:rPr>
                <w:rFonts w:ascii="Times New Roman" w:eastAsia="Times New Roman" w:hAnsi="Times New Roman" w:cs="Times New Roman"/>
                <w:b/>
                <w:sz w:val="22"/>
                <w:szCs w:val="22"/>
                <w:lang w:val="en-GB" w:eastAsia="en-GB"/>
              </w:rPr>
              <w:t>Cannabis-related arrests</w:t>
            </w:r>
          </w:p>
        </w:tc>
      </w:tr>
      <w:tr w:rsidR="00FA100E" w:rsidRPr="00FA100E" w14:paraId="7D3C6381" w14:textId="77777777" w:rsidTr="000C3DC1">
        <w:trPr>
          <w:gridAfter w:val="1"/>
          <w:wAfter w:w="10" w:type="dxa"/>
          <w:trHeight w:val="3600"/>
        </w:trPr>
        <w:tc>
          <w:tcPr>
            <w:tcW w:w="2122" w:type="dxa"/>
            <w:shd w:val="clear" w:color="auto" w:fill="F2F2F2" w:themeFill="background1" w:themeFillShade="F2"/>
            <w:hideMark/>
          </w:tcPr>
          <w:p w14:paraId="3AC36674"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Moreau (2022): To compare rates of police-reported crime statistics over time [Q=6]</w:t>
            </w:r>
          </w:p>
        </w:tc>
        <w:tc>
          <w:tcPr>
            <w:tcW w:w="2947" w:type="dxa"/>
            <w:shd w:val="clear" w:color="auto" w:fill="F2F2F2" w:themeFill="background1" w:themeFillShade="F2"/>
            <w:hideMark/>
          </w:tcPr>
          <w:p w14:paraId="753E452E"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Police-reported crime statistics, 1987-2019</w:t>
            </w:r>
          </w:p>
        </w:tc>
        <w:tc>
          <w:tcPr>
            <w:tcW w:w="2317" w:type="dxa"/>
            <w:shd w:val="clear" w:color="auto" w:fill="F2F2F2" w:themeFill="background1" w:themeFillShade="F2"/>
            <w:hideMark/>
          </w:tcPr>
          <w:p w14:paraId="70F0FC21"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Drug offence rate per 100k population</w:t>
            </w:r>
          </w:p>
        </w:tc>
        <w:tc>
          <w:tcPr>
            <w:tcW w:w="1971" w:type="dxa"/>
            <w:shd w:val="clear" w:color="auto" w:fill="F2F2F2" w:themeFill="background1" w:themeFillShade="F2"/>
            <w:hideMark/>
          </w:tcPr>
          <w:p w14:paraId="68057918"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Cannabis-related arrests per 100k</w:t>
            </w:r>
          </w:p>
        </w:tc>
        <w:tc>
          <w:tcPr>
            <w:tcW w:w="1627" w:type="dxa"/>
            <w:shd w:val="clear" w:color="auto" w:fill="F2F2F2" w:themeFill="background1" w:themeFillShade="F2"/>
            <w:hideMark/>
          </w:tcPr>
          <w:p w14:paraId="35037858"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&gt;200 in 2010;</w:t>
            </w:r>
          </w:p>
          <w:p w14:paraId="612C8DA6"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&lt;100 in 2017;</w:t>
            </w:r>
          </w:p>
          <w:p w14:paraId="054316AA"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&lt;50 in 2019</w:t>
            </w:r>
          </w:p>
        </w:tc>
        <w:tc>
          <w:tcPr>
            <w:tcW w:w="948" w:type="dxa"/>
            <w:shd w:val="clear" w:color="auto" w:fill="F2F2F2" w:themeFill="background1" w:themeFillShade="F2"/>
            <w:hideMark/>
          </w:tcPr>
          <w:p w14:paraId="79C926CF"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w:t>
            </w:r>
          </w:p>
        </w:tc>
        <w:tc>
          <w:tcPr>
            <w:tcW w:w="3927" w:type="dxa"/>
            <w:shd w:val="clear" w:color="auto" w:fill="F2F2F2" w:themeFill="background1" w:themeFillShade="F2"/>
            <w:hideMark/>
          </w:tcPr>
          <w:p w14:paraId="34E2D61A"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There was a sharp decline in the number of persons arrested for cannabis possession and use after the legalisation of adult use. The decline began before legalisation, which may be because police gave a lower priority to making arrests after legislation to legalise adult use passed in 2017.</w:t>
            </w:r>
          </w:p>
        </w:tc>
      </w:tr>
      <w:tr w:rsidR="00FA100E" w:rsidRPr="00FA100E" w14:paraId="0AAA85F5" w14:textId="77777777" w:rsidTr="000C3DC1">
        <w:trPr>
          <w:trHeight w:val="315"/>
        </w:trPr>
        <w:tc>
          <w:tcPr>
            <w:tcW w:w="15869" w:type="dxa"/>
            <w:gridSpan w:val="8"/>
            <w:shd w:val="clear" w:color="auto" w:fill="BFBFBF" w:themeFill="background1" w:themeFillShade="BF"/>
            <w:hideMark/>
          </w:tcPr>
          <w:p w14:paraId="10C257AF" w14:textId="77777777" w:rsidR="00EA0446" w:rsidRPr="00FA100E" w:rsidRDefault="00EA0446" w:rsidP="000C3DC1">
            <w:pPr>
              <w:spacing w:after="0" w:line="240" w:lineRule="auto"/>
              <w:rPr>
                <w:rFonts w:ascii="Times New Roman" w:eastAsia="Times New Roman" w:hAnsi="Times New Roman" w:cs="Times New Roman"/>
                <w:b/>
                <w:sz w:val="22"/>
                <w:szCs w:val="22"/>
                <w:lang w:val="en-GB" w:eastAsia="en-GB"/>
              </w:rPr>
            </w:pPr>
            <w:r w:rsidRPr="00FA100E">
              <w:rPr>
                <w:rFonts w:ascii="Times New Roman" w:eastAsia="Times New Roman" w:hAnsi="Times New Roman" w:cs="Times New Roman"/>
                <w:b/>
                <w:sz w:val="22"/>
                <w:szCs w:val="22"/>
                <w:lang w:val="en-GB" w:eastAsia="en-GB"/>
              </w:rPr>
              <w:t>Cannabis prices and markets</w:t>
            </w:r>
          </w:p>
        </w:tc>
      </w:tr>
      <w:tr w:rsidR="00FA100E" w:rsidRPr="00FA100E" w14:paraId="721561BB" w14:textId="77777777" w:rsidTr="000C3DC1">
        <w:trPr>
          <w:gridAfter w:val="1"/>
          <w:wAfter w:w="10" w:type="dxa"/>
          <w:trHeight w:val="600"/>
        </w:trPr>
        <w:tc>
          <w:tcPr>
            <w:tcW w:w="2122" w:type="dxa"/>
            <w:vMerge w:val="restart"/>
            <w:shd w:val="clear" w:color="auto" w:fill="auto"/>
            <w:hideMark/>
          </w:tcPr>
          <w:p w14:paraId="4AE1B004"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Fischer (2021): To summarise cannabis use and supply indicators pre- and post-legalisation in Canada [Q=6]</w:t>
            </w:r>
          </w:p>
        </w:tc>
        <w:tc>
          <w:tcPr>
            <w:tcW w:w="2947" w:type="dxa"/>
            <w:vMerge w:val="restart"/>
            <w:shd w:val="clear" w:color="auto" w:fill="auto"/>
            <w:hideMark/>
          </w:tcPr>
          <w:p w14:paraId="4F2A6324"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 xml:space="preserve">The National Cannabis Survey (NCS), household survey, aged 15+, N~12,000; 2018, 2019, 2020 </w:t>
            </w:r>
          </w:p>
        </w:tc>
        <w:tc>
          <w:tcPr>
            <w:tcW w:w="2317" w:type="dxa"/>
            <w:vMerge w:val="restart"/>
            <w:shd w:val="clear" w:color="auto" w:fill="auto"/>
            <w:hideMark/>
          </w:tcPr>
          <w:p w14:paraId="282A462E"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Cannabis sourcing from 2018 to 2019 to 2020</w:t>
            </w:r>
          </w:p>
        </w:tc>
        <w:tc>
          <w:tcPr>
            <w:tcW w:w="1971" w:type="dxa"/>
            <w:shd w:val="clear" w:color="auto" w:fill="auto"/>
            <w:hideMark/>
          </w:tcPr>
          <w:p w14:paraId="78D30DFA"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Obtained from illegal sources</w:t>
            </w:r>
          </w:p>
        </w:tc>
        <w:tc>
          <w:tcPr>
            <w:tcW w:w="1627" w:type="dxa"/>
            <w:shd w:val="clear" w:color="auto" w:fill="auto"/>
            <w:hideMark/>
          </w:tcPr>
          <w:p w14:paraId="53CC23A9"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 xml:space="preserve">2018=51.3% </w:t>
            </w:r>
          </w:p>
          <w:p w14:paraId="5980DD57"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 xml:space="preserve">2019=38.1% </w:t>
            </w:r>
          </w:p>
          <w:p w14:paraId="3FB82F5E"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2020=35.4%</w:t>
            </w:r>
          </w:p>
        </w:tc>
        <w:tc>
          <w:tcPr>
            <w:tcW w:w="948" w:type="dxa"/>
            <w:shd w:val="clear" w:color="auto" w:fill="auto"/>
            <w:hideMark/>
          </w:tcPr>
          <w:p w14:paraId="17FDFE0C"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w:t>
            </w:r>
          </w:p>
        </w:tc>
        <w:tc>
          <w:tcPr>
            <w:tcW w:w="3927" w:type="dxa"/>
            <w:vMerge w:val="restart"/>
            <w:shd w:val="clear" w:color="auto" w:fill="auto"/>
            <w:hideMark/>
          </w:tcPr>
          <w:p w14:paraId="0607BE1F"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In the NCS, obtaining cannabis from illegal sources or family and friends decreased, while obtaining from legal sources / growing cannabis increased.</w:t>
            </w:r>
          </w:p>
        </w:tc>
      </w:tr>
      <w:tr w:rsidR="00FA100E" w:rsidRPr="00FA100E" w14:paraId="1C4C4133" w14:textId="77777777" w:rsidTr="000C3DC1">
        <w:trPr>
          <w:gridAfter w:val="1"/>
          <w:wAfter w:w="10" w:type="dxa"/>
          <w:trHeight w:val="600"/>
        </w:trPr>
        <w:tc>
          <w:tcPr>
            <w:tcW w:w="2122" w:type="dxa"/>
            <w:vMerge/>
            <w:vAlign w:val="center"/>
            <w:hideMark/>
          </w:tcPr>
          <w:p w14:paraId="39534529"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p>
        </w:tc>
        <w:tc>
          <w:tcPr>
            <w:tcW w:w="2947" w:type="dxa"/>
            <w:vMerge/>
            <w:vAlign w:val="center"/>
            <w:hideMark/>
          </w:tcPr>
          <w:p w14:paraId="4A91040B"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p>
        </w:tc>
        <w:tc>
          <w:tcPr>
            <w:tcW w:w="2317" w:type="dxa"/>
            <w:vMerge/>
            <w:vAlign w:val="center"/>
            <w:hideMark/>
          </w:tcPr>
          <w:p w14:paraId="38550525"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p>
        </w:tc>
        <w:tc>
          <w:tcPr>
            <w:tcW w:w="1971" w:type="dxa"/>
            <w:shd w:val="clear" w:color="auto" w:fill="auto"/>
            <w:hideMark/>
          </w:tcPr>
          <w:p w14:paraId="30B32C8A"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Obtained from friends and family</w:t>
            </w:r>
          </w:p>
        </w:tc>
        <w:tc>
          <w:tcPr>
            <w:tcW w:w="1627" w:type="dxa"/>
            <w:shd w:val="clear" w:color="auto" w:fill="auto"/>
            <w:hideMark/>
          </w:tcPr>
          <w:p w14:paraId="64C08AA3"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 xml:space="preserve">2018=47% </w:t>
            </w:r>
          </w:p>
          <w:p w14:paraId="49938D9E"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 xml:space="preserve">2019=37% </w:t>
            </w:r>
          </w:p>
          <w:p w14:paraId="3CACD0A6"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2020=28.6%</w:t>
            </w:r>
          </w:p>
        </w:tc>
        <w:tc>
          <w:tcPr>
            <w:tcW w:w="948" w:type="dxa"/>
            <w:shd w:val="clear" w:color="auto" w:fill="auto"/>
            <w:hideMark/>
          </w:tcPr>
          <w:p w14:paraId="4CCD3982"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w:t>
            </w:r>
          </w:p>
        </w:tc>
        <w:tc>
          <w:tcPr>
            <w:tcW w:w="3927" w:type="dxa"/>
            <w:vMerge/>
            <w:vAlign w:val="center"/>
            <w:hideMark/>
          </w:tcPr>
          <w:p w14:paraId="78241BD2"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p>
        </w:tc>
      </w:tr>
      <w:tr w:rsidR="00FA100E" w:rsidRPr="00FA100E" w14:paraId="29FCEB55" w14:textId="77777777" w:rsidTr="000C3DC1">
        <w:trPr>
          <w:gridAfter w:val="1"/>
          <w:wAfter w:w="10" w:type="dxa"/>
          <w:trHeight w:val="600"/>
        </w:trPr>
        <w:tc>
          <w:tcPr>
            <w:tcW w:w="2122" w:type="dxa"/>
            <w:vMerge/>
            <w:vAlign w:val="center"/>
            <w:hideMark/>
          </w:tcPr>
          <w:p w14:paraId="346E0962"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p>
        </w:tc>
        <w:tc>
          <w:tcPr>
            <w:tcW w:w="2947" w:type="dxa"/>
            <w:vMerge/>
            <w:vAlign w:val="center"/>
            <w:hideMark/>
          </w:tcPr>
          <w:p w14:paraId="7C6AD5DB"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p>
        </w:tc>
        <w:tc>
          <w:tcPr>
            <w:tcW w:w="2317" w:type="dxa"/>
            <w:vMerge/>
            <w:vAlign w:val="center"/>
            <w:hideMark/>
          </w:tcPr>
          <w:p w14:paraId="299B29EC"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p>
        </w:tc>
        <w:tc>
          <w:tcPr>
            <w:tcW w:w="1971" w:type="dxa"/>
            <w:shd w:val="clear" w:color="auto" w:fill="auto"/>
            <w:hideMark/>
          </w:tcPr>
          <w:p w14:paraId="40A403D9"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Obtained from legal sources</w:t>
            </w:r>
          </w:p>
        </w:tc>
        <w:tc>
          <w:tcPr>
            <w:tcW w:w="1627" w:type="dxa"/>
            <w:shd w:val="clear" w:color="auto" w:fill="auto"/>
            <w:hideMark/>
          </w:tcPr>
          <w:p w14:paraId="6F346FC0"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 xml:space="preserve">2018=22.9% </w:t>
            </w:r>
          </w:p>
          <w:p w14:paraId="49B0035F"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 xml:space="preserve">2019=47.4% </w:t>
            </w:r>
          </w:p>
          <w:p w14:paraId="007E3FA3"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2020=68.4%</w:t>
            </w:r>
          </w:p>
        </w:tc>
        <w:tc>
          <w:tcPr>
            <w:tcW w:w="948" w:type="dxa"/>
            <w:shd w:val="clear" w:color="auto" w:fill="auto"/>
            <w:hideMark/>
          </w:tcPr>
          <w:p w14:paraId="065C07D1"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w:t>
            </w:r>
          </w:p>
        </w:tc>
        <w:tc>
          <w:tcPr>
            <w:tcW w:w="3927" w:type="dxa"/>
            <w:vMerge/>
            <w:vAlign w:val="center"/>
            <w:hideMark/>
          </w:tcPr>
          <w:p w14:paraId="13A487DD"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p>
        </w:tc>
      </w:tr>
      <w:tr w:rsidR="00FA100E" w:rsidRPr="00FA100E" w14:paraId="0D602062" w14:textId="77777777" w:rsidTr="000C3DC1">
        <w:trPr>
          <w:gridAfter w:val="1"/>
          <w:wAfter w:w="10" w:type="dxa"/>
          <w:trHeight w:val="274"/>
        </w:trPr>
        <w:tc>
          <w:tcPr>
            <w:tcW w:w="2122" w:type="dxa"/>
            <w:vMerge/>
            <w:vAlign w:val="center"/>
            <w:hideMark/>
          </w:tcPr>
          <w:p w14:paraId="66DCDF5E"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p>
        </w:tc>
        <w:tc>
          <w:tcPr>
            <w:tcW w:w="2947" w:type="dxa"/>
            <w:vMerge/>
            <w:vAlign w:val="center"/>
            <w:hideMark/>
          </w:tcPr>
          <w:p w14:paraId="4272141B"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p>
        </w:tc>
        <w:tc>
          <w:tcPr>
            <w:tcW w:w="2317" w:type="dxa"/>
            <w:vMerge/>
            <w:vAlign w:val="center"/>
            <w:hideMark/>
          </w:tcPr>
          <w:p w14:paraId="2D7A2C6C"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p>
        </w:tc>
        <w:tc>
          <w:tcPr>
            <w:tcW w:w="1971" w:type="dxa"/>
            <w:shd w:val="clear" w:color="auto" w:fill="auto"/>
            <w:hideMark/>
          </w:tcPr>
          <w:p w14:paraId="4306F231"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Grew own or had it grown for them</w:t>
            </w:r>
          </w:p>
        </w:tc>
        <w:tc>
          <w:tcPr>
            <w:tcW w:w="1627" w:type="dxa"/>
            <w:shd w:val="clear" w:color="auto" w:fill="auto"/>
            <w:hideMark/>
          </w:tcPr>
          <w:p w14:paraId="7C861C29"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 xml:space="preserve">2018=8% </w:t>
            </w:r>
          </w:p>
          <w:p w14:paraId="3FF35358"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 xml:space="preserve">2019=9% </w:t>
            </w:r>
          </w:p>
          <w:p w14:paraId="74D139F2"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2020=14.2%</w:t>
            </w:r>
          </w:p>
        </w:tc>
        <w:tc>
          <w:tcPr>
            <w:tcW w:w="948" w:type="dxa"/>
            <w:shd w:val="clear" w:color="auto" w:fill="auto"/>
            <w:hideMark/>
          </w:tcPr>
          <w:p w14:paraId="19A8F719"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w:t>
            </w:r>
          </w:p>
        </w:tc>
        <w:tc>
          <w:tcPr>
            <w:tcW w:w="3927" w:type="dxa"/>
            <w:vMerge/>
            <w:vAlign w:val="center"/>
            <w:hideMark/>
          </w:tcPr>
          <w:p w14:paraId="021C2911"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p>
        </w:tc>
      </w:tr>
      <w:tr w:rsidR="00FA100E" w:rsidRPr="00FA100E" w14:paraId="14D406BB" w14:textId="77777777" w:rsidTr="000C3DC1">
        <w:trPr>
          <w:gridAfter w:val="1"/>
          <w:wAfter w:w="10" w:type="dxa"/>
          <w:trHeight w:val="315"/>
        </w:trPr>
        <w:tc>
          <w:tcPr>
            <w:tcW w:w="2122" w:type="dxa"/>
            <w:vMerge/>
            <w:vAlign w:val="center"/>
            <w:hideMark/>
          </w:tcPr>
          <w:p w14:paraId="3BC713B7"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p>
        </w:tc>
        <w:tc>
          <w:tcPr>
            <w:tcW w:w="2947" w:type="dxa"/>
            <w:vMerge w:val="restart"/>
            <w:shd w:val="clear" w:color="auto" w:fill="auto"/>
            <w:hideMark/>
          </w:tcPr>
          <w:p w14:paraId="5F4C223B"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 xml:space="preserve">The Canadian Cannabis Survey (CCS), online survey, age 16+, N&gt;10,000; 2018, 2019, 2020 </w:t>
            </w:r>
          </w:p>
        </w:tc>
        <w:tc>
          <w:tcPr>
            <w:tcW w:w="2317" w:type="dxa"/>
            <w:vMerge/>
            <w:vAlign w:val="center"/>
            <w:hideMark/>
          </w:tcPr>
          <w:p w14:paraId="06CA079B"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p>
        </w:tc>
        <w:tc>
          <w:tcPr>
            <w:tcW w:w="1971" w:type="dxa"/>
            <w:shd w:val="clear" w:color="auto" w:fill="auto"/>
            <w:hideMark/>
          </w:tcPr>
          <w:p w14:paraId="0F927471"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Legal storefront</w:t>
            </w:r>
          </w:p>
        </w:tc>
        <w:tc>
          <w:tcPr>
            <w:tcW w:w="1627" w:type="dxa"/>
            <w:shd w:val="clear" w:color="auto" w:fill="auto"/>
            <w:hideMark/>
          </w:tcPr>
          <w:p w14:paraId="0089D032"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 xml:space="preserve">2018=24.5% </w:t>
            </w:r>
          </w:p>
          <w:p w14:paraId="4204CA08"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2020=40.6%</w:t>
            </w:r>
          </w:p>
        </w:tc>
        <w:tc>
          <w:tcPr>
            <w:tcW w:w="948" w:type="dxa"/>
            <w:shd w:val="clear" w:color="auto" w:fill="auto"/>
            <w:hideMark/>
          </w:tcPr>
          <w:p w14:paraId="4CC773C4"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w:t>
            </w:r>
          </w:p>
        </w:tc>
        <w:tc>
          <w:tcPr>
            <w:tcW w:w="3927" w:type="dxa"/>
            <w:vMerge w:val="restart"/>
            <w:shd w:val="clear" w:color="auto" w:fill="auto"/>
            <w:hideMark/>
          </w:tcPr>
          <w:p w14:paraId="1AB109DC"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In the CCS, sourcing cannabis from legal storefronts increased; sourcing from legal online source did not.</w:t>
            </w:r>
          </w:p>
        </w:tc>
      </w:tr>
      <w:tr w:rsidR="00FA100E" w:rsidRPr="00FA100E" w14:paraId="45154C27" w14:textId="77777777" w:rsidTr="000C3DC1">
        <w:trPr>
          <w:gridAfter w:val="1"/>
          <w:wAfter w:w="10" w:type="dxa"/>
          <w:trHeight w:val="315"/>
        </w:trPr>
        <w:tc>
          <w:tcPr>
            <w:tcW w:w="2122" w:type="dxa"/>
            <w:vMerge/>
            <w:vAlign w:val="center"/>
            <w:hideMark/>
          </w:tcPr>
          <w:p w14:paraId="2512E430"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p>
        </w:tc>
        <w:tc>
          <w:tcPr>
            <w:tcW w:w="2947" w:type="dxa"/>
            <w:vMerge/>
            <w:vAlign w:val="center"/>
            <w:hideMark/>
          </w:tcPr>
          <w:p w14:paraId="60C8DE60"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p>
        </w:tc>
        <w:tc>
          <w:tcPr>
            <w:tcW w:w="2317" w:type="dxa"/>
            <w:vMerge/>
            <w:vAlign w:val="center"/>
            <w:hideMark/>
          </w:tcPr>
          <w:p w14:paraId="1507FA05"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p>
        </w:tc>
        <w:tc>
          <w:tcPr>
            <w:tcW w:w="1971" w:type="dxa"/>
            <w:shd w:val="clear" w:color="auto" w:fill="auto"/>
            <w:hideMark/>
          </w:tcPr>
          <w:p w14:paraId="6E0F4FEE"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Legal online store</w:t>
            </w:r>
          </w:p>
        </w:tc>
        <w:tc>
          <w:tcPr>
            <w:tcW w:w="1627" w:type="dxa"/>
            <w:shd w:val="clear" w:color="auto" w:fill="auto"/>
            <w:hideMark/>
          </w:tcPr>
          <w:p w14:paraId="5C7A4D8D"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 xml:space="preserve">2018=12.8% </w:t>
            </w:r>
          </w:p>
          <w:p w14:paraId="5AFE103C"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2020=13.3%</w:t>
            </w:r>
          </w:p>
        </w:tc>
        <w:tc>
          <w:tcPr>
            <w:tcW w:w="948" w:type="dxa"/>
            <w:shd w:val="clear" w:color="auto" w:fill="auto"/>
            <w:hideMark/>
          </w:tcPr>
          <w:p w14:paraId="5FC1AADB"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ns</w:t>
            </w:r>
          </w:p>
        </w:tc>
        <w:tc>
          <w:tcPr>
            <w:tcW w:w="3927" w:type="dxa"/>
            <w:vMerge/>
            <w:vAlign w:val="center"/>
            <w:hideMark/>
          </w:tcPr>
          <w:p w14:paraId="23C48454"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p>
        </w:tc>
      </w:tr>
      <w:tr w:rsidR="00FA100E" w:rsidRPr="00FA100E" w14:paraId="189E78B3" w14:textId="77777777" w:rsidTr="000C3DC1">
        <w:trPr>
          <w:gridAfter w:val="1"/>
          <w:wAfter w:w="10" w:type="dxa"/>
          <w:trHeight w:val="1500"/>
        </w:trPr>
        <w:tc>
          <w:tcPr>
            <w:tcW w:w="2122" w:type="dxa"/>
            <w:vMerge/>
            <w:vAlign w:val="center"/>
            <w:hideMark/>
          </w:tcPr>
          <w:p w14:paraId="5D175280"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p>
        </w:tc>
        <w:tc>
          <w:tcPr>
            <w:tcW w:w="2947" w:type="dxa"/>
            <w:shd w:val="clear" w:color="auto" w:fill="auto"/>
            <w:hideMark/>
          </w:tcPr>
          <w:p w14:paraId="62C4ECA3"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 xml:space="preserve">The International Cannabis Policy Study (ICPS), web-based survey, age 16-65; 2018-2019 </w:t>
            </w:r>
          </w:p>
        </w:tc>
        <w:tc>
          <w:tcPr>
            <w:tcW w:w="2317" w:type="dxa"/>
            <w:vMerge/>
            <w:vAlign w:val="center"/>
            <w:hideMark/>
          </w:tcPr>
          <w:p w14:paraId="37B717E2"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p>
        </w:tc>
        <w:tc>
          <w:tcPr>
            <w:tcW w:w="1971" w:type="dxa"/>
            <w:shd w:val="clear" w:color="auto" w:fill="auto"/>
            <w:hideMark/>
          </w:tcPr>
          <w:p w14:paraId="061C1DCF"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Legal store</w:t>
            </w:r>
          </w:p>
        </w:tc>
        <w:tc>
          <w:tcPr>
            <w:tcW w:w="1627" w:type="dxa"/>
            <w:shd w:val="clear" w:color="auto" w:fill="auto"/>
            <w:hideMark/>
          </w:tcPr>
          <w:p w14:paraId="7FB04678"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2019=47.70%</w:t>
            </w:r>
          </w:p>
        </w:tc>
        <w:tc>
          <w:tcPr>
            <w:tcW w:w="948" w:type="dxa"/>
            <w:shd w:val="clear" w:color="auto" w:fill="auto"/>
            <w:hideMark/>
          </w:tcPr>
          <w:p w14:paraId="288C533F"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n/a</w:t>
            </w:r>
          </w:p>
        </w:tc>
        <w:tc>
          <w:tcPr>
            <w:tcW w:w="3927" w:type="dxa"/>
            <w:shd w:val="clear" w:color="auto" w:fill="auto"/>
            <w:hideMark/>
          </w:tcPr>
          <w:p w14:paraId="2A624FDC"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In fall 2019, 47.7% of Canadian adult purchasers of dried cannabis flower products purchased from a legal source.</w:t>
            </w:r>
          </w:p>
        </w:tc>
      </w:tr>
      <w:tr w:rsidR="00FA100E" w:rsidRPr="00FA100E" w14:paraId="76BE5759" w14:textId="77777777" w:rsidTr="000C3DC1">
        <w:trPr>
          <w:gridAfter w:val="1"/>
          <w:wAfter w:w="10" w:type="dxa"/>
          <w:trHeight w:val="315"/>
        </w:trPr>
        <w:tc>
          <w:tcPr>
            <w:tcW w:w="2122" w:type="dxa"/>
            <w:vMerge/>
            <w:vAlign w:val="center"/>
            <w:hideMark/>
          </w:tcPr>
          <w:p w14:paraId="12893356"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p>
        </w:tc>
        <w:tc>
          <w:tcPr>
            <w:tcW w:w="2947" w:type="dxa"/>
            <w:vMerge w:val="restart"/>
            <w:shd w:val="clear" w:color="auto" w:fill="auto"/>
            <w:hideMark/>
          </w:tcPr>
          <w:p w14:paraId="34832895"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 xml:space="preserve">The Canadian Student Tobacco, Alcohol, and Drugs Survey (CSTADS), students in grades 7-12 (ages 13-18), N~45,000; 2016/17, 2018/19 </w:t>
            </w:r>
          </w:p>
        </w:tc>
        <w:tc>
          <w:tcPr>
            <w:tcW w:w="2317" w:type="dxa"/>
            <w:vMerge/>
            <w:vAlign w:val="center"/>
            <w:hideMark/>
          </w:tcPr>
          <w:p w14:paraId="26B8BAC4"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p>
        </w:tc>
        <w:tc>
          <w:tcPr>
            <w:tcW w:w="1971" w:type="dxa"/>
            <w:shd w:val="clear" w:color="auto" w:fill="auto"/>
            <w:hideMark/>
          </w:tcPr>
          <w:p w14:paraId="17E1B47E"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Easy to obtain</w:t>
            </w:r>
          </w:p>
        </w:tc>
        <w:tc>
          <w:tcPr>
            <w:tcW w:w="1627" w:type="dxa"/>
            <w:shd w:val="clear" w:color="auto" w:fill="auto"/>
            <w:hideMark/>
          </w:tcPr>
          <w:p w14:paraId="48D5FD98"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 xml:space="preserve">2016/17=39% </w:t>
            </w:r>
          </w:p>
          <w:p w14:paraId="546E966C"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2018/19=40%</w:t>
            </w:r>
          </w:p>
        </w:tc>
        <w:tc>
          <w:tcPr>
            <w:tcW w:w="948" w:type="dxa"/>
            <w:shd w:val="clear" w:color="auto" w:fill="auto"/>
            <w:hideMark/>
          </w:tcPr>
          <w:p w14:paraId="318D7DC9"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ns</w:t>
            </w:r>
          </w:p>
        </w:tc>
        <w:tc>
          <w:tcPr>
            <w:tcW w:w="3927" w:type="dxa"/>
            <w:vMerge w:val="restart"/>
            <w:shd w:val="clear" w:color="auto" w:fill="auto"/>
            <w:hideMark/>
          </w:tcPr>
          <w:p w14:paraId="1C1F459D"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 xml:space="preserve">In CSTADS’ school students, reports that it would be easy to obtain cannabis remained stable; reports that it would be difficult to obtain cannabis decreased. </w:t>
            </w:r>
          </w:p>
        </w:tc>
      </w:tr>
      <w:tr w:rsidR="00FA100E" w:rsidRPr="00FA100E" w14:paraId="4E7FCEC8" w14:textId="77777777" w:rsidTr="000C3DC1">
        <w:trPr>
          <w:gridAfter w:val="1"/>
          <w:wAfter w:w="10" w:type="dxa"/>
          <w:trHeight w:val="315"/>
        </w:trPr>
        <w:tc>
          <w:tcPr>
            <w:tcW w:w="2122" w:type="dxa"/>
            <w:vMerge/>
            <w:vAlign w:val="center"/>
            <w:hideMark/>
          </w:tcPr>
          <w:p w14:paraId="7F29DDD3"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p>
        </w:tc>
        <w:tc>
          <w:tcPr>
            <w:tcW w:w="2947" w:type="dxa"/>
            <w:vMerge/>
            <w:vAlign w:val="center"/>
            <w:hideMark/>
          </w:tcPr>
          <w:p w14:paraId="042FE875"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p>
        </w:tc>
        <w:tc>
          <w:tcPr>
            <w:tcW w:w="2317" w:type="dxa"/>
            <w:vMerge/>
            <w:vAlign w:val="center"/>
            <w:hideMark/>
          </w:tcPr>
          <w:p w14:paraId="3CF58D45"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p>
        </w:tc>
        <w:tc>
          <w:tcPr>
            <w:tcW w:w="1971" w:type="dxa"/>
            <w:shd w:val="clear" w:color="auto" w:fill="auto"/>
            <w:hideMark/>
          </w:tcPr>
          <w:p w14:paraId="333975D2"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Difficult to obtain</w:t>
            </w:r>
          </w:p>
        </w:tc>
        <w:tc>
          <w:tcPr>
            <w:tcW w:w="1627" w:type="dxa"/>
            <w:shd w:val="clear" w:color="auto" w:fill="auto"/>
            <w:hideMark/>
          </w:tcPr>
          <w:p w14:paraId="3E69C664"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 xml:space="preserve">2016/17=46% </w:t>
            </w:r>
          </w:p>
          <w:p w14:paraId="7AECC0A4"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2018/19=42%</w:t>
            </w:r>
          </w:p>
        </w:tc>
        <w:tc>
          <w:tcPr>
            <w:tcW w:w="948" w:type="dxa"/>
            <w:shd w:val="clear" w:color="auto" w:fill="auto"/>
            <w:hideMark/>
          </w:tcPr>
          <w:p w14:paraId="67A75D5F"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w:t>
            </w:r>
          </w:p>
        </w:tc>
        <w:tc>
          <w:tcPr>
            <w:tcW w:w="3927" w:type="dxa"/>
            <w:vMerge/>
            <w:vAlign w:val="center"/>
            <w:hideMark/>
          </w:tcPr>
          <w:p w14:paraId="1AB5E0DA"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p>
        </w:tc>
      </w:tr>
      <w:tr w:rsidR="00FA100E" w:rsidRPr="00FA100E" w14:paraId="7132AB46" w14:textId="77777777" w:rsidTr="000C3DC1">
        <w:trPr>
          <w:gridAfter w:val="1"/>
          <w:wAfter w:w="10" w:type="dxa"/>
          <w:trHeight w:val="1500"/>
        </w:trPr>
        <w:tc>
          <w:tcPr>
            <w:tcW w:w="2122" w:type="dxa"/>
            <w:vMerge/>
            <w:vAlign w:val="center"/>
            <w:hideMark/>
          </w:tcPr>
          <w:p w14:paraId="182CA25B"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p>
        </w:tc>
        <w:tc>
          <w:tcPr>
            <w:tcW w:w="2947" w:type="dxa"/>
            <w:shd w:val="clear" w:color="auto" w:fill="auto"/>
            <w:hideMark/>
          </w:tcPr>
          <w:p w14:paraId="035D2C6B"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 xml:space="preserve">Ontario Cannabis Store (OCS); Q4/2018, Q4/2019, Q3/2020 </w:t>
            </w:r>
          </w:p>
        </w:tc>
        <w:tc>
          <w:tcPr>
            <w:tcW w:w="2317" w:type="dxa"/>
            <w:vMerge/>
            <w:vAlign w:val="center"/>
            <w:hideMark/>
          </w:tcPr>
          <w:p w14:paraId="287DB08E"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p>
        </w:tc>
        <w:tc>
          <w:tcPr>
            <w:tcW w:w="1971" w:type="dxa"/>
            <w:shd w:val="clear" w:color="auto" w:fill="auto"/>
            <w:hideMark/>
          </w:tcPr>
          <w:p w14:paraId="78EB0D73"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Sales from legal sources</w:t>
            </w:r>
          </w:p>
        </w:tc>
        <w:tc>
          <w:tcPr>
            <w:tcW w:w="1627" w:type="dxa"/>
            <w:shd w:val="clear" w:color="auto" w:fill="auto"/>
            <w:hideMark/>
          </w:tcPr>
          <w:p w14:paraId="6C6FFB1F"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 xml:space="preserve">2018=4.6% </w:t>
            </w:r>
          </w:p>
          <w:p w14:paraId="1F01C854"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 xml:space="preserve">2019=24.7% </w:t>
            </w:r>
          </w:p>
          <w:p w14:paraId="226EFFEE"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2020=40.3%</w:t>
            </w:r>
          </w:p>
        </w:tc>
        <w:tc>
          <w:tcPr>
            <w:tcW w:w="948" w:type="dxa"/>
            <w:shd w:val="clear" w:color="auto" w:fill="auto"/>
            <w:hideMark/>
          </w:tcPr>
          <w:p w14:paraId="175D16E5"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w:t>
            </w:r>
          </w:p>
        </w:tc>
        <w:tc>
          <w:tcPr>
            <w:tcW w:w="3927" w:type="dxa"/>
            <w:shd w:val="clear" w:color="auto" w:fill="auto"/>
            <w:hideMark/>
          </w:tcPr>
          <w:p w14:paraId="694402F7"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Cannabis market data from the OCS found that the share of cannabis sales from legal sources in Ontario increased.</w:t>
            </w:r>
          </w:p>
        </w:tc>
      </w:tr>
      <w:tr w:rsidR="00FA100E" w:rsidRPr="00FA100E" w14:paraId="31061C3B" w14:textId="77777777" w:rsidTr="000C3DC1">
        <w:trPr>
          <w:gridAfter w:val="1"/>
          <w:wAfter w:w="10" w:type="dxa"/>
          <w:trHeight w:val="1800"/>
        </w:trPr>
        <w:tc>
          <w:tcPr>
            <w:tcW w:w="2122" w:type="dxa"/>
            <w:vMerge w:val="restart"/>
            <w:shd w:val="clear" w:color="auto" w:fill="F2F2F2" w:themeFill="background1" w:themeFillShade="F2"/>
            <w:hideMark/>
          </w:tcPr>
          <w:p w14:paraId="3FE18BB3" w14:textId="41730557" w:rsidR="00EA0446" w:rsidRPr="00FA100E" w:rsidRDefault="00231A84"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Health</w:t>
            </w:r>
            <w:r w:rsidR="00EA0446" w:rsidRPr="00FA100E">
              <w:rPr>
                <w:rFonts w:ascii="Times New Roman" w:eastAsia="Times New Roman" w:hAnsi="Times New Roman" w:cs="Times New Roman"/>
                <w:sz w:val="22"/>
                <w:szCs w:val="22"/>
                <w:lang w:val="en-GB" w:eastAsia="en-GB"/>
              </w:rPr>
              <w:t xml:space="preserve"> Canada: To provide data for cannabis in the legal market [Q=7]</w:t>
            </w:r>
          </w:p>
        </w:tc>
        <w:tc>
          <w:tcPr>
            <w:tcW w:w="2947" w:type="dxa"/>
            <w:vMerge w:val="restart"/>
            <w:shd w:val="clear" w:color="auto" w:fill="F2F2F2" w:themeFill="background1" w:themeFillShade="F2"/>
            <w:hideMark/>
          </w:tcPr>
          <w:p w14:paraId="4AB921D3"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 xml:space="preserve">Cannabis market data; 2018-2021 </w:t>
            </w:r>
          </w:p>
        </w:tc>
        <w:tc>
          <w:tcPr>
            <w:tcW w:w="2317" w:type="dxa"/>
            <w:vMerge w:val="restart"/>
            <w:shd w:val="clear" w:color="auto" w:fill="F2F2F2" w:themeFill="background1" w:themeFillShade="F2"/>
            <w:hideMark/>
          </w:tcPr>
          <w:p w14:paraId="3B5386A7"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Market data</w:t>
            </w:r>
          </w:p>
        </w:tc>
        <w:tc>
          <w:tcPr>
            <w:tcW w:w="1971" w:type="dxa"/>
            <w:shd w:val="clear" w:color="auto" w:fill="F2F2F2" w:themeFill="background1" w:themeFillShade="F2"/>
            <w:hideMark/>
          </w:tcPr>
          <w:p w14:paraId="0E6176D5"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Number of legal cannabis stores</w:t>
            </w:r>
          </w:p>
        </w:tc>
        <w:tc>
          <w:tcPr>
            <w:tcW w:w="1627" w:type="dxa"/>
            <w:shd w:val="clear" w:color="auto" w:fill="F2F2F2" w:themeFill="background1" w:themeFillShade="F2"/>
            <w:hideMark/>
          </w:tcPr>
          <w:p w14:paraId="4C188BC4"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 xml:space="preserve">Alberta &gt;1 per 10k population; </w:t>
            </w:r>
            <w:r w:rsidRPr="00FA100E">
              <w:rPr>
                <w:rFonts w:ascii="Times New Roman" w:eastAsia="Times New Roman" w:hAnsi="Times New Roman" w:cs="Times New Roman"/>
                <w:sz w:val="22"/>
                <w:szCs w:val="22"/>
                <w:lang w:val="en-GB" w:eastAsia="en-GB"/>
              </w:rPr>
              <w:br/>
              <w:t xml:space="preserve">Other provinces 0-0.6; </w:t>
            </w:r>
            <w:r w:rsidRPr="00FA100E">
              <w:rPr>
                <w:rFonts w:ascii="Times New Roman" w:eastAsia="Times New Roman" w:hAnsi="Times New Roman" w:cs="Times New Roman"/>
                <w:sz w:val="22"/>
                <w:szCs w:val="22"/>
                <w:lang w:val="en-GB" w:eastAsia="en-GB"/>
              </w:rPr>
              <w:br/>
              <w:t>Yukon &amp; Northwest Territories &gt;3</w:t>
            </w:r>
          </w:p>
        </w:tc>
        <w:tc>
          <w:tcPr>
            <w:tcW w:w="948" w:type="dxa"/>
            <w:shd w:val="clear" w:color="auto" w:fill="F2F2F2" w:themeFill="background1" w:themeFillShade="F2"/>
            <w:hideMark/>
          </w:tcPr>
          <w:p w14:paraId="64B6B57E"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w:t>
            </w:r>
          </w:p>
        </w:tc>
        <w:tc>
          <w:tcPr>
            <w:tcW w:w="3927" w:type="dxa"/>
            <w:vMerge w:val="restart"/>
            <w:shd w:val="clear" w:color="auto" w:fill="F2F2F2" w:themeFill="background1" w:themeFillShade="F2"/>
            <w:hideMark/>
          </w:tcPr>
          <w:p w14:paraId="505D9410"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Alberta had the fastest rate of increase in the number of outlets that opened, other provinces initially licensed a small number and have not licenced many more since then. The volume of cannabis sales has steadily increased in all jurisdictions since legalisation.</w:t>
            </w:r>
          </w:p>
        </w:tc>
      </w:tr>
      <w:tr w:rsidR="00FA100E" w:rsidRPr="00FA100E" w14:paraId="6B13AC3C" w14:textId="77777777" w:rsidTr="000C3DC1">
        <w:trPr>
          <w:gridAfter w:val="1"/>
          <w:wAfter w:w="10" w:type="dxa"/>
          <w:trHeight w:val="600"/>
        </w:trPr>
        <w:tc>
          <w:tcPr>
            <w:tcW w:w="2122" w:type="dxa"/>
            <w:vMerge/>
            <w:vAlign w:val="center"/>
            <w:hideMark/>
          </w:tcPr>
          <w:p w14:paraId="5275C4EC"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p>
        </w:tc>
        <w:tc>
          <w:tcPr>
            <w:tcW w:w="2947" w:type="dxa"/>
            <w:vMerge/>
            <w:vAlign w:val="center"/>
            <w:hideMark/>
          </w:tcPr>
          <w:p w14:paraId="0B106223"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p>
        </w:tc>
        <w:tc>
          <w:tcPr>
            <w:tcW w:w="2317" w:type="dxa"/>
            <w:vMerge/>
            <w:vAlign w:val="center"/>
            <w:hideMark/>
          </w:tcPr>
          <w:p w14:paraId="0E91885F"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p>
        </w:tc>
        <w:tc>
          <w:tcPr>
            <w:tcW w:w="1971" w:type="dxa"/>
            <w:shd w:val="clear" w:color="auto" w:fill="F2F2F2" w:themeFill="background1" w:themeFillShade="F2"/>
            <w:hideMark/>
          </w:tcPr>
          <w:p w14:paraId="00296C13"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Cannabis Sales</w:t>
            </w:r>
          </w:p>
        </w:tc>
        <w:tc>
          <w:tcPr>
            <w:tcW w:w="1627" w:type="dxa"/>
            <w:shd w:val="clear" w:color="auto" w:fill="F2F2F2" w:themeFill="background1" w:themeFillShade="F2"/>
            <w:hideMark/>
          </w:tcPr>
          <w:p w14:paraId="5023B3EC"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 xml:space="preserve">2018=$0-$20 </w:t>
            </w:r>
          </w:p>
          <w:p w14:paraId="04BA4639"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2021=$15-$50 per capita</w:t>
            </w:r>
          </w:p>
        </w:tc>
        <w:tc>
          <w:tcPr>
            <w:tcW w:w="948" w:type="dxa"/>
            <w:shd w:val="clear" w:color="auto" w:fill="F2F2F2" w:themeFill="background1" w:themeFillShade="F2"/>
            <w:hideMark/>
          </w:tcPr>
          <w:p w14:paraId="7924A044"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w:t>
            </w:r>
          </w:p>
        </w:tc>
        <w:tc>
          <w:tcPr>
            <w:tcW w:w="3927" w:type="dxa"/>
            <w:vMerge/>
            <w:vAlign w:val="center"/>
            <w:hideMark/>
          </w:tcPr>
          <w:p w14:paraId="0D254D50"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p>
        </w:tc>
      </w:tr>
      <w:tr w:rsidR="00FA100E" w:rsidRPr="00FA100E" w14:paraId="48619E09" w14:textId="77777777" w:rsidTr="000C3DC1">
        <w:trPr>
          <w:gridAfter w:val="1"/>
          <w:wAfter w:w="10" w:type="dxa"/>
          <w:trHeight w:val="2117"/>
        </w:trPr>
        <w:tc>
          <w:tcPr>
            <w:tcW w:w="2122" w:type="dxa"/>
            <w:vMerge/>
            <w:vAlign w:val="center"/>
            <w:hideMark/>
          </w:tcPr>
          <w:p w14:paraId="6CC36026"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p>
        </w:tc>
        <w:tc>
          <w:tcPr>
            <w:tcW w:w="2947" w:type="dxa"/>
            <w:vMerge/>
            <w:vAlign w:val="center"/>
            <w:hideMark/>
          </w:tcPr>
          <w:p w14:paraId="1E4C7071"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p>
        </w:tc>
        <w:tc>
          <w:tcPr>
            <w:tcW w:w="2317" w:type="dxa"/>
            <w:vMerge/>
            <w:vAlign w:val="center"/>
            <w:hideMark/>
          </w:tcPr>
          <w:p w14:paraId="75826269"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p>
        </w:tc>
        <w:tc>
          <w:tcPr>
            <w:tcW w:w="1971" w:type="dxa"/>
            <w:shd w:val="clear" w:color="auto" w:fill="F2F2F2" w:themeFill="background1" w:themeFillShade="F2"/>
            <w:hideMark/>
          </w:tcPr>
          <w:p w14:paraId="26063B4D"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Cannabis prices</w:t>
            </w:r>
          </w:p>
        </w:tc>
        <w:tc>
          <w:tcPr>
            <w:tcW w:w="1627" w:type="dxa"/>
            <w:shd w:val="clear" w:color="auto" w:fill="F2F2F2" w:themeFill="background1" w:themeFillShade="F2"/>
            <w:hideMark/>
          </w:tcPr>
          <w:p w14:paraId="581DB4D7"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 xml:space="preserve">Quebec </w:t>
            </w:r>
          </w:p>
          <w:p w14:paraId="06AF7AF8"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 xml:space="preserve">2018=$7.9 </w:t>
            </w:r>
          </w:p>
          <w:p w14:paraId="150D2DED"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2019=$8.9 2021=$8.2</w:t>
            </w:r>
          </w:p>
          <w:p w14:paraId="35A7888F"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 xml:space="preserve">Other provinces 2018=$11.2 </w:t>
            </w:r>
          </w:p>
          <w:p w14:paraId="772E96E9"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2019=$8.2</w:t>
            </w:r>
          </w:p>
          <w:p w14:paraId="516054FD"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2021=$9.5</w:t>
            </w:r>
          </w:p>
        </w:tc>
        <w:tc>
          <w:tcPr>
            <w:tcW w:w="948" w:type="dxa"/>
            <w:shd w:val="clear" w:color="auto" w:fill="F2F2F2" w:themeFill="background1" w:themeFillShade="F2"/>
            <w:hideMark/>
          </w:tcPr>
          <w:p w14:paraId="77A960EC"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w:t>
            </w:r>
          </w:p>
        </w:tc>
        <w:tc>
          <w:tcPr>
            <w:tcW w:w="3927" w:type="dxa"/>
            <w:shd w:val="clear" w:color="auto" w:fill="F2F2F2" w:themeFill="background1" w:themeFillShade="F2"/>
            <w:hideMark/>
          </w:tcPr>
          <w:p w14:paraId="37F836F8"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Cannabis prices declined in the first two years after cannabis legalisation in most jurisdictions. Québec began selling cannabis in government stories at a much lower price then increased before declining in the second year of legalisation, which remained well below prices in other jurisdictions.</w:t>
            </w:r>
          </w:p>
        </w:tc>
      </w:tr>
      <w:tr w:rsidR="00FA100E" w:rsidRPr="00FA100E" w14:paraId="54CFC5A7" w14:textId="77777777" w:rsidTr="000C3DC1">
        <w:trPr>
          <w:gridAfter w:val="1"/>
          <w:wAfter w:w="10" w:type="dxa"/>
          <w:trHeight w:val="900"/>
        </w:trPr>
        <w:tc>
          <w:tcPr>
            <w:tcW w:w="2122" w:type="dxa"/>
            <w:vMerge/>
            <w:vAlign w:val="center"/>
            <w:hideMark/>
          </w:tcPr>
          <w:p w14:paraId="63F8A638"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p>
        </w:tc>
        <w:tc>
          <w:tcPr>
            <w:tcW w:w="2947" w:type="dxa"/>
            <w:vMerge/>
            <w:vAlign w:val="center"/>
            <w:hideMark/>
          </w:tcPr>
          <w:p w14:paraId="550DA236"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p>
        </w:tc>
        <w:tc>
          <w:tcPr>
            <w:tcW w:w="2317" w:type="dxa"/>
            <w:vMerge w:val="restart"/>
            <w:shd w:val="clear" w:color="auto" w:fill="F2F2F2" w:themeFill="background1" w:themeFillShade="F2"/>
            <w:hideMark/>
          </w:tcPr>
          <w:p w14:paraId="0714D2BA"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Proportion of sales (packaged units, % of total)</w:t>
            </w:r>
          </w:p>
        </w:tc>
        <w:tc>
          <w:tcPr>
            <w:tcW w:w="1971" w:type="dxa"/>
            <w:shd w:val="clear" w:color="auto" w:fill="F2F2F2" w:themeFill="background1" w:themeFillShade="F2"/>
            <w:hideMark/>
          </w:tcPr>
          <w:p w14:paraId="44E4ECA2"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Edibles</w:t>
            </w:r>
          </w:p>
        </w:tc>
        <w:tc>
          <w:tcPr>
            <w:tcW w:w="1627" w:type="dxa"/>
            <w:shd w:val="clear" w:color="auto" w:fill="F2F2F2" w:themeFill="background1" w:themeFillShade="F2"/>
            <w:hideMark/>
          </w:tcPr>
          <w:p w14:paraId="1D56CC22"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 xml:space="preserve">2018=1% </w:t>
            </w:r>
          </w:p>
          <w:p w14:paraId="25E2008E"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2021=20%</w:t>
            </w:r>
          </w:p>
        </w:tc>
        <w:tc>
          <w:tcPr>
            <w:tcW w:w="948" w:type="dxa"/>
            <w:shd w:val="clear" w:color="auto" w:fill="F2F2F2" w:themeFill="background1" w:themeFillShade="F2"/>
            <w:hideMark/>
          </w:tcPr>
          <w:p w14:paraId="6A3C1702"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w:t>
            </w:r>
          </w:p>
        </w:tc>
        <w:tc>
          <w:tcPr>
            <w:tcW w:w="3927" w:type="dxa"/>
            <w:vMerge w:val="restart"/>
            <w:shd w:val="clear" w:color="auto" w:fill="F2F2F2" w:themeFill="background1" w:themeFillShade="F2"/>
            <w:hideMark/>
          </w:tcPr>
          <w:p w14:paraId="1E4B9640"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Edibles and extracts have accounted for an increasing proportion of total cannabis sales nationally in the two years after their sales commenced.</w:t>
            </w:r>
          </w:p>
        </w:tc>
      </w:tr>
      <w:tr w:rsidR="00FA100E" w:rsidRPr="00FA100E" w14:paraId="5B4DB6BE" w14:textId="77777777" w:rsidTr="000C3DC1">
        <w:trPr>
          <w:gridAfter w:val="1"/>
          <w:wAfter w:w="10" w:type="dxa"/>
          <w:trHeight w:val="315"/>
        </w:trPr>
        <w:tc>
          <w:tcPr>
            <w:tcW w:w="2122" w:type="dxa"/>
            <w:vMerge/>
            <w:vAlign w:val="center"/>
            <w:hideMark/>
          </w:tcPr>
          <w:p w14:paraId="41DE7E8B"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p>
        </w:tc>
        <w:tc>
          <w:tcPr>
            <w:tcW w:w="2947" w:type="dxa"/>
            <w:vMerge/>
            <w:vAlign w:val="center"/>
            <w:hideMark/>
          </w:tcPr>
          <w:p w14:paraId="0FA98366"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p>
        </w:tc>
        <w:tc>
          <w:tcPr>
            <w:tcW w:w="2317" w:type="dxa"/>
            <w:vMerge/>
            <w:vAlign w:val="center"/>
            <w:hideMark/>
          </w:tcPr>
          <w:p w14:paraId="75229EEB"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p>
        </w:tc>
        <w:tc>
          <w:tcPr>
            <w:tcW w:w="1971" w:type="dxa"/>
            <w:shd w:val="clear" w:color="auto" w:fill="F2F2F2" w:themeFill="background1" w:themeFillShade="F2"/>
            <w:hideMark/>
          </w:tcPr>
          <w:p w14:paraId="4C37866C"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Extracts</w:t>
            </w:r>
          </w:p>
        </w:tc>
        <w:tc>
          <w:tcPr>
            <w:tcW w:w="1627" w:type="dxa"/>
            <w:shd w:val="clear" w:color="auto" w:fill="F2F2F2" w:themeFill="background1" w:themeFillShade="F2"/>
            <w:hideMark/>
          </w:tcPr>
          <w:p w14:paraId="092CAA30"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 xml:space="preserve">2018=&lt;10% </w:t>
            </w:r>
          </w:p>
          <w:p w14:paraId="1189BBD2"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2021=15%</w:t>
            </w:r>
          </w:p>
        </w:tc>
        <w:tc>
          <w:tcPr>
            <w:tcW w:w="948" w:type="dxa"/>
            <w:shd w:val="clear" w:color="auto" w:fill="F2F2F2" w:themeFill="background1" w:themeFillShade="F2"/>
            <w:hideMark/>
          </w:tcPr>
          <w:p w14:paraId="6BF72C98"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w:t>
            </w:r>
          </w:p>
        </w:tc>
        <w:tc>
          <w:tcPr>
            <w:tcW w:w="3927" w:type="dxa"/>
            <w:vMerge/>
            <w:vAlign w:val="center"/>
            <w:hideMark/>
          </w:tcPr>
          <w:p w14:paraId="0476C419"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p>
        </w:tc>
      </w:tr>
      <w:tr w:rsidR="00FA100E" w:rsidRPr="00FA100E" w14:paraId="3A6F4665" w14:textId="77777777" w:rsidTr="000C3DC1">
        <w:trPr>
          <w:gridAfter w:val="1"/>
          <w:wAfter w:w="10" w:type="dxa"/>
          <w:trHeight w:val="315"/>
        </w:trPr>
        <w:tc>
          <w:tcPr>
            <w:tcW w:w="2122" w:type="dxa"/>
            <w:vMerge/>
            <w:vAlign w:val="center"/>
            <w:hideMark/>
          </w:tcPr>
          <w:p w14:paraId="4F6871B0"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p>
        </w:tc>
        <w:tc>
          <w:tcPr>
            <w:tcW w:w="2947" w:type="dxa"/>
            <w:vMerge/>
            <w:vAlign w:val="center"/>
            <w:hideMark/>
          </w:tcPr>
          <w:p w14:paraId="74DE3E88"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p>
        </w:tc>
        <w:tc>
          <w:tcPr>
            <w:tcW w:w="2317" w:type="dxa"/>
            <w:vMerge/>
            <w:vAlign w:val="center"/>
            <w:hideMark/>
          </w:tcPr>
          <w:p w14:paraId="0D11E032"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p>
        </w:tc>
        <w:tc>
          <w:tcPr>
            <w:tcW w:w="1971" w:type="dxa"/>
            <w:shd w:val="clear" w:color="auto" w:fill="F2F2F2" w:themeFill="background1" w:themeFillShade="F2"/>
            <w:hideMark/>
          </w:tcPr>
          <w:p w14:paraId="01D28A27"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Flower</w:t>
            </w:r>
          </w:p>
        </w:tc>
        <w:tc>
          <w:tcPr>
            <w:tcW w:w="1627" w:type="dxa"/>
            <w:shd w:val="clear" w:color="auto" w:fill="F2F2F2" w:themeFill="background1" w:themeFillShade="F2"/>
            <w:hideMark/>
          </w:tcPr>
          <w:p w14:paraId="050A9F30"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 xml:space="preserve">2018=&gt;85% </w:t>
            </w:r>
          </w:p>
          <w:p w14:paraId="03899D94"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2021=65%</w:t>
            </w:r>
          </w:p>
        </w:tc>
        <w:tc>
          <w:tcPr>
            <w:tcW w:w="948" w:type="dxa"/>
            <w:shd w:val="clear" w:color="auto" w:fill="F2F2F2" w:themeFill="background1" w:themeFillShade="F2"/>
            <w:hideMark/>
          </w:tcPr>
          <w:p w14:paraId="516EF685"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w:t>
            </w:r>
          </w:p>
        </w:tc>
        <w:tc>
          <w:tcPr>
            <w:tcW w:w="3927" w:type="dxa"/>
            <w:vMerge/>
            <w:vAlign w:val="center"/>
            <w:hideMark/>
          </w:tcPr>
          <w:p w14:paraId="28F42D01"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p>
        </w:tc>
      </w:tr>
      <w:tr w:rsidR="00FA100E" w:rsidRPr="00FA100E" w14:paraId="7B31279B" w14:textId="77777777" w:rsidTr="000C3DC1">
        <w:trPr>
          <w:gridAfter w:val="1"/>
          <w:wAfter w:w="10" w:type="dxa"/>
          <w:trHeight w:val="900"/>
        </w:trPr>
        <w:tc>
          <w:tcPr>
            <w:tcW w:w="2122" w:type="dxa"/>
            <w:vMerge/>
            <w:vAlign w:val="center"/>
            <w:hideMark/>
          </w:tcPr>
          <w:p w14:paraId="59EC7206"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p>
        </w:tc>
        <w:tc>
          <w:tcPr>
            <w:tcW w:w="2947" w:type="dxa"/>
            <w:vMerge/>
            <w:vAlign w:val="center"/>
            <w:hideMark/>
          </w:tcPr>
          <w:p w14:paraId="5EDF2825"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p>
        </w:tc>
        <w:tc>
          <w:tcPr>
            <w:tcW w:w="2317" w:type="dxa"/>
            <w:vMerge w:val="restart"/>
            <w:shd w:val="clear" w:color="auto" w:fill="F2F2F2" w:themeFill="background1" w:themeFillShade="F2"/>
            <w:hideMark/>
          </w:tcPr>
          <w:p w14:paraId="3213F6B9"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Cannabis expenditure (Canadian dollars, million)</w:t>
            </w:r>
          </w:p>
        </w:tc>
        <w:tc>
          <w:tcPr>
            <w:tcW w:w="1971" w:type="dxa"/>
            <w:shd w:val="clear" w:color="auto" w:fill="F2F2F2" w:themeFill="background1" w:themeFillShade="F2"/>
            <w:hideMark/>
          </w:tcPr>
          <w:p w14:paraId="42ECE488"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Illegal market</w:t>
            </w:r>
          </w:p>
        </w:tc>
        <w:tc>
          <w:tcPr>
            <w:tcW w:w="1627" w:type="dxa"/>
            <w:shd w:val="clear" w:color="auto" w:fill="F2F2F2" w:themeFill="background1" w:themeFillShade="F2"/>
            <w:hideMark/>
          </w:tcPr>
          <w:p w14:paraId="150820A2"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2018=$1300</w:t>
            </w:r>
          </w:p>
          <w:p w14:paraId="73D8978D"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2021=$700</w:t>
            </w:r>
          </w:p>
        </w:tc>
        <w:tc>
          <w:tcPr>
            <w:tcW w:w="948" w:type="dxa"/>
            <w:shd w:val="clear" w:color="auto" w:fill="F2F2F2" w:themeFill="background1" w:themeFillShade="F2"/>
            <w:hideMark/>
          </w:tcPr>
          <w:p w14:paraId="573AFEF9"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w:t>
            </w:r>
          </w:p>
        </w:tc>
        <w:tc>
          <w:tcPr>
            <w:tcW w:w="3927" w:type="dxa"/>
            <w:vMerge w:val="restart"/>
            <w:shd w:val="clear" w:color="auto" w:fill="F2F2F2" w:themeFill="background1" w:themeFillShade="F2"/>
            <w:hideMark/>
          </w:tcPr>
          <w:p w14:paraId="0D546EF3"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Cannabis expenditure increased in the legal market, decreased in the illegal market, and remained very low in the medicinal market.</w:t>
            </w:r>
          </w:p>
        </w:tc>
      </w:tr>
      <w:tr w:rsidR="00FA100E" w:rsidRPr="00FA100E" w14:paraId="163D6EA3" w14:textId="77777777" w:rsidTr="000C3DC1">
        <w:trPr>
          <w:gridAfter w:val="1"/>
          <w:wAfter w:w="10" w:type="dxa"/>
          <w:trHeight w:val="315"/>
        </w:trPr>
        <w:tc>
          <w:tcPr>
            <w:tcW w:w="2122" w:type="dxa"/>
            <w:vMerge/>
            <w:vAlign w:val="center"/>
            <w:hideMark/>
          </w:tcPr>
          <w:p w14:paraId="27C96284"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p>
        </w:tc>
        <w:tc>
          <w:tcPr>
            <w:tcW w:w="2947" w:type="dxa"/>
            <w:vMerge/>
            <w:vAlign w:val="center"/>
            <w:hideMark/>
          </w:tcPr>
          <w:p w14:paraId="73D52982"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p>
        </w:tc>
        <w:tc>
          <w:tcPr>
            <w:tcW w:w="2317" w:type="dxa"/>
            <w:vMerge/>
            <w:vAlign w:val="center"/>
            <w:hideMark/>
          </w:tcPr>
          <w:p w14:paraId="53A64BF9"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p>
        </w:tc>
        <w:tc>
          <w:tcPr>
            <w:tcW w:w="1971" w:type="dxa"/>
            <w:shd w:val="clear" w:color="auto" w:fill="F2F2F2" w:themeFill="background1" w:themeFillShade="F2"/>
            <w:hideMark/>
          </w:tcPr>
          <w:p w14:paraId="2DBD7117"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Legal market</w:t>
            </w:r>
          </w:p>
        </w:tc>
        <w:tc>
          <w:tcPr>
            <w:tcW w:w="1627" w:type="dxa"/>
            <w:shd w:val="clear" w:color="auto" w:fill="F2F2F2" w:themeFill="background1" w:themeFillShade="F2"/>
            <w:hideMark/>
          </w:tcPr>
          <w:p w14:paraId="57A84CD5"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 xml:space="preserve">2018=$0 </w:t>
            </w:r>
          </w:p>
          <w:p w14:paraId="6E985A2C"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2021=$1250</w:t>
            </w:r>
          </w:p>
        </w:tc>
        <w:tc>
          <w:tcPr>
            <w:tcW w:w="948" w:type="dxa"/>
            <w:shd w:val="clear" w:color="auto" w:fill="F2F2F2" w:themeFill="background1" w:themeFillShade="F2"/>
            <w:hideMark/>
          </w:tcPr>
          <w:p w14:paraId="65C83F2C"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w:t>
            </w:r>
          </w:p>
        </w:tc>
        <w:tc>
          <w:tcPr>
            <w:tcW w:w="3927" w:type="dxa"/>
            <w:vMerge/>
            <w:vAlign w:val="center"/>
            <w:hideMark/>
          </w:tcPr>
          <w:p w14:paraId="4E2C581F"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p>
        </w:tc>
      </w:tr>
      <w:tr w:rsidR="00FA100E" w:rsidRPr="00FA100E" w14:paraId="027F9684" w14:textId="77777777" w:rsidTr="000C3DC1">
        <w:trPr>
          <w:gridAfter w:val="1"/>
          <w:wAfter w:w="10" w:type="dxa"/>
          <w:trHeight w:val="315"/>
        </w:trPr>
        <w:tc>
          <w:tcPr>
            <w:tcW w:w="2122" w:type="dxa"/>
            <w:vMerge/>
            <w:vAlign w:val="center"/>
            <w:hideMark/>
          </w:tcPr>
          <w:p w14:paraId="4DCA20BB"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p>
        </w:tc>
        <w:tc>
          <w:tcPr>
            <w:tcW w:w="2947" w:type="dxa"/>
            <w:vMerge/>
            <w:vAlign w:val="center"/>
            <w:hideMark/>
          </w:tcPr>
          <w:p w14:paraId="5E5684A4"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p>
        </w:tc>
        <w:tc>
          <w:tcPr>
            <w:tcW w:w="2317" w:type="dxa"/>
            <w:vMerge/>
            <w:vAlign w:val="center"/>
            <w:hideMark/>
          </w:tcPr>
          <w:p w14:paraId="382B7832"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p>
        </w:tc>
        <w:tc>
          <w:tcPr>
            <w:tcW w:w="1971" w:type="dxa"/>
            <w:shd w:val="clear" w:color="auto" w:fill="F2F2F2" w:themeFill="background1" w:themeFillShade="F2"/>
            <w:hideMark/>
          </w:tcPr>
          <w:p w14:paraId="76AEF03A"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Medicinal market</w:t>
            </w:r>
          </w:p>
        </w:tc>
        <w:tc>
          <w:tcPr>
            <w:tcW w:w="1627" w:type="dxa"/>
            <w:shd w:val="clear" w:color="auto" w:fill="F2F2F2" w:themeFill="background1" w:themeFillShade="F2"/>
            <w:hideMark/>
          </w:tcPr>
          <w:p w14:paraId="3042C7A6"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2018-21= ~$150</w:t>
            </w:r>
          </w:p>
        </w:tc>
        <w:tc>
          <w:tcPr>
            <w:tcW w:w="948" w:type="dxa"/>
            <w:shd w:val="clear" w:color="auto" w:fill="F2F2F2" w:themeFill="background1" w:themeFillShade="F2"/>
            <w:hideMark/>
          </w:tcPr>
          <w:p w14:paraId="0CF1F869"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ns</w:t>
            </w:r>
          </w:p>
        </w:tc>
        <w:tc>
          <w:tcPr>
            <w:tcW w:w="3927" w:type="dxa"/>
            <w:vMerge/>
            <w:vAlign w:val="center"/>
            <w:hideMark/>
          </w:tcPr>
          <w:p w14:paraId="39D38419"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p>
        </w:tc>
      </w:tr>
      <w:tr w:rsidR="00FA100E" w:rsidRPr="00FA100E" w14:paraId="5A4D602D" w14:textId="77777777" w:rsidTr="000C3DC1">
        <w:trPr>
          <w:trHeight w:val="315"/>
        </w:trPr>
        <w:tc>
          <w:tcPr>
            <w:tcW w:w="15869" w:type="dxa"/>
            <w:gridSpan w:val="8"/>
            <w:shd w:val="clear" w:color="auto" w:fill="BFBFBF" w:themeFill="background1" w:themeFillShade="BF"/>
            <w:hideMark/>
          </w:tcPr>
          <w:p w14:paraId="73BDFADA" w14:textId="77777777" w:rsidR="00EA0446" w:rsidRPr="00FA100E" w:rsidRDefault="00EA0446" w:rsidP="000C3DC1">
            <w:pPr>
              <w:spacing w:after="0" w:line="240" w:lineRule="auto"/>
              <w:rPr>
                <w:rFonts w:ascii="Times New Roman" w:eastAsia="Times New Roman" w:hAnsi="Times New Roman" w:cs="Times New Roman"/>
                <w:b/>
                <w:sz w:val="22"/>
                <w:szCs w:val="22"/>
                <w:lang w:val="en-GB" w:eastAsia="en-GB"/>
              </w:rPr>
            </w:pPr>
            <w:r w:rsidRPr="00FA100E">
              <w:rPr>
                <w:rFonts w:ascii="Times New Roman" w:eastAsia="Times New Roman" w:hAnsi="Times New Roman" w:cs="Times New Roman"/>
                <w:b/>
                <w:sz w:val="22"/>
                <w:szCs w:val="22"/>
                <w:lang w:val="en-GB" w:eastAsia="en-GB"/>
              </w:rPr>
              <w:t>Patterns of cannabis use</w:t>
            </w:r>
          </w:p>
        </w:tc>
      </w:tr>
      <w:tr w:rsidR="00FA100E" w:rsidRPr="00FA100E" w14:paraId="1B60294E" w14:textId="77777777" w:rsidTr="000C3DC1">
        <w:trPr>
          <w:gridAfter w:val="1"/>
          <w:wAfter w:w="10" w:type="dxa"/>
          <w:trHeight w:val="2100"/>
        </w:trPr>
        <w:tc>
          <w:tcPr>
            <w:tcW w:w="2122" w:type="dxa"/>
            <w:vMerge w:val="restart"/>
            <w:shd w:val="clear" w:color="auto" w:fill="FFFFFF" w:themeFill="background1"/>
            <w:hideMark/>
          </w:tcPr>
          <w:p w14:paraId="656F8D2A"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Fischer (2021): To summarise cannabis use and supply indicators pre- and post-legalisation in Canada [Q=6]</w:t>
            </w:r>
          </w:p>
        </w:tc>
        <w:tc>
          <w:tcPr>
            <w:tcW w:w="2947" w:type="dxa"/>
            <w:shd w:val="clear" w:color="auto" w:fill="FFFFFF" w:themeFill="background1"/>
            <w:hideMark/>
          </w:tcPr>
          <w:p w14:paraId="038776E7"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 xml:space="preserve">The National Cannabis Survey (NCS), household survey, aged 15+, N~12,000; 2018, 2019, 2020 </w:t>
            </w:r>
          </w:p>
        </w:tc>
        <w:tc>
          <w:tcPr>
            <w:tcW w:w="2317" w:type="dxa"/>
            <w:vMerge w:val="restart"/>
            <w:shd w:val="clear" w:color="auto" w:fill="FFFFFF" w:themeFill="background1"/>
            <w:hideMark/>
          </w:tcPr>
          <w:p w14:paraId="7EE92BF2"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Prevalence of cannabis use</w:t>
            </w:r>
          </w:p>
        </w:tc>
        <w:tc>
          <w:tcPr>
            <w:tcW w:w="1971" w:type="dxa"/>
            <w:shd w:val="clear" w:color="auto" w:fill="FFFFFF" w:themeFill="background1"/>
            <w:hideMark/>
          </w:tcPr>
          <w:p w14:paraId="5247CD50"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Cannabis use in past 3 months</w:t>
            </w:r>
          </w:p>
        </w:tc>
        <w:tc>
          <w:tcPr>
            <w:tcW w:w="1627" w:type="dxa"/>
            <w:shd w:val="clear" w:color="auto" w:fill="FFFFFF" w:themeFill="background1"/>
            <w:hideMark/>
          </w:tcPr>
          <w:p w14:paraId="279C4D35"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 xml:space="preserve">2018=14.9% </w:t>
            </w:r>
          </w:p>
          <w:p w14:paraId="324AA73F"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 xml:space="preserve">2019=16.8% </w:t>
            </w:r>
          </w:p>
          <w:p w14:paraId="74FEF02E"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2020=20%</w:t>
            </w:r>
          </w:p>
        </w:tc>
        <w:tc>
          <w:tcPr>
            <w:tcW w:w="948" w:type="dxa"/>
            <w:shd w:val="clear" w:color="auto" w:fill="FFFFFF" w:themeFill="background1"/>
            <w:hideMark/>
          </w:tcPr>
          <w:p w14:paraId="7350FBCF"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w:t>
            </w:r>
          </w:p>
        </w:tc>
        <w:tc>
          <w:tcPr>
            <w:tcW w:w="3927" w:type="dxa"/>
            <w:shd w:val="clear" w:color="auto" w:fill="FFFFFF" w:themeFill="background1"/>
            <w:hideMark/>
          </w:tcPr>
          <w:p w14:paraId="04D93202"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In the NCS, prevalence of cannabis use increased between 2018-2020; highest prevalence in young adults aged 18-24; no significant increase was observed in adolescents aged 15-17.</w:t>
            </w:r>
          </w:p>
        </w:tc>
      </w:tr>
      <w:tr w:rsidR="00FA100E" w:rsidRPr="00FA100E" w14:paraId="439BCA17" w14:textId="77777777" w:rsidTr="000C3DC1">
        <w:trPr>
          <w:gridAfter w:val="1"/>
          <w:wAfter w:w="10" w:type="dxa"/>
          <w:trHeight w:val="600"/>
        </w:trPr>
        <w:tc>
          <w:tcPr>
            <w:tcW w:w="2122" w:type="dxa"/>
            <w:vMerge/>
            <w:vAlign w:val="center"/>
            <w:hideMark/>
          </w:tcPr>
          <w:p w14:paraId="531D601D"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p>
        </w:tc>
        <w:tc>
          <w:tcPr>
            <w:tcW w:w="2947" w:type="dxa"/>
            <w:vMerge w:val="restart"/>
            <w:shd w:val="clear" w:color="auto" w:fill="FFFFFF" w:themeFill="background1"/>
            <w:hideMark/>
          </w:tcPr>
          <w:p w14:paraId="28FD1D04"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 xml:space="preserve">The Canadian Cannabis Survey (CCS), online survey, age 16+, N&gt;10,000; 2018, 2019, 2020 </w:t>
            </w:r>
          </w:p>
        </w:tc>
        <w:tc>
          <w:tcPr>
            <w:tcW w:w="2317" w:type="dxa"/>
            <w:vMerge/>
            <w:vAlign w:val="center"/>
            <w:hideMark/>
          </w:tcPr>
          <w:p w14:paraId="114EEC30"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p>
        </w:tc>
        <w:tc>
          <w:tcPr>
            <w:tcW w:w="1971" w:type="dxa"/>
            <w:vMerge w:val="restart"/>
            <w:shd w:val="clear" w:color="auto" w:fill="FFFFFF" w:themeFill="background1"/>
            <w:hideMark/>
          </w:tcPr>
          <w:p w14:paraId="1BC796BA"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Cannabis use in past year</w:t>
            </w:r>
          </w:p>
        </w:tc>
        <w:tc>
          <w:tcPr>
            <w:tcW w:w="1627" w:type="dxa"/>
            <w:shd w:val="clear" w:color="auto" w:fill="FFFFFF" w:themeFill="background1"/>
            <w:hideMark/>
          </w:tcPr>
          <w:p w14:paraId="52EE1444"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2018=21.9%</w:t>
            </w:r>
          </w:p>
          <w:p w14:paraId="128C6579"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2019=24.6%</w:t>
            </w:r>
          </w:p>
          <w:p w14:paraId="2F1D9498"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2020=26.9%</w:t>
            </w:r>
          </w:p>
        </w:tc>
        <w:tc>
          <w:tcPr>
            <w:tcW w:w="948" w:type="dxa"/>
            <w:shd w:val="clear" w:color="auto" w:fill="FFFFFF" w:themeFill="background1"/>
            <w:hideMark/>
          </w:tcPr>
          <w:p w14:paraId="1CDA698E"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w:t>
            </w:r>
          </w:p>
        </w:tc>
        <w:tc>
          <w:tcPr>
            <w:tcW w:w="3927" w:type="dxa"/>
            <w:vMerge w:val="restart"/>
            <w:shd w:val="clear" w:color="auto" w:fill="FFFFFF" w:themeFill="background1"/>
            <w:hideMark/>
          </w:tcPr>
          <w:p w14:paraId="02103A5E"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In the CCS, prevalence of cannabis use increased; highest prevalence in young adults aged 20-24; prevalence increased in those aged 16-19.</w:t>
            </w:r>
          </w:p>
        </w:tc>
      </w:tr>
      <w:tr w:rsidR="00FA100E" w:rsidRPr="00FA100E" w14:paraId="43B519E4" w14:textId="77777777" w:rsidTr="000C3DC1">
        <w:trPr>
          <w:gridAfter w:val="1"/>
          <w:wAfter w:w="10" w:type="dxa"/>
          <w:trHeight w:val="600"/>
        </w:trPr>
        <w:tc>
          <w:tcPr>
            <w:tcW w:w="2122" w:type="dxa"/>
            <w:vMerge/>
            <w:vAlign w:val="center"/>
            <w:hideMark/>
          </w:tcPr>
          <w:p w14:paraId="4AA4B910"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p>
        </w:tc>
        <w:tc>
          <w:tcPr>
            <w:tcW w:w="2947" w:type="dxa"/>
            <w:vMerge/>
            <w:vAlign w:val="center"/>
            <w:hideMark/>
          </w:tcPr>
          <w:p w14:paraId="2C5C6A17"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p>
        </w:tc>
        <w:tc>
          <w:tcPr>
            <w:tcW w:w="2317" w:type="dxa"/>
            <w:vMerge/>
            <w:vAlign w:val="center"/>
            <w:hideMark/>
          </w:tcPr>
          <w:p w14:paraId="705EAE92"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p>
        </w:tc>
        <w:tc>
          <w:tcPr>
            <w:tcW w:w="1971" w:type="dxa"/>
            <w:vMerge/>
            <w:vAlign w:val="center"/>
            <w:hideMark/>
          </w:tcPr>
          <w:p w14:paraId="7B5C1C68"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p>
        </w:tc>
        <w:tc>
          <w:tcPr>
            <w:tcW w:w="1627" w:type="dxa"/>
            <w:shd w:val="clear" w:color="auto" w:fill="FFFFFF" w:themeFill="background1"/>
            <w:hideMark/>
          </w:tcPr>
          <w:p w14:paraId="17BACE46"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 xml:space="preserve">2018=5.5% </w:t>
            </w:r>
          </w:p>
          <w:p w14:paraId="74881D15"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2020=7% in aged 13-15</w:t>
            </w:r>
          </w:p>
        </w:tc>
        <w:tc>
          <w:tcPr>
            <w:tcW w:w="948" w:type="dxa"/>
            <w:shd w:val="clear" w:color="auto" w:fill="FFFFFF" w:themeFill="background1"/>
            <w:hideMark/>
          </w:tcPr>
          <w:p w14:paraId="24D09DAD"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w:t>
            </w:r>
          </w:p>
        </w:tc>
        <w:tc>
          <w:tcPr>
            <w:tcW w:w="3927" w:type="dxa"/>
            <w:vMerge/>
            <w:vAlign w:val="center"/>
            <w:hideMark/>
          </w:tcPr>
          <w:p w14:paraId="723DB0D0"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p>
        </w:tc>
      </w:tr>
      <w:tr w:rsidR="00FA100E" w:rsidRPr="00FA100E" w14:paraId="126F622F" w14:textId="77777777" w:rsidTr="000C3DC1">
        <w:trPr>
          <w:gridAfter w:val="1"/>
          <w:wAfter w:w="10" w:type="dxa"/>
          <w:trHeight w:val="1500"/>
        </w:trPr>
        <w:tc>
          <w:tcPr>
            <w:tcW w:w="2122" w:type="dxa"/>
            <w:vMerge/>
            <w:vAlign w:val="center"/>
            <w:hideMark/>
          </w:tcPr>
          <w:p w14:paraId="15AF2343"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p>
        </w:tc>
        <w:tc>
          <w:tcPr>
            <w:tcW w:w="2947" w:type="dxa"/>
            <w:shd w:val="clear" w:color="auto" w:fill="FFFFFF" w:themeFill="background1"/>
            <w:hideMark/>
          </w:tcPr>
          <w:p w14:paraId="7AE8763C"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 xml:space="preserve">The Canadian Student Tobacco, Alcohol, and Drugs Survey (CSTADS), students in grades 7-12 (ages 13-18), N~45,000; 2016/17, 2018/19 </w:t>
            </w:r>
          </w:p>
        </w:tc>
        <w:tc>
          <w:tcPr>
            <w:tcW w:w="2317" w:type="dxa"/>
            <w:vMerge/>
            <w:vAlign w:val="center"/>
            <w:hideMark/>
          </w:tcPr>
          <w:p w14:paraId="430CE524"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p>
        </w:tc>
        <w:tc>
          <w:tcPr>
            <w:tcW w:w="1971" w:type="dxa"/>
            <w:shd w:val="clear" w:color="auto" w:fill="FFFFFF" w:themeFill="background1"/>
            <w:hideMark/>
          </w:tcPr>
          <w:p w14:paraId="60BF6DF8"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Cannabis use in past year</w:t>
            </w:r>
          </w:p>
        </w:tc>
        <w:tc>
          <w:tcPr>
            <w:tcW w:w="1627" w:type="dxa"/>
            <w:shd w:val="clear" w:color="auto" w:fill="FFFFFF" w:themeFill="background1"/>
            <w:hideMark/>
          </w:tcPr>
          <w:p w14:paraId="2AEA9F68"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 xml:space="preserve">2016/17=27.8% </w:t>
            </w:r>
          </w:p>
          <w:p w14:paraId="05F22A3B"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2018/19=29.4%</w:t>
            </w:r>
          </w:p>
          <w:p w14:paraId="364ADDEB"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in grades 10-12</w:t>
            </w:r>
          </w:p>
        </w:tc>
        <w:tc>
          <w:tcPr>
            <w:tcW w:w="948" w:type="dxa"/>
            <w:shd w:val="clear" w:color="auto" w:fill="FFFFFF" w:themeFill="background1"/>
            <w:hideMark/>
          </w:tcPr>
          <w:p w14:paraId="71305AF5"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ns</w:t>
            </w:r>
          </w:p>
        </w:tc>
        <w:tc>
          <w:tcPr>
            <w:tcW w:w="3927" w:type="dxa"/>
            <w:shd w:val="clear" w:color="auto" w:fill="FFFFFF" w:themeFill="background1"/>
            <w:hideMark/>
          </w:tcPr>
          <w:p w14:paraId="671E59FE"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In the CSTADS, past year cannabis use increased in grades 7-9, but did not increase significantly in grades 10-12.</w:t>
            </w:r>
          </w:p>
        </w:tc>
      </w:tr>
      <w:tr w:rsidR="00FA100E" w:rsidRPr="00FA100E" w14:paraId="4ABA2C54" w14:textId="77777777" w:rsidTr="000C3DC1">
        <w:trPr>
          <w:gridAfter w:val="1"/>
          <w:wAfter w:w="10" w:type="dxa"/>
          <w:trHeight w:val="1800"/>
        </w:trPr>
        <w:tc>
          <w:tcPr>
            <w:tcW w:w="2122" w:type="dxa"/>
            <w:vMerge/>
            <w:vAlign w:val="center"/>
            <w:hideMark/>
          </w:tcPr>
          <w:p w14:paraId="561650AE"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p>
        </w:tc>
        <w:tc>
          <w:tcPr>
            <w:tcW w:w="2947" w:type="dxa"/>
            <w:shd w:val="clear" w:color="auto" w:fill="FFFFFF" w:themeFill="background1"/>
            <w:hideMark/>
          </w:tcPr>
          <w:p w14:paraId="3122187A"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 xml:space="preserve">The Centre for Addiction and Mental Health (CAMH) Monitor, telephone-interview cross-sectional household survey, age 18+ in Ontario; 2017, 2019 </w:t>
            </w:r>
          </w:p>
        </w:tc>
        <w:tc>
          <w:tcPr>
            <w:tcW w:w="2317" w:type="dxa"/>
            <w:vMerge/>
            <w:vAlign w:val="center"/>
            <w:hideMark/>
          </w:tcPr>
          <w:p w14:paraId="0411BE11"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p>
        </w:tc>
        <w:tc>
          <w:tcPr>
            <w:tcW w:w="1971" w:type="dxa"/>
            <w:shd w:val="clear" w:color="auto" w:fill="FFFFFF" w:themeFill="background1"/>
            <w:hideMark/>
          </w:tcPr>
          <w:p w14:paraId="37B53910"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Cannabis use in past year</w:t>
            </w:r>
          </w:p>
        </w:tc>
        <w:tc>
          <w:tcPr>
            <w:tcW w:w="1627" w:type="dxa"/>
            <w:shd w:val="clear" w:color="auto" w:fill="FFFFFF" w:themeFill="background1"/>
            <w:hideMark/>
          </w:tcPr>
          <w:p w14:paraId="3E5AFF11"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 xml:space="preserve">2017=19.4% </w:t>
            </w:r>
          </w:p>
          <w:p w14:paraId="43F80A5D"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2019=25.6%</w:t>
            </w:r>
          </w:p>
        </w:tc>
        <w:tc>
          <w:tcPr>
            <w:tcW w:w="948" w:type="dxa"/>
            <w:shd w:val="clear" w:color="auto" w:fill="FFFFFF" w:themeFill="background1"/>
            <w:hideMark/>
          </w:tcPr>
          <w:p w14:paraId="1DB26DCD"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w:t>
            </w:r>
          </w:p>
        </w:tc>
        <w:tc>
          <w:tcPr>
            <w:tcW w:w="3927" w:type="dxa"/>
            <w:shd w:val="clear" w:color="auto" w:fill="FFFFFF" w:themeFill="background1"/>
            <w:hideMark/>
          </w:tcPr>
          <w:p w14:paraId="612B070B"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In the CAMH Monitor, prevalence of past year cannabis use increased; highest prevalence was in young adults aged 18-29.</w:t>
            </w:r>
          </w:p>
        </w:tc>
      </w:tr>
      <w:tr w:rsidR="00FA100E" w:rsidRPr="00FA100E" w14:paraId="76F3485A" w14:textId="77777777" w:rsidTr="000C3DC1">
        <w:trPr>
          <w:gridAfter w:val="1"/>
          <w:wAfter w:w="10" w:type="dxa"/>
          <w:trHeight w:val="1200"/>
        </w:trPr>
        <w:tc>
          <w:tcPr>
            <w:tcW w:w="2122" w:type="dxa"/>
            <w:vMerge/>
            <w:vAlign w:val="center"/>
            <w:hideMark/>
          </w:tcPr>
          <w:p w14:paraId="63436B9B"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p>
        </w:tc>
        <w:tc>
          <w:tcPr>
            <w:tcW w:w="2947" w:type="dxa"/>
            <w:shd w:val="clear" w:color="auto" w:fill="FFFFFF" w:themeFill="background1"/>
            <w:hideMark/>
          </w:tcPr>
          <w:p w14:paraId="2C83F206"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 xml:space="preserve">The National Cannabis Survey (NCS), household survey, aged 15+; N~12,000; 2018, 2019, 2020 </w:t>
            </w:r>
          </w:p>
        </w:tc>
        <w:tc>
          <w:tcPr>
            <w:tcW w:w="2317" w:type="dxa"/>
            <w:vMerge w:val="restart"/>
            <w:shd w:val="clear" w:color="auto" w:fill="FFFFFF" w:themeFill="background1"/>
            <w:hideMark/>
          </w:tcPr>
          <w:p w14:paraId="5CE8AC6A"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Frequent cannabis use among users</w:t>
            </w:r>
          </w:p>
        </w:tc>
        <w:tc>
          <w:tcPr>
            <w:tcW w:w="1971" w:type="dxa"/>
            <w:shd w:val="clear" w:color="auto" w:fill="FFFFFF" w:themeFill="background1"/>
            <w:hideMark/>
          </w:tcPr>
          <w:p w14:paraId="652B4F59"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Daily/near-daily use among users</w:t>
            </w:r>
          </w:p>
        </w:tc>
        <w:tc>
          <w:tcPr>
            <w:tcW w:w="1627" w:type="dxa"/>
            <w:shd w:val="clear" w:color="auto" w:fill="FFFFFF" w:themeFill="background1"/>
            <w:hideMark/>
          </w:tcPr>
          <w:p w14:paraId="498FF84D"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 xml:space="preserve">2018=39.6% </w:t>
            </w:r>
          </w:p>
          <w:p w14:paraId="33357C30"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 xml:space="preserve">2019=35.7% </w:t>
            </w:r>
          </w:p>
          <w:p w14:paraId="25EA0B97"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2020=39.5%</w:t>
            </w:r>
          </w:p>
        </w:tc>
        <w:tc>
          <w:tcPr>
            <w:tcW w:w="948" w:type="dxa"/>
            <w:shd w:val="clear" w:color="auto" w:fill="FFFFFF" w:themeFill="background1"/>
            <w:hideMark/>
          </w:tcPr>
          <w:p w14:paraId="1ECB64A4"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ns</w:t>
            </w:r>
          </w:p>
        </w:tc>
        <w:tc>
          <w:tcPr>
            <w:tcW w:w="3927" w:type="dxa"/>
            <w:shd w:val="clear" w:color="auto" w:fill="FFFFFF" w:themeFill="background1"/>
            <w:hideMark/>
          </w:tcPr>
          <w:p w14:paraId="7BE0B7AC"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 xml:space="preserve">In the NCS, ‘daily/near-daily’ use of cannabis among existing users did not increase. </w:t>
            </w:r>
          </w:p>
        </w:tc>
      </w:tr>
      <w:tr w:rsidR="00FA100E" w:rsidRPr="00FA100E" w14:paraId="6289D04A" w14:textId="77777777" w:rsidTr="000C3DC1">
        <w:trPr>
          <w:gridAfter w:val="1"/>
          <w:wAfter w:w="10" w:type="dxa"/>
          <w:trHeight w:val="900"/>
        </w:trPr>
        <w:tc>
          <w:tcPr>
            <w:tcW w:w="2122" w:type="dxa"/>
            <w:vMerge/>
            <w:vAlign w:val="center"/>
            <w:hideMark/>
          </w:tcPr>
          <w:p w14:paraId="6E2BA319"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p>
        </w:tc>
        <w:tc>
          <w:tcPr>
            <w:tcW w:w="2947" w:type="dxa"/>
            <w:shd w:val="clear" w:color="auto" w:fill="FFFFFF" w:themeFill="background1"/>
            <w:hideMark/>
          </w:tcPr>
          <w:p w14:paraId="1B1CE068"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 xml:space="preserve">The Canadian Cannabis Survey (CCS), online survey, age 16+, N&gt;10,000; 2018, 2019, 2020 </w:t>
            </w:r>
          </w:p>
        </w:tc>
        <w:tc>
          <w:tcPr>
            <w:tcW w:w="2317" w:type="dxa"/>
            <w:vMerge/>
            <w:vAlign w:val="center"/>
            <w:hideMark/>
          </w:tcPr>
          <w:p w14:paraId="3DD9C608"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p>
        </w:tc>
        <w:tc>
          <w:tcPr>
            <w:tcW w:w="1971" w:type="dxa"/>
            <w:shd w:val="clear" w:color="auto" w:fill="FFFFFF" w:themeFill="background1"/>
            <w:hideMark/>
          </w:tcPr>
          <w:p w14:paraId="668EE8FC"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Daily/near-daily use among users</w:t>
            </w:r>
          </w:p>
        </w:tc>
        <w:tc>
          <w:tcPr>
            <w:tcW w:w="1627" w:type="dxa"/>
            <w:shd w:val="clear" w:color="auto" w:fill="FFFFFF" w:themeFill="background1"/>
            <w:hideMark/>
          </w:tcPr>
          <w:p w14:paraId="138D01B6"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2018=24.9%</w:t>
            </w:r>
          </w:p>
          <w:p w14:paraId="238767C1"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2019=23.9%</w:t>
            </w:r>
          </w:p>
          <w:p w14:paraId="1CA41947"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2020=24.8%</w:t>
            </w:r>
          </w:p>
        </w:tc>
        <w:tc>
          <w:tcPr>
            <w:tcW w:w="948" w:type="dxa"/>
            <w:shd w:val="clear" w:color="auto" w:fill="FFFFFF" w:themeFill="background1"/>
            <w:hideMark/>
          </w:tcPr>
          <w:p w14:paraId="5E6A7B2E"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ns</w:t>
            </w:r>
          </w:p>
        </w:tc>
        <w:tc>
          <w:tcPr>
            <w:tcW w:w="3927" w:type="dxa"/>
            <w:shd w:val="clear" w:color="auto" w:fill="FFFFFF" w:themeFill="background1"/>
            <w:hideMark/>
          </w:tcPr>
          <w:p w14:paraId="36046B01"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In the CCS, proportion of daily/near-daily use among users remained unchanged.</w:t>
            </w:r>
          </w:p>
        </w:tc>
      </w:tr>
      <w:tr w:rsidR="00FA100E" w:rsidRPr="00FA100E" w14:paraId="36E4123E" w14:textId="77777777" w:rsidTr="000C3DC1">
        <w:trPr>
          <w:gridAfter w:val="1"/>
          <w:wAfter w:w="10" w:type="dxa"/>
          <w:trHeight w:val="2400"/>
        </w:trPr>
        <w:tc>
          <w:tcPr>
            <w:tcW w:w="2122" w:type="dxa"/>
            <w:vMerge/>
            <w:vAlign w:val="center"/>
            <w:hideMark/>
          </w:tcPr>
          <w:p w14:paraId="5C08994C"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p>
        </w:tc>
        <w:tc>
          <w:tcPr>
            <w:tcW w:w="2947" w:type="dxa"/>
            <w:shd w:val="clear" w:color="auto" w:fill="FFFFFF" w:themeFill="background1"/>
            <w:hideMark/>
          </w:tcPr>
          <w:p w14:paraId="50EDE076"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 xml:space="preserve">The Centre for Addiction and Mental Health (CAMH) Monitor; 2017, 2019 </w:t>
            </w:r>
          </w:p>
        </w:tc>
        <w:tc>
          <w:tcPr>
            <w:tcW w:w="2317" w:type="dxa"/>
            <w:vMerge/>
            <w:vAlign w:val="center"/>
            <w:hideMark/>
          </w:tcPr>
          <w:p w14:paraId="50C8DF44"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p>
        </w:tc>
        <w:tc>
          <w:tcPr>
            <w:tcW w:w="1971" w:type="dxa"/>
            <w:shd w:val="clear" w:color="auto" w:fill="FFFFFF" w:themeFill="background1"/>
            <w:hideMark/>
          </w:tcPr>
          <w:p w14:paraId="452A09B9"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Moderate/high-risk ASSIST-CIS score</w:t>
            </w:r>
          </w:p>
        </w:tc>
        <w:tc>
          <w:tcPr>
            <w:tcW w:w="1627" w:type="dxa"/>
            <w:shd w:val="clear" w:color="auto" w:fill="FFFFFF" w:themeFill="background1"/>
            <w:hideMark/>
          </w:tcPr>
          <w:p w14:paraId="78C3C5C3"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 xml:space="preserve">2017=53.3% </w:t>
            </w:r>
          </w:p>
          <w:p w14:paraId="0986B597"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2019=57.9%</w:t>
            </w:r>
          </w:p>
        </w:tc>
        <w:tc>
          <w:tcPr>
            <w:tcW w:w="948" w:type="dxa"/>
            <w:shd w:val="clear" w:color="auto" w:fill="FFFFFF" w:themeFill="background1"/>
            <w:hideMark/>
          </w:tcPr>
          <w:p w14:paraId="0FF11D21"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w:t>
            </w:r>
          </w:p>
        </w:tc>
        <w:tc>
          <w:tcPr>
            <w:tcW w:w="3927" w:type="dxa"/>
            <w:shd w:val="clear" w:color="auto" w:fill="FFFFFF" w:themeFill="background1"/>
            <w:hideMark/>
          </w:tcPr>
          <w:p w14:paraId="2FF7221A"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 xml:space="preserve">In the CAMH Monitor, proportion of users with moderate or high-risk of cannabis use problems score on the ASSIST-CIS increased from 2017-2019 but with overlapping confidence intervals. </w:t>
            </w:r>
          </w:p>
        </w:tc>
      </w:tr>
      <w:tr w:rsidR="00FA100E" w:rsidRPr="00FA100E" w14:paraId="0DB5B060" w14:textId="77777777" w:rsidTr="000C3DC1">
        <w:trPr>
          <w:gridAfter w:val="1"/>
          <w:wAfter w:w="10" w:type="dxa"/>
          <w:trHeight w:val="5100"/>
        </w:trPr>
        <w:tc>
          <w:tcPr>
            <w:tcW w:w="2122" w:type="dxa"/>
            <w:shd w:val="clear" w:color="auto" w:fill="EDEDED" w:themeFill="accent3" w:themeFillTint="33"/>
            <w:hideMark/>
          </w:tcPr>
          <w:p w14:paraId="669CA359"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Pham (2022): To understand how cannabis use has changed post-legalization [Q=6]</w:t>
            </w:r>
          </w:p>
        </w:tc>
        <w:tc>
          <w:tcPr>
            <w:tcW w:w="2947" w:type="dxa"/>
            <w:shd w:val="clear" w:color="auto" w:fill="EDEDED" w:themeFill="accent3" w:themeFillTint="33"/>
            <w:hideMark/>
          </w:tcPr>
          <w:p w14:paraId="22336A78"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Canadian Tobacco, Alcohol, and Drugs Survey (CTADS); n = 16,349 pre, n = 8,614 post; 2017 and 2019</w:t>
            </w:r>
          </w:p>
        </w:tc>
        <w:tc>
          <w:tcPr>
            <w:tcW w:w="2317" w:type="dxa"/>
            <w:shd w:val="clear" w:color="auto" w:fill="EDEDED" w:themeFill="accent3" w:themeFillTint="33"/>
            <w:hideMark/>
          </w:tcPr>
          <w:p w14:paraId="29884EF8"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Prevalence of cannabis use</w:t>
            </w:r>
          </w:p>
        </w:tc>
        <w:tc>
          <w:tcPr>
            <w:tcW w:w="1971" w:type="dxa"/>
            <w:shd w:val="clear" w:color="auto" w:fill="EDEDED" w:themeFill="accent3" w:themeFillTint="33"/>
            <w:hideMark/>
          </w:tcPr>
          <w:p w14:paraId="6D4A3D9C"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Cannabis use in past 30-days</w:t>
            </w:r>
          </w:p>
        </w:tc>
        <w:tc>
          <w:tcPr>
            <w:tcW w:w="1627" w:type="dxa"/>
            <w:shd w:val="clear" w:color="auto" w:fill="EDEDED" w:themeFill="accent3" w:themeFillTint="33"/>
            <w:hideMark/>
          </w:tcPr>
          <w:p w14:paraId="542A6861"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 xml:space="preserve">2017=9% </w:t>
            </w:r>
          </w:p>
          <w:p w14:paraId="79F341DA"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2019=11%</w:t>
            </w:r>
          </w:p>
        </w:tc>
        <w:tc>
          <w:tcPr>
            <w:tcW w:w="948" w:type="dxa"/>
            <w:shd w:val="clear" w:color="auto" w:fill="EDEDED" w:themeFill="accent3" w:themeFillTint="33"/>
            <w:hideMark/>
          </w:tcPr>
          <w:p w14:paraId="043248A0"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ns</w:t>
            </w:r>
          </w:p>
        </w:tc>
        <w:tc>
          <w:tcPr>
            <w:tcW w:w="3927" w:type="dxa"/>
            <w:shd w:val="clear" w:color="auto" w:fill="EDEDED" w:themeFill="accent3" w:themeFillTint="33"/>
            <w:hideMark/>
          </w:tcPr>
          <w:p w14:paraId="1818E27E"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The cannabis items in the 2017 and 2019 surveys differed in their wording, an approximate measure of use in the past 30-days was compared. On this measure, cannabis use increased from 9% in 2017 to nearly 11% (95% CI: 10.1, 11.7) in 2019 but it was not possible to confirm that this increase was statistically significant. There were few differences in prevalence between provinces in 2019, despite their different regulatory approaches.</w:t>
            </w:r>
          </w:p>
        </w:tc>
      </w:tr>
      <w:tr w:rsidR="00FA100E" w:rsidRPr="00FA100E" w14:paraId="32BD9A7C" w14:textId="77777777" w:rsidTr="000C3DC1">
        <w:trPr>
          <w:trHeight w:val="315"/>
        </w:trPr>
        <w:tc>
          <w:tcPr>
            <w:tcW w:w="15869" w:type="dxa"/>
            <w:gridSpan w:val="8"/>
            <w:shd w:val="clear" w:color="auto" w:fill="BFBFBF" w:themeFill="background1" w:themeFillShade="BF"/>
            <w:hideMark/>
          </w:tcPr>
          <w:p w14:paraId="0E3C19FC" w14:textId="77777777" w:rsidR="00EA0446" w:rsidRPr="00FA100E" w:rsidRDefault="00EA0446" w:rsidP="000C3DC1">
            <w:pPr>
              <w:spacing w:after="0" w:line="240" w:lineRule="auto"/>
              <w:rPr>
                <w:rFonts w:ascii="Times New Roman" w:eastAsia="Times New Roman" w:hAnsi="Times New Roman" w:cs="Times New Roman"/>
                <w:b/>
                <w:sz w:val="22"/>
                <w:szCs w:val="22"/>
                <w:lang w:val="en-GB" w:eastAsia="en-GB"/>
              </w:rPr>
            </w:pPr>
            <w:r w:rsidRPr="00FA100E">
              <w:rPr>
                <w:rFonts w:ascii="Times New Roman" w:eastAsia="Times New Roman" w:hAnsi="Times New Roman" w:cs="Times New Roman"/>
                <w:b/>
                <w:sz w:val="22"/>
                <w:szCs w:val="22"/>
                <w:lang w:val="en-GB" w:eastAsia="en-GB"/>
              </w:rPr>
              <w:t>Driving after cannabis use</w:t>
            </w:r>
          </w:p>
        </w:tc>
      </w:tr>
      <w:tr w:rsidR="00FA100E" w:rsidRPr="00FA100E" w14:paraId="0B842342" w14:textId="77777777" w:rsidTr="000C3DC1">
        <w:trPr>
          <w:gridAfter w:val="1"/>
          <w:wAfter w:w="10" w:type="dxa"/>
          <w:trHeight w:val="1200"/>
        </w:trPr>
        <w:tc>
          <w:tcPr>
            <w:tcW w:w="2122" w:type="dxa"/>
            <w:vMerge w:val="restart"/>
            <w:shd w:val="clear" w:color="auto" w:fill="F2F2F2" w:themeFill="background1" w:themeFillShade="F2"/>
            <w:hideMark/>
          </w:tcPr>
          <w:p w14:paraId="2EDC5AE5"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Brubacher (2022): To assess the effect of cannabis legalization on the prevalence of injured drivers testing positive for THC in British Columbia [Q=8]</w:t>
            </w:r>
          </w:p>
        </w:tc>
        <w:tc>
          <w:tcPr>
            <w:tcW w:w="2947" w:type="dxa"/>
            <w:vMerge w:val="restart"/>
            <w:shd w:val="clear" w:color="auto" w:fill="F2F2F2" w:themeFill="background1" w:themeFillShade="F2"/>
            <w:hideMark/>
          </w:tcPr>
          <w:p w14:paraId="5697C07B"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 xml:space="preserve">Data from treated injured drivers from four British Columbia trauma centers, N=4339 (N=3550 before legalization, 789 after), Jan 2013-Mar 2020 </w:t>
            </w:r>
          </w:p>
        </w:tc>
        <w:tc>
          <w:tcPr>
            <w:tcW w:w="2317" w:type="dxa"/>
            <w:vMerge w:val="restart"/>
            <w:shd w:val="clear" w:color="auto" w:fill="F2F2F2" w:themeFill="background1" w:themeFillShade="F2"/>
            <w:hideMark/>
          </w:tcPr>
          <w:p w14:paraId="16C01EDB"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Testing positive for THC in moderately injured drivers</w:t>
            </w:r>
          </w:p>
        </w:tc>
        <w:tc>
          <w:tcPr>
            <w:tcW w:w="1971" w:type="dxa"/>
            <w:shd w:val="clear" w:color="auto" w:fill="F2F2F2" w:themeFill="background1" w:themeFillShade="F2"/>
            <w:hideMark/>
          </w:tcPr>
          <w:p w14:paraId="636C67D0"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THC &gt;0</w:t>
            </w:r>
          </w:p>
        </w:tc>
        <w:tc>
          <w:tcPr>
            <w:tcW w:w="1627" w:type="dxa"/>
            <w:shd w:val="clear" w:color="auto" w:fill="F2F2F2" w:themeFill="background1" w:themeFillShade="F2"/>
            <w:hideMark/>
          </w:tcPr>
          <w:p w14:paraId="50D76F80"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 xml:space="preserve">9.2% pre vs 17.9% post; </w:t>
            </w:r>
            <w:r w:rsidRPr="00FA100E">
              <w:rPr>
                <w:rFonts w:ascii="Times New Roman" w:eastAsia="Times New Roman" w:hAnsi="Times New Roman" w:cs="Times New Roman"/>
                <w:sz w:val="22"/>
                <w:szCs w:val="22"/>
                <w:lang w:val="en-GB" w:eastAsia="en-GB"/>
              </w:rPr>
              <w:br/>
              <w:t>PR=1.33 [1.05-1.68]</w:t>
            </w:r>
          </w:p>
        </w:tc>
        <w:tc>
          <w:tcPr>
            <w:tcW w:w="948" w:type="dxa"/>
            <w:shd w:val="clear" w:color="auto" w:fill="F2F2F2" w:themeFill="background1" w:themeFillShade="F2"/>
            <w:hideMark/>
          </w:tcPr>
          <w:p w14:paraId="73DD72A4"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w:t>
            </w:r>
          </w:p>
        </w:tc>
        <w:tc>
          <w:tcPr>
            <w:tcW w:w="3927" w:type="dxa"/>
            <w:vMerge w:val="restart"/>
            <w:shd w:val="clear" w:color="auto" w:fill="F2F2F2" w:themeFill="background1" w:themeFillShade="F2"/>
            <w:hideMark/>
          </w:tcPr>
          <w:p w14:paraId="1183E20F"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After legalization, there was an increased prevalence of THC detected in blood of treated injured drivers. The increase was largest among older drivers and male drivers.</w:t>
            </w:r>
          </w:p>
        </w:tc>
      </w:tr>
      <w:tr w:rsidR="00FA100E" w:rsidRPr="00FA100E" w14:paraId="190B8B8E" w14:textId="77777777" w:rsidTr="000C3DC1">
        <w:trPr>
          <w:gridAfter w:val="1"/>
          <w:wAfter w:w="10" w:type="dxa"/>
          <w:trHeight w:val="1200"/>
        </w:trPr>
        <w:tc>
          <w:tcPr>
            <w:tcW w:w="2122" w:type="dxa"/>
            <w:vMerge/>
            <w:vAlign w:val="center"/>
            <w:hideMark/>
          </w:tcPr>
          <w:p w14:paraId="67494B3A"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p>
        </w:tc>
        <w:tc>
          <w:tcPr>
            <w:tcW w:w="2947" w:type="dxa"/>
            <w:vMerge/>
            <w:vAlign w:val="center"/>
            <w:hideMark/>
          </w:tcPr>
          <w:p w14:paraId="01D7EF61"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p>
        </w:tc>
        <w:tc>
          <w:tcPr>
            <w:tcW w:w="2317" w:type="dxa"/>
            <w:vMerge/>
            <w:vAlign w:val="center"/>
            <w:hideMark/>
          </w:tcPr>
          <w:p w14:paraId="540700A7"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p>
        </w:tc>
        <w:tc>
          <w:tcPr>
            <w:tcW w:w="1971" w:type="dxa"/>
            <w:shd w:val="clear" w:color="auto" w:fill="F2F2F2" w:themeFill="background1" w:themeFillShade="F2"/>
            <w:hideMark/>
          </w:tcPr>
          <w:p w14:paraId="2BB0EB27"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THC &gt;=2ng</w:t>
            </w:r>
          </w:p>
        </w:tc>
        <w:tc>
          <w:tcPr>
            <w:tcW w:w="1627" w:type="dxa"/>
            <w:shd w:val="clear" w:color="auto" w:fill="F2F2F2" w:themeFill="background1" w:themeFillShade="F2"/>
            <w:hideMark/>
          </w:tcPr>
          <w:p w14:paraId="3D39F18A"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 xml:space="preserve">3.8 % pre vs 8.6% post; </w:t>
            </w:r>
            <w:r w:rsidRPr="00FA100E">
              <w:rPr>
                <w:rFonts w:ascii="Times New Roman" w:eastAsia="Times New Roman" w:hAnsi="Times New Roman" w:cs="Times New Roman"/>
                <w:sz w:val="22"/>
                <w:szCs w:val="22"/>
                <w:lang w:val="en-GB" w:eastAsia="en-GB"/>
              </w:rPr>
              <w:br/>
              <w:t>PR=2.29 [1.52-3.45]</w:t>
            </w:r>
          </w:p>
        </w:tc>
        <w:tc>
          <w:tcPr>
            <w:tcW w:w="948" w:type="dxa"/>
            <w:shd w:val="clear" w:color="auto" w:fill="F2F2F2" w:themeFill="background1" w:themeFillShade="F2"/>
            <w:hideMark/>
          </w:tcPr>
          <w:p w14:paraId="72F401B6"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w:t>
            </w:r>
          </w:p>
        </w:tc>
        <w:tc>
          <w:tcPr>
            <w:tcW w:w="3927" w:type="dxa"/>
            <w:vMerge/>
            <w:vAlign w:val="center"/>
            <w:hideMark/>
          </w:tcPr>
          <w:p w14:paraId="15F2A75E"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p>
        </w:tc>
      </w:tr>
      <w:tr w:rsidR="00FA100E" w:rsidRPr="00FA100E" w14:paraId="19FD77FC" w14:textId="77777777" w:rsidTr="000C3DC1">
        <w:trPr>
          <w:gridAfter w:val="1"/>
          <w:wAfter w:w="10" w:type="dxa"/>
          <w:trHeight w:val="1200"/>
        </w:trPr>
        <w:tc>
          <w:tcPr>
            <w:tcW w:w="2122" w:type="dxa"/>
            <w:vMerge/>
            <w:vAlign w:val="center"/>
            <w:hideMark/>
          </w:tcPr>
          <w:p w14:paraId="6AF58839"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p>
        </w:tc>
        <w:tc>
          <w:tcPr>
            <w:tcW w:w="2947" w:type="dxa"/>
            <w:vMerge/>
            <w:vAlign w:val="center"/>
            <w:hideMark/>
          </w:tcPr>
          <w:p w14:paraId="6877D10A"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p>
        </w:tc>
        <w:tc>
          <w:tcPr>
            <w:tcW w:w="2317" w:type="dxa"/>
            <w:vMerge/>
            <w:vAlign w:val="center"/>
            <w:hideMark/>
          </w:tcPr>
          <w:p w14:paraId="579B60D8"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p>
        </w:tc>
        <w:tc>
          <w:tcPr>
            <w:tcW w:w="1971" w:type="dxa"/>
            <w:shd w:val="clear" w:color="auto" w:fill="F2F2F2" w:themeFill="background1" w:themeFillShade="F2"/>
            <w:hideMark/>
          </w:tcPr>
          <w:p w14:paraId="7EDF341A"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THC &gt;=5ng</w:t>
            </w:r>
          </w:p>
        </w:tc>
        <w:tc>
          <w:tcPr>
            <w:tcW w:w="1627" w:type="dxa"/>
            <w:shd w:val="clear" w:color="auto" w:fill="F2F2F2" w:themeFill="background1" w:themeFillShade="F2"/>
            <w:hideMark/>
          </w:tcPr>
          <w:p w14:paraId="53DED064"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1.1% pre vs 3.5% post;</w:t>
            </w:r>
            <w:r w:rsidRPr="00FA100E">
              <w:rPr>
                <w:rFonts w:ascii="Times New Roman" w:eastAsia="Times New Roman" w:hAnsi="Times New Roman" w:cs="Times New Roman"/>
                <w:sz w:val="22"/>
                <w:szCs w:val="22"/>
                <w:lang w:val="en-GB" w:eastAsia="en-GB"/>
              </w:rPr>
              <w:br/>
              <w:t>PR=2.05 [1.00-4.18]</w:t>
            </w:r>
          </w:p>
        </w:tc>
        <w:tc>
          <w:tcPr>
            <w:tcW w:w="948" w:type="dxa"/>
            <w:shd w:val="clear" w:color="auto" w:fill="F2F2F2" w:themeFill="background1" w:themeFillShade="F2"/>
            <w:hideMark/>
          </w:tcPr>
          <w:p w14:paraId="25ED6B6A"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w:t>
            </w:r>
          </w:p>
        </w:tc>
        <w:tc>
          <w:tcPr>
            <w:tcW w:w="3927" w:type="dxa"/>
            <w:vMerge/>
            <w:vAlign w:val="center"/>
            <w:hideMark/>
          </w:tcPr>
          <w:p w14:paraId="203E883E"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p>
        </w:tc>
      </w:tr>
      <w:tr w:rsidR="00FA100E" w:rsidRPr="00FA100E" w14:paraId="64DBAA2E" w14:textId="77777777" w:rsidTr="000C3DC1">
        <w:trPr>
          <w:gridAfter w:val="1"/>
          <w:wAfter w:w="10" w:type="dxa"/>
          <w:trHeight w:val="600"/>
        </w:trPr>
        <w:tc>
          <w:tcPr>
            <w:tcW w:w="2122" w:type="dxa"/>
            <w:vMerge w:val="restart"/>
            <w:shd w:val="clear" w:color="auto" w:fill="auto"/>
            <w:hideMark/>
          </w:tcPr>
          <w:p w14:paraId="2BF0C0A3"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Callaghan (2021): To assess cannabis legalization and drivers' traffic-injury presentations to emergency departments In Canada [Q=7]</w:t>
            </w:r>
          </w:p>
        </w:tc>
        <w:tc>
          <w:tcPr>
            <w:tcW w:w="2947" w:type="dxa"/>
            <w:vMerge w:val="restart"/>
            <w:shd w:val="clear" w:color="auto" w:fill="auto"/>
            <w:hideMark/>
          </w:tcPr>
          <w:p w14:paraId="4E1AE8A2"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 xml:space="preserve">Provincial emergency department (ED) records (Apr 2015-Dec 2019), Alberta (all n=52,752; youth n=3265) and Ontario (all n=186,921; youth n=4565) drivers </w:t>
            </w:r>
          </w:p>
        </w:tc>
        <w:tc>
          <w:tcPr>
            <w:tcW w:w="2317" w:type="dxa"/>
            <w:vMerge w:val="restart"/>
            <w:shd w:val="clear" w:color="auto" w:fill="auto"/>
            <w:hideMark/>
          </w:tcPr>
          <w:p w14:paraId="795B6A43"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Weekly provincial counts of ICD-10-CA-defined traffic-injury ED presentations</w:t>
            </w:r>
          </w:p>
        </w:tc>
        <w:tc>
          <w:tcPr>
            <w:tcW w:w="1971" w:type="dxa"/>
            <w:shd w:val="clear" w:color="auto" w:fill="auto"/>
            <w:hideMark/>
          </w:tcPr>
          <w:p w14:paraId="43087D42"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Alberta, all</w:t>
            </w:r>
          </w:p>
        </w:tc>
        <w:tc>
          <w:tcPr>
            <w:tcW w:w="1627" w:type="dxa"/>
            <w:shd w:val="clear" w:color="auto" w:fill="auto"/>
            <w:hideMark/>
          </w:tcPr>
          <w:p w14:paraId="37BA1CA0"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+9.17 [-18.85, 37.20], p=0.52</w:t>
            </w:r>
          </w:p>
        </w:tc>
        <w:tc>
          <w:tcPr>
            <w:tcW w:w="948" w:type="dxa"/>
            <w:shd w:val="clear" w:color="auto" w:fill="auto"/>
            <w:hideMark/>
          </w:tcPr>
          <w:p w14:paraId="79E9032F"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ns</w:t>
            </w:r>
          </w:p>
        </w:tc>
        <w:tc>
          <w:tcPr>
            <w:tcW w:w="3927" w:type="dxa"/>
            <w:vMerge w:val="restart"/>
            <w:shd w:val="clear" w:color="auto" w:fill="auto"/>
            <w:hideMark/>
          </w:tcPr>
          <w:p w14:paraId="7B2C12D7"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There were no significant post-legalization changes in traffic-injury ED visits in Ontario or Alberta among all drivers or youth drivers.</w:t>
            </w:r>
          </w:p>
        </w:tc>
      </w:tr>
      <w:tr w:rsidR="00FA100E" w:rsidRPr="00FA100E" w14:paraId="0CE04235" w14:textId="77777777" w:rsidTr="000C3DC1">
        <w:trPr>
          <w:gridAfter w:val="1"/>
          <w:wAfter w:w="10" w:type="dxa"/>
          <w:trHeight w:val="600"/>
        </w:trPr>
        <w:tc>
          <w:tcPr>
            <w:tcW w:w="2122" w:type="dxa"/>
            <w:vMerge/>
            <w:vAlign w:val="center"/>
            <w:hideMark/>
          </w:tcPr>
          <w:p w14:paraId="5A1C8C16"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p>
        </w:tc>
        <w:tc>
          <w:tcPr>
            <w:tcW w:w="2947" w:type="dxa"/>
            <w:vMerge/>
            <w:vAlign w:val="center"/>
            <w:hideMark/>
          </w:tcPr>
          <w:p w14:paraId="14371EFB"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p>
        </w:tc>
        <w:tc>
          <w:tcPr>
            <w:tcW w:w="2317" w:type="dxa"/>
            <w:vMerge/>
            <w:vAlign w:val="center"/>
            <w:hideMark/>
          </w:tcPr>
          <w:p w14:paraId="21AC47BF"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p>
        </w:tc>
        <w:tc>
          <w:tcPr>
            <w:tcW w:w="1971" w:type="dxa"/>
            <w:shd w:val="clear" w:color="auto" w:fill="auto"/>
            <w:hideMark/>
          </w:tcPr>
          <w:p w14:paraId="69492594"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 xml:space="preserve">Alberta, youth </w:t>
            </w:r>
          </w:p>
        </w:tc>
        <w:tc>
          <w:tcPr>
            <w:tcW w:w="1627" w:type="dxa"/>
            <w:shd w:val="clear" w:color="auto" w:fill="auto"/>
            <w:hideMark/>
          </w:tcPr>
          <w:p w14:paraId="36338BA3"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-0.66 [-2.2, 0.94], p=0.42</w:t>
            </w:r>
          </w:p>
        </w:tc>
        <w:tc>
          <w:tcPr>
            <w:tcW w:w="948" w:type="dxa"/>
            <w:shd w:val="clear" w:color="auto" w:fill="auto"/>
            <w:hideMark/>
          </w:tcPr>
          <w:p w14:paraId="7280C321"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ns</w:t>
            </w:r>
          </w:p>
        </w:tc>
        <w:tc>
          <w:tcPr>
            <w:tcW w:w="3927" w:type="dxa"/>
            <w:vMerge/>
            <w:vAlign w:val="center"/>
            <w:hideMark/>
          </w:tcPr>
          <w:p w14:paraId="50CABDCD"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p>
        </w:tc>
      </w:tr>
      <w:tr w:rsidR="00FA100E" w:rsidRPr="00FA100E" w14:paraId="494E2723" w14:textId="77777777" w:rsidTr="000C3DC1">
        <w:trPr>
          <w:gridAfter w:val="1"/>
          <w:wAfter w:w="10" w:type="dxa"/>
          <w:trHeight w:val="600"/>
        </w:trPr>
        <w:tc>
          <w:tcPr>
            <w:tcW w:w="2122" w:type="dxa"/>
            <w:vMerge/>
            <w:vAlign w:val="center"/>
            <w:hideMark/>
          </w:tcPr>
          <w:p w14:paraId="1258B1D7"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p>
        </w:tc>
        <w:tc>
          <w:tcPr>
            <w:tcW w:w="2947" w:type="dxa"/>
            <w:vMerge/>
            <w:vAlign w:val="center"/>
            <w:hideMark/>
          </w:tcPr>
          <w:p w14:paraId="6FAB3CA0"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p>
        </w:tc>
        <w:tc>
          <w:tcPr>
            <w:tcW w:w="2317" w:type="dxa"/>
            <w:vMerge/>
            <w:vAlign w:val="center"/>
            <w:hideMark/>
          </w:tcPr>
          <w:p w14:paraId="1741B6D2"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p>
        </w:tc>
        <w:tc>
          <w:tcPr>
            <w:tcW w:w="1971" w:type="dxa"/>
            <w:shd w:val="clear" w:color="auto" w:fill="auto"/>
            <w:hideMark/>
          </w:tcPr>
          <w:p w14:paraId="4F0F50F5"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 xml:space="preserve">Ontario, all </w:t>
            </w:r>
          </w:p>
        </w:tc>
        <w:tc>
          <w:tcPr>
            <w:tcW w:w="1627" w:type="dxa"/>
            <w:shd w:val="clear" w:color="auto" w:fill="auto"/>
            <w:hideMark/>
          </w:tcPr>
          <w:p w14:paraId="19A1A976"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+28.93 [-26.32, 84.19], p=0.30</w:t>
            </w:r>
          </w:p>
        </w:tc>
        <w:tc>
          <w:tcPr>
            <w:tcW w:w="948" w:type="dxa"/>
            <w:shd w:val="clear" w:color="auto" w:fill="auto"/>
            <w:hideMark/>
          </w:tcPr>
          <w:p w14:paraId="69EEE144"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ns</w:t>
            </w:r>
          </w:p>
        </w:tc>
        <w:tc>
          <w:tcPr>
            <w:tcW w:w="3927" w:type="dxa"/>
            <w:vMerge/>
            <w:vAlign w:val="center"/>
            <w:hideMark/>
          </w:tcPr>
          <w:p w14:paraId="0C44DFE6"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p>
        </w:tc>
      </w:tr>
      <w:tr w:rsidR="00FA100E" w:rsidRPr="00FA100E" w14:paraId="39C3F200" w14:textId="77777777" w:rsidTr="000C3DC1">
        <w:trPr>
          <w:gridAfter w:val="1"/>
          <w:wAfter w:w="10" w:type="dxa"/>
          <w:trHeight w:val="600"/>
        </w:trPr>
        <w:tc>
          <w:tcPr>
            <w:tcW w:w="2122" w:type="dxa"/>
            <w:vMerge/>
            <w:vAlign w:val="center"/>
            <w:hideMark/>
          </w:tcPr>
          <w:p w14:paraId="5640467A"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p>
        </w:tc>
        <w:tc>
          <w:tcPr>
            <w:tcW w:w="2947" w:type="dxa"/>
            <w:vMerge/>
            <w:vAlign w:val="center"/>
            <w:hideMark/>
          </w:tcPr>
          <w:p w14:paraId="7ADC8B36"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p>
        </w:tc>
        <w:tc>
          <w:tcPr>
            <w:tcW w:w="2317" w:type="dxa"/>
            <w:vMerge/>
            <w:vAlign w:val="center"/>
            <w:hideMark/>
          </w:tcPr>
          <w:p w14:paraId="79D58F19"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p>
        </w:tc>
        <w:tc>
          <w:tcPr>
            <w:tcW w:w="1971" w:type="dxa"/>
            <w:shd w:val="clear" w:color="auto" w:fill="auto"/>
            <w:hideMark/>
          </w:tcPr>
          <w:p w14:paraId="10DFB549"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 xml:space="preserve">Ontario, youth </w:t>
            </w:r>
          </w:p>
        </w:tc>
        <w:tc>
          <w:tcPr>
            <w:tcW w:w="1627" w:type="dxa"/>
            <w:shd w:val="clear" w:color="auto" w:fill="auto"/>
            <w:hideMark/>
          </w:tcPr>
          <w:p w14:paraId="713A6717"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+0.09 [-6.25, 6.42], p=0.98</w:t>
            </w:r>
          </w:p>
        </w:tc>
        <w:tc>
          <w:tcPr>
            <w:tcW w:w="948" w:type="dxa"/>
            <w:shd w:val="clear" w:color="auto" w:fill="auto"/>
            <w:hideMark/>
          </w:tcPr>
          <w:p w14:paraId="6891D8AF"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ns</w:t>
            </w:r>
          </w:p>
        </w:tc>
        <w:tc>
          <w:tcPr>
            <w:tcW w:w="3927" w:type="dxa"/>
            <w:vMerge/>
            <w:vAlign w:val="center"/>
            <w:hideMark/>
          </w:tcPr>
          <w:p w14:paraId="3E32B12D"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p>
        </w:tc>
      </w:tr>
      <w:tr w:rsidR="00FA100E" w:rsidRPr="00FA100E" w14:paraId="13BB697D" w14:textId="77777777" w:rsidTr="000C3DC1">
        <w:trPr>
          <w:gridAfter w:val="1"/>
          <w:wAfter w:w="10" w:type="dxa"/>
          <w:trHeight w:val="1800"/>
        </w:trPr>
        <w:tc>
          <w:tcPr>
            <w:tcW w:w="2122" w:type="dxa"/>
            <w:vMerge w:val="restart"/>
            <w:shd w:val="clear" w:color="auto" w:fill="F2F2F2" w:themeFill="background1" w:themeFillShade="F2"/>
            <w:hideMark/>
          </w:tcPr>
          <w:p w14:paraId="2D27BDFF"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Fischer (2021): To summarise cannabis use and supply indicators pre- and post-legalisation in Canada [Q=6]</w:t>
            </w:r>
          </w:p>
        </w:tc>
        <w:tc>
          <w:tcPr>
            <w:tcW w:w="2947" w:type="dxa"/>
            <w:shd w:val="clear" w:color="auto" w:fill="F2F2F2" w:themeFill="background1" w:themeFillShade="F2"/>
            <w:hideMark/>
          </w:tcPr>
          <w:p w14:paraId="68B0AADD"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 xml:space="preserve">The National Cannabis Survey (NCS), household survey, aged 15+, N~12,000; 2018, 2019, 2020 </w:t>
            </w:r>
          </w:p>
        </w:tc>
        <w:tc>
          <w:tcPr>
            <w:tcW w:w="2317" w:type="dxa"/>
            <w:vMerge w:val="restart"/>
            <w:shd w:val="clear" w:color="auto" w:fill="F2F2F2" w:themeFill="background1" w:themeFillShade="F2"/>
            <w:hideMark/>
          </w:tcPr>
          <w:p w14:paraId="5C97C836"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Driving after cannabis use</w:t>
            </w:r>
          </w:p>
        </w:tc>
        <w:tc>
          <w:tcPr>
            <w:tcW w:w="1971" w:type="dxa"/>
            <w:vMerge w:val="restart"/>
            <w:shd w:val="clear" w:color="auto" w:fill="F2F2F2" w:themeFill="background1" w:themeFillShade="F2"/>
            <w:hideMark/>
          </w:tcPr>
          <w:p w14:paraId="45E896FC"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Driving after cannabis use</w:t>
            </w:r>
          </w:p>
        </w:tc>
        <w:tc>
          <w:tcPr>
            <w:tcW w:w="1627" w:type="dxa"/>
            <w:shd w:val="clear" w:color="auto" w:fill="F2F2F2" w:themeFill="background1" w:themeFillShade="F2"/>
            <w:hideMark/>
          </w:tcPr>
          <w:p w14:paraId="06F51373"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 xml:space="preserve">2018=14.2% </w:t>
            </w:r>
          </w:p>
          <w:p w14:paraId="02F7C459"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2020=13.2%</w:t>
            </w:r>
          </w:p>
        </w:tc>
        <w:tc>
          <w:tcPr>
            <w:tcW w:w="948" w:type="dxa"/>
            <w:shd w:val="clear" w:color="auto" w:fill="F2F2F2" w:themeFill="background1" w:themeFillShade="F2"/>
            <w:hideMark/>
          </w:tcPr>
          <w:p w14:paraId="76344C31"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ns</w:t>
            </w:r>
          </w:p>
        </w:tc>
        <w:tc>
          <w:tcPr>
            <w:tcW w:w="3927" w:type="dxa"/>
            <w:shd w:val="clear" w:color="auto" w:fill="F2F2F2" w:themeFill="background1" w:themeFillShade="F2"/>
            <w:hideMark/>
          </w:tcPr>
          <w:p w14:paraId="4F5BE70B"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 xml:space="preserve">In the NCS, the prevalence of individuals who reported driving a vehicle within 2 hours of cannabis consumption in past 3 months did not change. </w:t>
            </w:r>
          </w:p>
        </w:tc>
      </w:tr>
      <w:tr w:rsidR="00FA100E" w:rsidRPr="00FA100E" w14:paraId="3F496DA8" w14:textId="77777777" w:rsidTr="000C3DC1">
        <w:trPr>
          <w:gridAfter w:val="1"/>
          <w:wAfter w:w="10" w:type="dxa"/>
          <w:trHeight w:val="1500"/>
        </w:trPr>
        <w:tc>
          <w:tcPr>
            <w:tcW w:w="2122" w:type="dxa"/>
            <w:vMerge/>
            <w:vAlign w:val="center"/>
            <w:hideMark/>
          </w:tcPr>
          <w:p w14:paraId="17CAA7BF"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p>
        </w:tc>
        <w:tc>
          <w:tcPr>
            <w:tcW w:w="2947" w:type="dxa"/>
            <w:shd w:val="clear" w:color="auto" w:fill="F2F2F2" w:themeFill="background1" w:themeFillShade="F2"/>
            <w:hideMark/>
          </w:tcPr>
          <w:p w14:paraId="5491FADD"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 xml:space="preserve">The Canadian Cannabis Survey (CCS), online survey, age 16+, N&gt;10,000; 2018, 2019, 2020 </w:t>
            </w:r>
          </w:p>
        </w:tc>
        <w:tc>
          <w:tcPr>
            <w:tcW w:w="2317" w:type="dxa"/>
            <w:vMerge/>
            <w:vAlign w:val="center"/>
            <w:hideMark/>
          </w:tcPr>
          <w:p w14:paraId="7F51DE20"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p>
        </w:tc>
        <w:tc>
          <w:tcPr>
            <w:tcW w:w="1971" w:type="dxa"/>
            <w:vMerge/>
            <w:vAlign w:val="center"/>
            <w:hideMark/>
          </w:tcPr>
          <w:p w14:paraId="02C37CC5"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p>
        </w:tc>
        <w:tc>
          <w:tcPr>
            <w:tcW w:w="1627" w:type="dxa"/>
            <w:shd w:val="clear" w:color="auto" w:fill="F2F2F2" w:themeFill="background1" w:themeFillShade="F2"/>
            <w:hideMark/>
          </w:tcPr>
          <w:p w14:paraId="209650E2"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 xml:space="preserve">2018=27% </w:t>
            </w:r>
          </w:p>
          <w:p w14:paraId="41A9B43D"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 xml:space="preserve">2019=24% </w:t>
            </w:r>
          </w:p>
          <w:p w14:paraId="2674533D"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2020=19%</w:t>
            </w:r>
          </w:p>
        </w:tc>
        <w:tc>
          <w:tcPr>
            <w:tcW w:w="948" w:type="dxa"/>
            <w:shd w:val="clear" w:color="auto" w:fill="F2F2F2" w:themeFill="background1" w:themeFillShade="F2"/>
            <w:hideMark/>
          </w:tcPr>
          <w:p w14:paraId="57AA2526"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w:t>
            </w:r>
          </w:p>
        </w:tc>
        <w:tc>
          <w:tcPr>
            <w:tcW w:w="3927" w:type="dxa"/>
            <w:shd w:val="clear" w:color="auto" w:fill="F2F2F2" w:themeFill="background1" w:themeFillShade="F2"/>
            <w:hideMark/>
          </w:tcPr>
          <w:p w14:paraId="3560026A"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In the CCS, the proportion of respondents reporting that they drove after cannabis use in the past year decreased.</w:t>
            </w:r>
          </w:p>
        </w:tc>
      </w:tr>
      <w:tr w:rsidR="00FA100E" w:rsidRPr="00FA100E" w14:paraId="18510F24" w14:textId="77777777" w:rsidTr="000C3DC1">
        <w:trPr>
          <w:gridAfter w:val="1"/>
          <w:wAfter w:w="10" w:type="dxa"/>
          <w:trHeight w:val="1200"/>
        </w:trPr>
        <w:tc>
          <w:tcPr>
            <w:tcW w:w="2122" w:type="dxa"/>
            <w:vMerge/>
            <w:vAlign w:val="center"/>
            <w:hideMark/>
          </w:tcPr>
          <w:p w14:paraId="7F009501"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p>
        </w:tc>
        <w:tc>
          <w:tcPr>
            <w:tcW w:w="2947" w:type="dxa"/>
            <w:shd w:val="clear" w:color="auto" w:fill="F2F2F2" w:themeFill="background1" w:themeFillShade="F2"/>
            <w:hideMark/>
          </w:tcPr>
          <w:p w14:paraId="5461326F"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 xml:space="preserve">The Centre for Addiction and Mental Health (CAMH) Monitor; 2017, 2019 </w:t>
            </w:r>
          </w:p>
        </w:tc>
        <w:tc>
          <w:tcPr>
            <w:tcW w:w="2317" w:type="dxa"/>
            <w:vMerge/>
            <w:vAlign w:val="center"/>
            <w:hideMark/>
          </w:tcPr>
          <w:p w14:paraId="2FD8BBE5"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p>
        </w:tc>
        <w:tc>
          <w:tcPr>
            <w:tcW w:w="1971" w:type="dxa"/>
            <w:vMerge/>
            <w:vAlign w:val="center"/>
            <w:hideMark/>
          </w:tcPr>
          <w:p w14:paraId="28AD056D"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p>
        </w:tc>
        <w:tc>
          <w:tcPr>
            <w:tcW w:w="1627" w:type="dxa"/>
            <w:shd w:val="clear" w:color="auto" w:fill="F2F2F2" w:themeFill="background1" w:themeFillShade="F2"/>
            <w:hideMark/>
          </w:tcPr>
          <w:p w14:paraId="10B5FA25"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 xml:space="preserve">2017=13.4% </w:t>
            </w:r>
          </w:p>
          <w:p w14:paraId="304A2539"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2019=12.1%</w:t>
            </w:r>
          </w:p>
        </w:tc>
        <w:tc>
          <w:tcPr>
            <w:tcW w:w="948" w:type="dxa"/>
            <w:shd w:val="clear" w:color="auto" w:fill="F2F2F2" w:themeFill="background1" w:themeFillShade="F2"/>
            <w:hideMark/>
          </w:tcPr>
          <w:p w14:paraId="2782D5FF"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w:t>
            </w:r>
          </w:p>
        </w:tc>
        <w:tc>
          <w:tcPr>
            <w:tcW w:w="3927" w:type="dxa"/>
            <w:shd w:val="clear" w:color="auto" w:fill="F2F2F2" w:themeFill="background1" w:themeFillShade="F2"/>
            <w:hideMark/>
          </w:tcPr>
          <w:p w14:paraId="61586CC1"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 xml:space="preserve">In the CAMH Monitor, cannabis users who self-reported driving within one hour of use decreased. </w:t>
            </w:r>
          </w:p>
        </w:tc>
      </w:tr>
      <w:tr w:rsidR="00FA100E" w:rsidRPr="00FA100E" w14:paraId="45550635" w14:textId="77777777" w:rsidTr="000C3DC1">
        <w:trPr>
          <w:trHeight w:val="315"/>
        </w:trPr>
        <w:tc>
          <w:tcPr>
            <w:tcW w:w="15869" w:type="dxa"/>
            <w:gridSpan w:val="8"/>
            <w:shd w:val="clear" w:color="auto" w:fill="BFBFBF" w:themeFill="background1" w:themeFillShade="BF"/>
            <w:hideMark/>
          </w:tcPr>
          <w:p w14:paraId="78BEA88C" w14:textId="77777777" w:rsidR="00EA0446" w:rsidRPr="00FA100E" w:rsidRDefault="00EA0446" w:rsidP="000C3DC1">
            <w:pPr>
              <w:spacing w:after="0" w:line="240" w:lineRule="auto"/>
              <w:rPr>
                <w:rFonts w:ascii="Times New Roman" w:eastAsia="Times New Roman" w:hAnsi="Times New Roman" w:cs="Times New Roman"/>
                <w:b/>
                <w:sz w:val="22"/>
                <w:szCs w:val="22"/>
                <w:lang w:val="en-GB" w:eastAsia="en-GB"/>
              </w:rPr>
            </w:pPr>
            <w:r w:rsidRPr="00FA100E">
              <w:rPr>
                <w:rFonts w:ascii="Times New Roman" w:eastAsia="Times New Roman" w:hAnsi="Times New Roman" w:cs="Times New Roman"/>
                <w:b/>
                <w:sz w:val="22"/>
                <w:szCs w:val="22"/>
                <w:lang w:val="en-GB" w:eastAsia="en-GB"/>
              </w:rPr>
              <w:t>Emergency department visits</w:t>
            </w:r>
          </w:p>
        </w:tc>
      </w:tr>
      <w:tr w:rsidR="00FA100E" w:rsidRPr="00FA100E" w14:paraId="30E6A7B8" w14:textId="77777777" w:rsidTr="000C3DC1">
        <w:trPr>
          <w:gridAfter w:val="1"/>
          <w:wAfter w:w="10" w:type="dxa"/>
          <w:trHeight w:val="1500"/>
        </w:trPr>
        <w:tc>
          <w:tcPr>
            <w:tcW w:w="2122" w:type="dxa"/>
            <w:vMerge w:val="restart"/>
            <w:shd w:val="clear" w:color="auto" w:fill="F2F2F2" w:themeFill="background1" w:themeFillShade="F2"/>
            <w:hideMark/>
          </w:tcPr>
          <w:p w14:paraId="69DC0920"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Auger (2021): To compare cannabis-related hospitalizations in youth before and after cannabis legalization [Q=7]</w:t>
            </w:r>
          </w:p>
        </w:tc>
        <w:tc>
          <w:tcPr>
            <w:tcW w:w="2947" w:type="dxa"/>
            <w:vMerge w:val="restart"/>
            <w:shd w:val="clear" w:color="auto" w:fill="F2F2F2" w:themeFill="background1" w:themeFillShade="F2"/>
            <w:hideMark/>
          </w:tcPr>
          <w:p w14:paraId="395703B7"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 xml:space="preserve">Hospital records of youth aged 10-19 years in Quebec; 2017-19 </w:t>
            </w:r>
          </w:p>
        </w:tc>
        <w:tc>
          <w:tcPr>
            <w:tcW w:w="2317" w:type="dxa"/>
            <w:vMerge w:val="restart"/>
            <w:shd w:val="clear" w:color="auto" w:fill="F2F2F2" w:themeFill="background1" w:themeFillShade="F2"/>
            <w:hideMark/>
          </w:tcPr>
          <w:p w14:paraId="5A365D51"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Cannabis-related presentations</w:t>
            </w:r>
          </w:p>
        </w:tc>
        <w:tc>
          <w:tcPr>
            <w:tcW w:w="1971" w:type="dxa"/>
            <w:shd w:val="clear" w:color="auto" w:fill="F2F2F2" w:themeFill="background1" w:themeFillShade="F2"/>
            <w:hideMark/>
          </w:tcPr>
          <w:p w14:paraId="72A6E475"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Hospitalization rates per 100k: boys 10-14</w:t>
            </w:r>
          </w:p>
        </w:tc>
        <w:tc>
          <w:tcPr>
            <w:tcW w:w="1627" w:type="dxa"/>
            <w:shd w:val="clear" w:color="auto" w:fill="F2F2F2" w:themeFill="background1" w:themeFillShade="F2"/>
            <w:hideMark/>
          </w:tcPr>
          <w:p w14:paraId="07975C43"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 xml:space="preserve">2017=5.2 </w:t>
            </w:r>
          </w:p>
          <w:p w14:paraId="54BB1E47"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 xml:space="preserve">[2.9-9.3] </w:t>
            </w:r>
          </w:p>
          <w:p w14:paraId="29855C84"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 xml:space="preserve">2018=9.5 </w:t>
            </w:r>
          </w:p>
          <w:p w14:paraId="7C3AFBCE"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[6.2-14.6]</w:t>
            </w:r>
          </w:p>
        </w:tc>
        <w:tc>
          <w:tcPr>
            <w:tcW w:w="948" w:type="dxa"/>
            <w:shd w:val="clear" w:color="auto" w:fill="F2F2F2" w:themeFill="background1" w:themeFillShade="F2"/>
            <w:hideMark/>
          </w:tcPr>
          <w:p w14:paraId="7DDB1574"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ns</w:t>
            </w:r>
          </w:p>
        </w:tc>
        <w:tc>
          <w:tcPr>
            <w:tcW w:w="3927" w:type="dxa"/>
            <w:vMerge w:val="restart"/>
            <w:shd w:val="clear" w:color="auto" w:fill="F2F2F2" w:themeFill="background1" w:themeFillShade="F2"/>
            <w:hideMark/>
          </w:tcPr>
          <w:p w14:paraId="58D2FAA6"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In boys aged 10 to 14 years, cannabis-related hospitalization increased, but were not statistically significant. The wide confidence intervals around the estimates suggests that an increase may not have been detected because of the small numbers of hospitalisations. No increases were observed in girls and in boys aged 15-19.</w:t>
            </w:r>
          </w:p>
        </w:tc>
      </w:tr>
      <w:tr w:rsidR="00FA100E" w:rsidRPr="00FA100E" w14:paraId="72B22831" w14:textId="77777777" w:rsidTr="000C3DC1">
        <w:trPr>
          <w:gridAfter w:val="1"/>
          <w:wAfter w:w="10" w:type="dxa"/>
          <w:trHeight w:val="1500"/>
        </w:trPr>
        <w:tc>
          <w:tcPr>
            <w:tcW w:w="2122" w:type="dxa"/>
            <w:vMerge/>
            <w:vAlign w:val="center"/>
            <w:hideMark/>
          </w:tcPr>
          <w:p w14:paraId="1BBD0986"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p>
        </w:tc>
        <w:tc>
          <w:tcPr>
            <w:tcW w:w="2947" w:type="dxa"/>
            <w:vMerge/>
            <w:vAlign w:val="center"/>
            <w:hideMark/>
          </w:tcPr>
          <w:p w14:paraId="3E231EB0"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p>
        </w:tc>
        <w:tc>
          <w:tcPr>
            <w:tcW w:w="2317" w:type="dxa"/>
            <w:vMerge/>
            <w:vAlign w:val="center"/>
            <w:hideMark/>
          </w:tcPr>
          <w:p w14:paraId="645D2AF0"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p>
        </w:tc>
        <w:tc>
          <w:tcPr>
            <w:tcW w:w="1971" w:type="dxa"/>
            <w:shd w:val="clear" w:color="auto" w:fill="F2F2F2" w:themeFill="background1" w:themeFillShade="F2"/>
            <w:hideMark/>
          </w:tcPr>
          <w:p w14:paraId="654533B1"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Cannabis reporting in substance-related hospitalizations: boys 10-14</w:t>
            </w:r>
          </w:p>
        </w:tc>
        <w:tc>
          <w:tcPr>
            <w:tcW w:w="1627" w:type="dxa"/>
            <w:shd w:val="clear" w:color="auto" w:fill="F2F2F2" w:themeFill="background1" w:themeFillShade="F2"/>
            <w:hideMark/>
          </w:tcPr>
          <w:p w14:paraId="2ADD0CD5"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 xml:space="preserve">2017=39.3% </w:t>
            </w:r>
          </w:p>
          <w:p w14:paraId="7D4200B2"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[23.6-57.6]</w:t>
            </w:r>
          </w:p>
          <w:p w14:paraId="6821AB24"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 xml:space="preserve">2018=70.0% </w:t>
            </w:r>
          </w:p>
          <w:p w14:paraId="6EAF754B"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[52.1-83.3]</w:t>
            </w:r>
          </w:p>
        </w:tc>
        <w:tc>
          <w:tcPr>
            <w:tcW w:w="948" w:type="dxa"/>
            <w:shd w:val="clear" w:color="auto" w:fill="F2F2F2" w:themeFill="background1" w:themeFillShade="F2"/>
            <w:hideMark/>
          </w:tcPr>
          <w:p w14:paraId="5C33A9B1"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ns</w:t>
            </w:r>
          </w:p>
        </w:tc>
        <w:tc>
          <w:tcPr>
            <w:tcW w:w="3927" w:type="dxa"/>
            <w:vMerge/>
            <w:vAlign w:val="center"/>
            <w:hideMark/>
          </w:tcPr>
          <w:p w14:paraId="4501D76C"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p>
        </w:tc>
      </w:tr>
      <w:tr w:rsidR="00FA100E" w:rsidRPr="00FA100E" w14:paraId="6D289B68" w14:textId="77777777" w:rsidTr="000C3DC1">
        <w:trPr>
          <w:gridAfter w:val="1"/>
          <w:wAfter w:w="10" w:type="dxa"/>
          <w:trHeight w:val="1200"/>
        </w:trPr>
        <w:tc>
          <w:tcPr>
            <w:tcW w:w="2122" w:type="dxa"/>
            <w:vMerge/>
            <w:vAlign w:val="center"/>
            <w:hideMark/>
          </w:tcPr>
          <w:p w14:paraId="37BCD776"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p>
        </w:tc>
        <w:tc>
          <w:tcPr>
            <w:tcW w:w="2947" w:type="dxa"/>
            <w:vMerge/>
            <w:vAlign w:val="center"/>
            <w:hideMark/>
          </w:tcPr>
          <w:p w14:paraId="62A2A6DA"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p>
        </w:tc>
        <w:tc>
          <w:tcPr>
            <w:tcW w:w="2317" w:type="dxa"/>
            <w:vMerge/>
            <w:vAlign w:val="center"/>
            <w:hideMark/>
          </w:tcPr>
          <w:p w14:paraId="14E7E2FF"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p>
        </w:tc>
        <w:tc>
          <w:tcPr>
            <w:tcW w:w="1971" w:type="dxa"/>
            <w:shd w:val="clear" w:color="auto" w:fill="F2F2F2" w:themeFill="background1" w:themeFillShade="F2"/>
            <w:hideMark/>
          </w:tcPr>
          <w:p w14:paraId="1EFC1666"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Cannabis presentations in girls or boys aged 15-19</w:t>
            </w:r>
          </w:p>
        </w:tc>
        <w:tc>
          <w:tcPr>
            <w:tcW w:w="1627" w:type="dxa"/>
            <w:shd w:val="clear" w:color="auto" w:fill="F2F2F2" w:themeFill="background1" w:themeFillShade="F2"/>
            <w:hideMark/>
          </w:tcPr>
          <w:p w14:paraId="47F3FEA7"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No increase</w:t>
            </w:r>
          </w:p>
        </w:tc>
        <w:tc>
          <w:tcPr>
            <w:tcW w:w="948" w:type="dxa"/>
            <w:shd w:val="clear" w:color="auto" w:fill="F2F2F2" w:themeFill="background1" w:themeFillShade="F2"/>
            <w:hideMark/>
          </w:tcPr>
          <w:p w14:paraId="767D1DF6"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ns</w:t>
            </w:r>
          </w:p>
        </w:tc>
        <w:tc>
          <w:tcPr>
            <w:tcW w:w="3927" w:type="dxa"/>
            <w:vMerge/>
            <w:vAlign w:val="center"/>
            <w:hideMark/>
          </w:tcPr>
          <w:p w14:paraId="38F369A4"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p>
        </w:tc>
      </w:tr>
      <w:tr w:rsidR="00FA100E" w:rsidRPr="00FA100E" w14:paraId="0E0159C5" w14:textId="77777777" w:rsidTr="000C3DC1">
        <w:trPr>
          <w:gridAfter w:val="1"/>
          <w:wAfter w:w="10" w:type="dxa"/>
          <w:trHeight w:val="900"/>
        </w:trPr>
        <w:tc>
          <w:tcPr>
            <w:tcW w:w="2122" w:type="dxa"/>
            <w:vMerge w:val="restart"/>
            <w:shd w:val="clear" w:color="auto" w:fill="FFFFFF" w:themeFill="background1"/>
            <w:hideMark/>
          </w:tcPr>
          <w:p w14:paraId="49DED506"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Baraniecki (2021): To investigate how legalisation of cannabis has impacted emergency department visits for acute cannabis intoxication [Q=8]</w:t>
            </w:r>
          </w:p>
        </w:tc>
        <w:tc>
          <w:tcPr>
            <w:tcW w:w="2947" w:type="dxa"/>
            <w:vMerge w:val="restart"/>
            <w:shd w:val="clear" w:color="auto" w:fill="FFFFFF" w:themeFill="background1"/>
            <w:hideMark/>
          </w:tcPr>
          <w:p w14:paraId="049F24EB"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 xml:space="preserve">Chart review of an emergency departments in Ontario, Hamilton, N=64,152 visits, N=173 attributed to acute cannabis intoxication; 17-Apr-2018 to 17-Apr-2019 </w:t>
            </w:r>
          </w:p>
        </w:tc>
        <w:tc>
          <w:tcPr>
            <w:tcW w:w="2317" w:type="dxa"/>
            <w:vMerge w:val="restart"/>
            <w:shd w:val="clear" w:color="auto" w:fill="FFFFFF" w:themeFill="background1"/>
            <w:hideMark/>
          </w:tcPr>
          <w:p w14:paraId="685807C3"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Cannabis-related ICD-10 discharge code</w:t>
            </w:r>
          </w:p>
        </w:tc>
        <w:tc>
          <w:tcPr>
            <w:tcW w:w="1971" w:type="dxa"/>
            <w:shd w:val="clear" w:color="auto" w:fill="FFFFFF" w:themeFill="background1"/>
            <w:hideMark/>
          </w:tcPr>
          <w:p w14:paraId="142EAD1E"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Acute cannabis intoxication ED visit rate - overall</w:t>
            </w:r>
          </w:p>
        </w:tc>
        <w:tc>
          <w:tcPr>
            <w:tcW w:w="1627" w:type="dxa"/>
            <w:shd w:val="clear" w:color="auto" w:fill="FFFFFF" w:themeFill="background1"/>
            <w:hideMark/>
          </w:tcPr>
          <w:p w14:paraId="5DB4133D"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2.44 before vs 2.94 after/1000, p=0.27</w:t>
            </w:r>
          </w:p>
        </w:tc>
        <w:tc>
          <w:tcPr>
            <w:tcW w:w="948" w:type="dxa"/>
            <w:shd w:val="clear" w:color="auto" w:fill="FFFFFF" w:themeFill="background1"/>
            <w:hideMark/>
          </w:tcPr>
          <w:p w14:paraId="605305F7"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ns</w:t>
            </w:r>
          </w:p>
        </w:tc>
        <w:tc>
          <w:tcPr>
            <w:tcW w:w="3927" w:type="dxa"/>
            <w:vMerge w:val="restart"/>
            <w:shd w:val="clear" w:color="auto" w:fill="FFFFFF" w:themeFill="background1"/>
            <w:hideMark/>
          </w:tcPr>
          <w:p w14:paraId="6C18C9C4"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 xml:space="preserve">Overall rate of cannabis-related ED visits did not increase after legalisation overall, cases of visits increased in young adults aged 18-29 but not in other age groups. </w:t>
            </w:r>
          </w:p>
        </w:tc>
      </w:tr>
      <w:tr w:rsidR="00FA100E" w:rsidRPr="00FA100E" w14:paraId="2631E9C3" w14:textId="77777777" w:rsidTr="000C3DC1">
        <w:trPr>
          <w:gridAfter w:val="1"/>
          <w:wAfter w:w="10" w:type="dxa"/>
          <w:trHeight w:val="1200"/>
        </w:trPr>
        <w:tc>
          <w:tcPr>
            <w:tcW w:w="2122" w:type="dxa"/>
            <w:vMerge/>
            <w:vAlign w:val="center"/>
            <w:hideMark/>
          </w:tcPr>
          <w:p w14:paraId="64DD8DE4"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p>
        </w:tc>
        <w:tc>
          <w:tcPr>
            <w:tcW w:w="2947" w:type="dxa"/>
            <w:vMerge/>
            <w:vAlign w:val="center"/>
            <w:hideMark/>
          </w:tcPr>
          <w:p w14:paraId="22994DEE"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p>
        </w:tc>
        <w:tc>
          <w:tcPr>
            <w:tcW w:w="2317" w:type="dxa"/>
            <w:vMerge/>
            <w:vAlign w:val="center"/>
            <w:hideMark/>
          </w:tcPr>
          <w:p w14:paraId="6E4F5EBA"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p>
        </w:tc>
        <w:tc>
          <w:tcPr>
            <w:tcW w:w="1971" w:type="dxa"/>
            <w:shd w:val="clear" w:color="auto" w:fill="FFFFFF" w:themeFill="background1"/>
            <w:hideMark/>
          </w:tcPr>
          <w:p w14:paraId="75F1F968"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Cases of cannabis intoxication ED visit rate of young adults (aged 18-29)</w:t>
            </w:r>
          </w:p>
        </w:tc>
        <w:tc>
          <w:tcPr>
            <w:tcW w:w="1627" w:type="dxa"/>
            <w:shd w:val="clear" w:color="auto" w:fill="FFFFFF" w:themeFill="background1"/>
            <w:hideMark/>
          </w:tcPr>
          <w:p w14:paraId="5EFA0417"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41 cases (52%) pre, 64 cases (68%) post, +56%, p=0.03</w:t>
            </w:r>
          </w:p>
        </w:tc>
        <w:tc>
          <w:tcPr>
            <w:tcW w:w="948" w:type="dxa"/>
            <w:shd w:val="clear" w:color="auto" w:fill="FFFFFF" w:themeFill="background1"/>
            <w:hideMark/>
          </w:tcPr>
          <w:p w14:paraId="387BC331"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w:t>
            </w:r>
          </w:p>
        </w:tc>
        <w:tc>
          <w:tcPr>
            <w:tcW w:w="3927" w:type="dxa"/>
            <w:vMerge/>
            <w:vAlign w:val="center"/>
            <w:hideMark/>
          </w:tcPr>
          <w:p w14:paraId="7EFC0AA9"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p>
        </w:tc>
      </w:tr>
      <w:tr w:rsidR="00FA100E" w:rsidRPr="00FA100E" w14:paraId="459A2A83" w14:textId="77777777" w:rsidTr="000C3DC1">
        <w:trPr>
          <w:gridAfter w:val="1"/>
          <w:wAfter w:w="10" w:type="dxa"/>
          <w:trHeight w:val="1200"/>
        </w:trPr>
        <w:tc>
          <w:tcPr>
            <w:tcW w:w="2122" w:type="dxa"/>
            <w:vMerge w:val="restart"/>
            <w:shd w:val="clear" w:color="auto" w:fill="F2F2F2" w:themeFill="background1" w:themeFillShade="F2"/>
            <w:hideMark/>
          </w:tcPr>
          <w:p w14:paraId="63E194C3"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Cohen (2022): To compare pediatric cannabis intoxication trends pre and post-legalization [Q=7]</w:t>
            </w:r>
          </w:p>
        </w:tc>
        <w:tc>
          <w:tcPr>
            <w:tcW w:w="2947" w:type="dxa"/>
            <w:vMerge w:val="restart"/>
            <w:shd w:val="clear" w:color="auto" w:fill="F2F2F2" w:themeFill="background1" w:themeFillShade="F2"/>
            <w:hideMark/>
          </w:tcPr>
          <w:p w14:paraId="6014DC26"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A retrospective cohort study of children 0-18 years of a pediatric ED presenting with cannabis intoxication (N=298, pre n=232, post n=66), 2008 to 2019; pre-legalization 1 Jan 2008 to 12 Apr 2017, peri-post 13 Apr 2017 to 31 Dec 2019</w:t>
            </w:r>
          </w:p>
        </w:tc>
        <w:tc>
          <w:tcPr>
            <w:tcW w:w="2317" w:type="dxa"/>
            <w:vMerge w:val="restart"/>
            <w:shd w:val="clear" w:color="auto" w:fill="F2F2F2" w:themeFill="background1" w:themeFillShade="F2"/>
            <w:hideMark/>
          </w:tcPr>
          <w:p w14:paraId="1B4E7972"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ICU admission rates of children presenting with cannabis intoxication</w:t>
            </w:r>
          </w:p>
        </w:tc>
        <w:tc>
          <w:tcPr>
            <w:tcW w:w="1971" w:type="dxa"/>
            <w:shd w:val="clear" w:color="auto" w:fill="F2F2F2" w:themeFill="background1" w:themeFillShade="F2"/>
            <w:hideMark/>
          </w:tcPr>
          <w:p w14:paraId="2C95C383"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Median monthly number of cannabis-related presentations</w:t>
            </w:r>
          </w:p>
        </w:tc>
        <w:tc>
          <w:tcPr>
            <w:tcW w:w="1627" w:type="dxa"/>
            <w:shd w:val="clear" w:color="auto" w:fill="F2F2F2" w:themeFill="background1" w:themeFillShade="F2"/>
            <w:hideMark/>
          </w:tcPr>
          <w:p w14:paraId="087A3BCE"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2.1 [IQR:1.9-2.5] pre to 1.7 [IQR:1.0-3.0] post, p=.69</w:t>
            </w:r>
          </w:p>
        </w:tc>
        <w:tc>
          <w:tcPr>
            <w:tcW w:w="948" w:type="dxa"/>
            <w:shd w:val="clear" w:color="auto" w:fill="F2F2F2" w:themeFill="background1" w:themeFillShade="F2"/>
            <w:hideMark/>
          </w:tcPr>
          <w:p w14:paraId="5454FEB0"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ns</w:t>
            </w:r>
          </w:p>
        </w:tc>
        <w:tc>
          <w:tcPr>
            <w:tcW w:w="3927" w:type="dxa"/>
            <w:vMerge w:val="restart"/>
            <w:shd w:val="clear" w:color="auto" w:fill="F2F2F2" w:themeFill="background1" w:themeFillShade="F2"/>
            <w:hideMark/>
          </w:tcPr>
          <w:p w14:paraId="5BBB9042"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Post-legalization of cannabis for recreational use was associated with increased rates of cannabis-related presentations indicative of more severe intoxications in younger children. Edible ingestion was a strong predictor of ICU admission.</w:t>
            </w:r>
          </w:p>
        </w:tc>
      </w:tr>
      <w:tr w:rsidR="00FA100E" w:rsidRPr="00FA100E" w14:paraId="3F3A9970" w14:textId="77777777" w:rsidTr="000C3DC1">
        <w:trPr>
          <w:gridAfter w:val="1"/>
          <w:wAfter w:w="10" w:type="dxa"/>
          <w:trHeight w:val="900"/>
        </w:trPr>
        <w:tc>
          <w:tcPr>
            <w:tcW w:w="2122" w:type="dxa"/>
            <w:vMerge/>
            <w:vAlign w:val="center"/>
            <w:hideMark/>
          </w:tcPr>
          <w:p w14:paraId="465DCB11"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p>
        </w:tc>
        <w:tc>
          <w:tcPr>
            <w:tcW w:w="2947" w:type="dxa"/>
            <w:vMerge/>
            <w:vAlign w:val="center"/>
            <w:hideMark/>
          </w:tcPr>
          <w:p w14:paraId="17441F19"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p>
        </w:tc>
        <w:tc>
          <w:tcPr>
            <w:tcW w:w="2317" w:type="dxa"/>
            <w:vMerge/>
            <w:vAlign w:val="center"/>
            <w:hideMark/>
          </w:tcPr>
          <w:p w14:paraId="2B69C658"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p>
        </w:tc>
        <w:tc>
          <w:tcPr>
            <w:tcW w:w="1971" w:type="dxa"/>
            <w:shd w:val="clear" w:color="auto" w:fill="F2F2F2" w:themeFill="background1" w:themeFillShade="F2"/>
            <w:hideMark/>
          </w:tcPr>
          <w:p w14:paraId="13EAE3A8"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Proportion of children admitted to the ICU</w:t>
            </w:r>
          </w:p>
        </w:tc>
        <w:tc>
          <w:tcPr>
            <w:tcW w:w="1627" w:type="dxa"/>
            <w:shd w:val="clear" w:color="auto" w:fill="F2F2F2" w:themeFill="background1" w:themeFillShade="F2"/>
            <w:hideMark/>
          </w:tcPr>
          <w:p w14:paraId="352C54A9"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13.6% vs. 4.7% pre to 13.6% post, p=.02</w:t>
            </w:r>
          </w:p>
        </w:tc>
        <w:tc>
          <w:tcPr>
            <w:tcW w:w="948" w:type="dxa"/>
            <w:shd w:val="clear" w:color="auto" w:fill="F2F2F2" w:themeFill="background1" w:themeFillShade="F2"/>
            <w:hideMark/>
          </w:tcPr>
          <w:p w14:paraId="00B8ACD1"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w:t>
            </w:r>
          </w:p>
        </w:tc>
        <w:tc>
          <w:tcPr>
            <w:tcW w:w="3927" w:type="dxa"/>
            <w:vMerge/>
            <w:vAlign w:val="center"/>
            <w:hideMark/>
          </w:tcPr>
          <w:p w14:paraId="47CA8419"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p>
        </w:tc>
      </w:tr>
      <w:tr w:rsidR="00FA100E" w:rsidRPr="00FA100E" w14:paraId="6BC8C651" w14:textId="77777777" w:rsidTr="000C3DC1">
        <w:trPr>
          <w:gridAfter w:val="1"/>
          <w:wAfter w:w="10" w:type="dxa"/>
          <w:trHeight w:val="900"/>
        </w:trPr>
        <w:tc>
          <w:tcPr>
            <w:tcW w:w="2122" w:type="dxa"/>
            <w:vMerge/>
            <w:vAlign w:val="center"/>
            <w:hideMark/>
          </w:tcPr>
          <w:p w14:paraId="461D2146"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p>
        </w:tc>
        <w:tc>
          <w:tcPr>
            <w:tcW w:w="2947" w:type="dxa"/>
            <w:vMerge/>
            <w:vAlign w:val="center"/>
            <w:hideMark/>
          </w:tcPr>
          <w:p w14:paraId="66924E1F"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p>
        </w:tc>
        <w:tc>
          <w:tcPr>
            <w:tcW w:w="2317" w:type="dxa"/>
            <w:vMerge/>
            <w:vAlign w:val="center"/>
            <w:hideMark/>
          </w:tcPr>
          <w:p w14:paraId="15CBF759"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p>
        </w:tc>
        <w:tc>
          <w:tcPr>
            <w:tcW w:w="1971" w:type="dxa"/>
            <w:shd w:val="clear" w:color="auto" w:fill="F2F2F2" w:themeFill="background1" w:themeFillShade="F2"/>
            <w:hideMark/>
          </w:tcPr>
          <w:p w14:paraId="4CDCBD04"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Proportions of children &lt;12 years</w:t>
            </w:r>
          </w:p>
        </w:tc>
        <w:tc>
          <w:tcPr>
            <w:tcW w:w="1627" w:type="dxa"/>
            <w:shd w:val="clear" w:color="auto" w:fill="F2F2F2" w:themeFill="background1" w:themeFillShade="F2"/>
            <w:hideMark/>
          </w:tcPr>
          <w:p w14:paraId="4B4C1852"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3.0% pre to 12.1% post, p=.04</w:t>
            </w:r>
          </w:p>
        </w:tc>
        <w:tc>
          <w:tcPr>
            <w:tcW w:w="948" w:type="dxa"/>
            <w:shd w:val="clear" w:color="auto" w:fill="F2F2F2" w:themeFill="background1" w:themeFillShade="F2"/>
            <w:hideMark/>
          </w:tcPr>
          <w:p w14:paraId="414DE1C6"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w:t>
            </w:r>
          </w:p>
        </w:tc>
        <w:tc>
          <w:tcPr>
            <w:tcW w:w="3927" w:type="dxa"/>
            <w:vMerge/>
            <w:vAlign w:val="center"/>
            <w:hideMark/>
          </w:tcPr>
          <w:p w14:paraId="63DB368E"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p>
        </w:tc>
      </w:tr>
      <w:tr w:rsidR="00FA100E" w:rsidRPr="00FA100E" w14:paraId="104035B0" w14:textId="77777777" w:rsidTr="000C3DC1">
        <w:trPr>
          <w:gridAfter w:val="1"/>
          <w:wAfter w:w="10" w:type="dxa"/>
          <w:trHeight w:val="900"/>
        </w:trPr>
        <w:tc>
          <w:tcPr>
            <w:tcW w:w="2122" w:type="dxa"/>
            <w:vMerge/>
            <w:vAlign w:val="center"/>
            <w:hideMark/>
          </w:tcPr>
          <w:p w14:paraId="106CFE60"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p>
        </w:tc>
        <w:tc>
          <w:tcPr>
            <w:tcW w:w="2947" w:type="dxa"/>
            <w:vMerge/>
            <w:vAlign w:val="center"/>
            <w:hideMark/>
          </w:tcPr>
          <w:p w14:paraId="4067608C"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p>
        </w:tc>
        <w:tc>
          <w:tcPr>
            <w:tcW w:w="2317" w:type="dxa"/>
            <w:vMerge/>
            <w:vAlign w:val="center"/>
            <w:hideMark/>
          </w:tcPr>
          <w:p w14:paraId="58EFB320"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p>
        </w:tc>
        <w:tc>
          <w:tcPr>
            <w:tcW w:w="1971" w:type="dxa"/>
            <w:shd w:val="clear" w:color="auto" w:fill="F2F2F2" w:themeFill="background1" w:themeFillShade="F2"/>
            <w:hideMark/>
          </w:tcPr>
          <w:p w14:paraId="7EB7AB69"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Proportions with respiratory involvement</w:t>
            </w:r>
          </w:p>
        </w:tc>
        <w:tc>
          <w:tcPr>
            <w:tcW w:w="1627" w:type="dxa"/>
            <w:shd w:val="clear" w:color="auto" w:fill="F2F2F2" w:themeFill="background1" w:themeFillShade="F2"/>
            <w:hideMark/>
          </w:tcPr>
          <w:p w14:paraId="6737E4B6"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50.9% pre to 65.9% post, p=.05</w:t>
            </w:r>
          </w:p>
        </w:tc>
        <w:tc>
          <w:tcPr>
            <w:tcW w:w="948" w:type="dxa"/>
            <w:shd w:val="clear" w:color="auto" w:fill="F2F2F2" w:themeFill="background1" w:themeFillShade="F2"/>
            <w:hideMark/>
          </w:tcPr>
          <w:p w14:paraId="664E06D6"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w:t>
            </w:r>
          </w:p>
        </w:tc>
        <w:tc>
          <w:tcPr>
            <w:tcW w:w="3927" w:type="dxa"/>
            <w:vMerge/>
            <w:vAlign w:val="center"/>
            <w:hideMark/>
          </w:tcPr>
          <w:p w14:paraId="5A692F16"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p>
        </w:tc>
      </w:tr>
      <w:tr w:rsidR="00FA100E" w:rsidRPr="00FA100E" w14:paraId="7173359C" w14:textId="77777777" w:rsidTr="000C3DC1">
        <w:trPr>
          <w:gridAfter w:val="1"/>
          <w:wAfter w:w="10" w:type="dxa"/>
          <w:trHeight w:val="900"/>
        </w:trPr>
        <w:tc>
          <w:tcPr>
            <w:tcW w:w="2122" w:type="dxa"/>
            <w:vMerge/>
            <w:vAlign w:val="center"/>
            <w:hideMark/>
          </w:tcPr>
          <w:p w14:paraId="0A585A7C"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p>
        </w:tc>
        <w:tc>
          <w:tcPr>
            <w:tcW w:w="2947" w:type="dxa"/>
            <w:vMerge/>
            <w:vAlign w:val="center"/>
            <w:hideMark/>
          </w:tcPr>
          <w:p w14:paraId="7A940DB3"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p>
        </w:tc>
        <w:tc>
          <w:tcPr>
            <w:tcW w:w="2317" w:type="dxa"/>
            <w:vMerge/>
            <w:vAlign w:val="center"/>
            <w:hideMark/>
          </w:tcPr>
          <w:p w14:paraId="1CDE973F"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p>
        </w:tc>
        <w:tc>
          <w:tcPr>
            <w:tcW w:w="1971" w:type="dxa"/>
            <w:shd w:val="clear" w:color="auto" w:fill="F2F2F2" w:themeFill="background1" w:themeFillShade="F2"/>
            <w:hideMark/>
          </w:tcPr>
          <w:p w14:paraId="225D123F"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Proportions with altered mental status</w:t>
            </w:r>
          </w:p>
        </w:tc>
        <w:tc>
          <w:tcPr>
            <w:tcW w:w="1627" w:type="dxa"/>
            <w:shd w:val="clear" w:color="auto" w:fill="F2F2F2" w:themeFill="background1" w:themeFillShade="F2"/>
            <w:hideMark/>
          </w:tcPr>
          <w:p w14:paraId="6791C3DD"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14.2% pre to 28.8% post, p&lt;.01</w:t>
            </w:r>
          </w:p>
        </w:tc>
        <w:tc>
          <w:tcPr>
            <w:tcW w:w="948" w:type="dxa"/>
            <w:shd w:val="clear" w:color="auto" w:fill="F2F2F2" w:themeFill="background1" w:themeFillShade="F2"/>
            <w:hideMark/>
          </w:tcPr>
          <w:p w14:paraId="5E13F257"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w:t>
            </w:r>
          </w:p>
        </w:tc>
        <w:tc>
          <w:tcPr>
            <w:tcW w:w="3927" w:type="dxa"/>
            <w:vMerge/>
            <w:vAlign w:val="center"/>
            <w:hideMark/>
          </w:tcPr>
          <w:p w14:paraId="3E44D384"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p>
        </w:tc>
      </w:tr>
      <w:tr w:rsidR="00FA100E" w:rsidRPr="00FA100E" w14:paraId="5233CB23" w14:textId="77777777" w:rsidTr="000C3DC1">
        <w:trPr>
          <w:gridAfter w:val="1"/>
          <w:wAfter w:w="10" w:type="dxa"/>
          <w:trHeight w:val="1200"/>
        </w:trPr>
        <w:tc>
          <w:tcPr>
            <w:tcW w:w="2122" w:type="dxa"/>
            <w:vMerge/>
            <w:vAlign w:val="center"/>
            <w:hideMark/>
          </w:tcPr>
          <w:p w14:paraId="6BDC8686"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p>
        </w:tc>
        <w:tc>
          <w:tcPr>
            <w:tcW w:w="2947" w:type="dxa"/>
            <w:vMerge/>
            <w:vAlign w:val="center"/>
            <w:hideMark/>
          </w:tcPr>
          <w:p w14:paraId="0621AF68"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p>
        </w:tc>
        <w:tc>
          <w:tcPr>
            <w:tcW w:w="2317" w:type="dxa"/>
            <w:vMerge/>
            <w:vAlign w:val="center"/>
            <w:hideMark/>
          </w:tcPr>
          <w:p w14:paraId="5552CB79"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p>
        </w:tc>
        <w:tc>
          <w:tcPr>
            <w:tcW w:w="1971" w:type="dxa"/>
            <w:shd w:val="clear" w:color="auto" w:fill="F2F2F2" w:themeFill="background1" w:themeFillShade="F2"/>
            <w:hideMark/>
          </w:tcPr>
          <w:p w14:paraId="6454BE9E"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Proportions involving unintentional exposures</w:t>
            </w:r>
          </w:p>
        </w:tc>
        <w:tc>
          <w:tcPr>
            <w:tcW w:w="1627" w:type="dxa"/>
            <w:shd w:val="clear" w:color="auto" w:fill="F2F2F2" w:themeFill="background1" w:themeFillShade="F2"/>
            <w:hideMark/>
          </w:tcPr>
          <w:p w14:paraId="22218F30"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2.8% pre to 14.4% post, p=.002</w:t>
            </w:r>
          </w:p>
        </w:tc>
        <w:tc>
          <w:tcPr>
            <w:tcW w:w="948" w:type="dxa"/>
            <w:shd w:val="clear" w:color="auto" w:fill="F2F2F2" w:themeFill="background1" w:themeFillShade="F2"/>
            <w:hideMark/>
          </w:tcPr>
          <w:p w14:paraId="7C7EEB77"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w:t>
            </w:r>
          </w:p>
        </w:tc>
        <w:tc>
          <w:tcPr>
            <w:tcW w:w="3927" w:type="dxa"/>
            <w:vMerge/>
            <w:vAlign w:val="center"/>
            <w:hideMark/>
          </w:tcPr>
          <w:p w14:paraId="2C1C3BED"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p>
        </w:tc>
      </w:tr>
      <w:tr w:rsidR="00FA100E" w:rsidRPr="00FA100E" w14:paraId="5C467C28" w14:textId="77777777" w:rsidTr="000C3DC1">
        <w:trPr>
          <w:gridAfter w:val="1"/>
          <w:wAfter w:w="10" w:type="dxa"/>
          <w:trHeight w:val="900"/>
        </w:trPr>
        <w:tc>
          <w:tcPr>
            <w:tcW w:w="2122" w:type="dxa"/>
            <w:vMerge/>
            <w:vAlign w:val="center"/>
            <w:hideMark/>
          </w:tcPr>
          <w:p w14:paraId="2804E7F7"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p>
        </w:tc>
        <w:tc>
          <w:tcPr>
            <w:tcW w:w="2947" w:type="dxa"/>
            <w:vMerge/>
            <w:vAlign w:val="center"/>
            <w:hideMark/>
          </w:tcPr>
          <w:p w14:paraId="5F43B7EF"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p>
        </w:tc>
        <w:tc>
          <w:tcPr>
            <w:tcW w:w="2317" w:type="dxa"/>
            <w:vMerge/>
            <w:vAlign w:val="center"/>
            <w:hideMark/>
          </w:tcPr>
          <w:p w14:paraId="43F4376C"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p>
        </w:tc>
        <w:tc>
          <w:tcPr>
            <w:tcW w:w="1971" w:type="dxa"/>
            <w:shd w:val="clear" w:color="auto" w:fill="F2F2F2" w:themeFill="background1" w:themeFillShade="F2"/>
            <w:hideMark/>
          </w:tcPr>
          <w:p w14:paraId="0AFEFDC8"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Proportions involving edibles ingestion</w:t>
            </w:r>
          </w:p>
        </w:tc>
        <w:tc>
          <w:tcPr>
            <w:tcW w:w="1627" w:type="dxa"/>
            <w:shd w:val="clear" w:color="auto" w:fill="F2F2F2" w:themeFill="background1" w:themeFillShade="F2"/>
            <w:hideMark/>
          </w:tcPr>
          <w:p w14:paraId="735AA96F"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7.8% pre to 19.7% post, p=.01</w:t>
            </w:r>
          </w:p>
        </w:tc>
        <w:tc>
          <w:tcPr>
            <w:tcW w:w="948" w:type="dxa"/>
            <w:shd w:val="clear" w:color="auto" w:fill="F2F2F2" w:themeFill="background1" w:themeFillShade="F2"/>
            <w:hideMark/>
          </w:tcPr>
          <w:p w14:paraId="782307F9"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w:t>
            </w:r>
          </w:p>
        </w:tc>
        <w:tc>
          <w:tcPr>
            <w:tcW w:w="3927" w:type="dxa"/>
            <w:vMerge/>
            <w:vAlign w:val="center"/>
            <w:hideMark/>
          </w:tcPr>
          <w:p w14:paraId="72F5D703"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p>
        </w:tc>
      </w:tr>
      <w:tr w:rsidR="00FA100E" w:rsidRPr="00FA100E" w14:paraId="4ECAFB71" w14:textId="77777777" w:rsidTr="000C3DC1">
        <w:trPr>
          <w:gridAfter w:val="1"/>
          <w:wAfter w:w="10" w:type="dxa"/>
          <w:trHeight w:val="900"/>
        </w:trPr>
        <w:tc>
          <w:tcPr>
            <w:tcW w:w="2122" w:type="dxa"/>
            <w:vMerge w:val="restart"/>
            <w:shd w:val="clear" w:color="auto" w:fill="FFFFFF" w:themeFill="background1"/>
            <w:hideMark/>
          </w:tcPr>
          <w:p w14:paraId="1716044B"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Coret (2022): To compare unintentional cannabis exposure in children pre- and post-legalization [Q=7]</w:t>
            </w:r>
          </w:p>
        </w:tc>
        <w:tc>
          <w:tcPr>
            <w:tcW w:w="2947" w:type="dxa"/>
            <w:vMerge w:val="restart"/>
            <w:shd w:val="clear" w:color="auto" w:fill="FFFFFF" w:themeFill="background1"/>
            <w:hideMark/>
          </w:tcPr>
          <w:p w14:paraId="42AF6B17"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A retrospective chart review of Emergency Department visits at the Children's Hospital of Eastern Ontario (Ottawa, ON), N=37 children, mean age 5.9±3.8 years; March 2013 to Sept 2020</w:t>
            </w:r>
          </w:p>
        </w:tc>
        <w:tc>
          <w:tcPr>
            <w:tcW w:w="2317" w:type="dxa"/>
            <w:vMerge w:val="restart"/>
            <w:shd w:val="clear" w:color="auto" w:fill="FFFFFF" w:themeFill="background1"/>
            <w:hideMark/>
          </w:tcPr>
          <w:p w14:paraId="5EAC33E2"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ED visits of unintentional cannabis ingestion (ICD-10 codes T40.7 and X42)</w:t>
            </w:r>
          </w:p>
        </w:tc>
        <w:tc>
          <w:tcPr>
            <w:tcW w:w="1971" w:type="dxa"/>
            <w:shd w:val="clear" w:color="auto" w:fill="FFFFFF" w:themeFill="background1"/>
            <w:hideMark/>
          </w:tcPr>
          <w:p w14:paraId="0F4F5FD6"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Unintentional ingestion, number of visits</w:t>
            </w:r>
          </w:p>
        </w:tc>
        <w:tc>
          <w:tcPr>
            <w:tcW w:w="1627" w:type="dxa"/>
            <w:shd w:val="clear" w:color="auto" w:fill="FFFFFF" w:themeFill="background1"/>
            <w:hideMark/>
          </w:tcPr>
          <w:p w14:paraId="731C5C72"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5 visits (14%) pre to 32 visits (86%) post</w:t>
            </w:r>
          </w:p>
        </w:tc>
        <w:tc>
          <w:tcPr>
            <w:tcW w:w="948" w:type="dxa"/>
            <w:vMerge w:val="restart"/>
            <w:shd w:val="clear" w:color="auto" w:fill="FFFFFF" w:themeFill="background1"/>
            <w:hideMark/>
          </w:tcPr>
          <w:p w14:paraId="22137B1A"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w:t>
            </w:r>
          </w:p>
        </w:tc>
        <w:tc>
          <w:tcPr>
            <w:tcW w:w="3927" w:type="dxa"/>
            <w:vMerge w:val="restart"/>
            <w:shd w:val="clear" w:color="auto" w:fill="FFFFFF" w:themeFill="background1"/>
            <w:hideMark/>
          </w:tcPr>
          <w:p w14:paraId="60664752"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 xml:space="preserve">Most visits occurred in the 2-year period after legalization. The most common symptoms were altered levels of consciousness, lethargy or somnolence, tachycardia, and vomiting. 76% of cases were exposed to edibles . A third (32%) required admission to the hospital for less than 24 hours. </w:t>
            </w:r>
          </w:p>
        </w:tc>
      </w:tr>
      <w:tr w:rsidR="00FA100E" w:rsidRPr="00FA100E" w14:paraId="70092F1B" w14:textId="77777777" w:rsidTr="000C3DC1">
        <w:trPr>
          <w:gridAfter w:val="1"/>
          <w:wAfter w:w="10" w:type="dxa"/>
          <w:trHeight w:val="900"/>
        </w:trPr>
        <w:tc>
          <w:tcPr>
            <w:tcW w:w="2122" w:type="dxa"/>
            <w:vMerge/>
            <w:vAlign w:val="center"/>
            <w:hideMark/>
          </w:tcPr>
          <w:p w14:paraId="5C1CF20B"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p>
        </w:tc>
        <w:tc>
          <w:tcPr>
            <w:tcW w:w="2947" w:type="dxa"/>
            <w:vMerge/>
            <w:vAlign w:val="center"/>
            <w:hideMark/>
          </w:tcPr>
          <w:p w14:paraId="5D7E8196"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p>
        </w:tc>
        <w:tc>
          <w:tcPr>
            <w:tcW w:w="2317" w:type="dxa"/>
            <w:vMerge/>
            <w:vAlign w:val="center"/>
            <w:hideMark/>
          </w:tcPr>
          <w:p w14:paraId="593E3F6B"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p>
        </w:tc>
        <w:tc>
          <w:tcPr>
            <w:tcW w:w="1971" w:type="dxa"/>
            <w:shd w:val="clear" w:color="auto" w:fill="FFFFFF" w:themeFill="background1"/>
            <w:hideMark/>
          </w:tcPr>
          <w:p w14:paraId="4413C33D"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Proportion of exposures to edibles</w:t>
            </w:r>
          </w:p>
        </w:tc>
        <w:tc>
          <w:tcPr>
            <w:tcW w:w="1627" w:type="dxa"/>
            <w:shd w:val="clear" w:color="auto" w:fill="FFFFFF" w:themeFill="background1"/>
            <w:hideMark/>
          </w:tcPr>
          <w:p w14:paraId="4535CD0F"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76%</w:t>
            </w:r>
          </w:p>
        </w:tc>
        <w:tc>
          <w:tcPr>
            <w:tcW w:w="948" w:type="dxa"/>
            <w:vMerge/>
            <w:vAlign w:val="center"/>
            <w:hideMark/>
          </w:tcPr>
          <w:p w14:paraId="3C088062"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p>
        </w:tc>
        <w:tc>
          <w:tcPr>
            <w:tcW w:w="3927" w:type="dxa"/>
            <w:vMerge/>
            <w:vAlign w:val="center"/>
            <w:hideMark/>
          </w:tcPr>
          <w:p w14:paraId="2D31F177"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p>
        </w:tc>
      </w:tr>
      <w:tr w:rsidR="00FA100E" w:rsidRPr="00FA100E" w14:paraId="1FA504A9" w14:textId="77777777" w:rsidTr="000C3DC1">
        <w:trPr>
          <w:gridAfter w:val="1"/>
          <w:wAfter w:w="10" w:type="dxa"/>
          <w:trHeight w:val="900"/>
        </w:trPr>
        <w:tc>
          <w:tcPr>
            <w:tcW w:w="2122" w:type="dxa"/>
            <w:vMerge/>
            <w:vAlign w:val="center"/>
            <w:hideMark/>
          </w:tcPr>
          <w:p w14:paraId="2B610696"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p>
        </w:tc>
        <w:tc>
          <w:tcPr>
            <w:tcW w:w="2947" w:type="dxa"/>
            <w:vMerge/>
            <w:vAlign w:val="center"/>
            <w:hideMark/>
          </w:tcPr>
          <w:p w14:paraId="444671FF"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p>
        </w:tc>
        <w:tc>
          <w:tcPr>
            <w:tcW w:w="2317" w:type="dxa"/>
            <w:vMerge/>
            <w:vAlign w:val="center"/>
            <w:hideMark/>
          </w:tcPr>
          <w:p w14:paraId="5D9024BE"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p>
        </w:tc>
        <w:tc>
          <w:tcPr>
            <w:tcW w:w="1971" w:type="dxa"/>
            <w:shd w:val="clear" w:color="auto" w:fill="FFFFFF" w:themeFill="background1"/>
            <w:hideMark/>
          </w:tcPr>
          <w:p w14:paraId="7DDE7672"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Proportion of exposures in home setting</w:t>
            </w:r>
          </w:p>
        </w:tc>
        <w:tc>
          <w:tcPr>
            <w:tcW w:w="1627" w:type="dxa"/>
            <w:shd w:val="clear" w:color="auto" w:fill="FFFFFF" w:themeFill="background1"/>
            <w:hideMark/>
          </w:tcPr>
          <w:p w14:paraId="5A72E30E"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81%</w:t>
            </w:r>
          </w:p>
        </w:tc>
        <w:tc>
          <w:tcPr>
            <w:tcW w:w="948" w:type="dxa"/>
            <w:vMerge/>
            <w:vAlign w:val="center"/>
            <w:hideMark/>
          </w:tcPr>
          <w:p w14:paraId="047D82CE"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p>
        </w:tc>
        <w:tc>
          <w:tcPr>
            <w:tcW w:w="3927" w:type="dxa"/>
            <w:vMerge/>
            <w:vAlign w:val="center"/>
            <w:hideMark/>
          </w:tcPr>
          <w:p w14:paraId="5E0FCFD5"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p>
        </w:tc>
      </w:tr>
      <w:tr w:rsidR="00FA100E" w:rsidRPr="00FA100E" w14:paraId="65EF2215" w14:textId="77777777" w:rsidTr="000C3DC1">
        <w:trPr>
          <w:gridAfter w:val="1"/>
          <w:wAfter w:w="10" w:type="dxa"/>
          <w:trHeight w:val="900"/>
        </w:trPr>
        <w:tc>
          <w:tcPr>
            <w:tcW w:w="2122" w:type="dxa"/>
            <w:vMerge/>
            <w:vAlign w:val="center"/>
            <w:hideMark/>
          </w:tcPr>
          <w:p w14:paraId="18B0788D"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p>
        </w:tc>
        <w:tc>
          <w:tcPr>
            <w:tcW w:w="2947" w:type="dxa"/>
            <w:vMerge/>
            <w:vAlign w:val="center"/>
            <w:hideMark/>
          </w:tcPr>
          <w:p w14:paraId="450D72B1"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p>
        </w:tc>
        <w:tc>
          <w:tcPr>
            <w:tcW w:w="2317" w:type="dxa"/>
            <w:vMerge/>
            <w:vAlign w:val="center"/>
            <w:hideMark/>
          </w:tcPr>
          <w:p w14:paraId="2FF5D65B"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p>
        </w:tc>
        <w:tc>
          <w:tcPr>
            <w:tcW w:w="1971" w:type="dxa"/>
            <w:shd w:val="clear" w:color="auto" w:fill="FFFFFF" w:themeFill="background1"/>
            <w:hideMark/>
          </w:tcPr>
          <w:p w14:paraId="052D23AC"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Proportion requiring hospital admission</w:t>
            </w:r>
          </w:p>
        </w:tc>
        <w:tc>
          <w:tcPr>
            <w:tcW w:w="1627" w:type="dxa"/>
            <w:shd w:val="clear" w:color="auto" w:fill="FFFFFF" w:themeFill="background1"/>
            <w:hideMark/>
          </w:tcPr>
          <w:p w14:paraId="2FBE4352"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32%</w:t>
            </w:r>
          </w:p>
        </w:tc>
        <w:tc>
          <w:tcPr>
            <w:tcW w:w="948" w:type="dxa"/>
            <w:vMerge/>
            <w:vAlign w:val="center"/>
            <w:hideMark/>
          </w:tcPr>
          <w:p w14:paraId="31295F5B"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p>
        </w:tc>
        <w:tc>
          <w:tcPr>
            <w:tcW w:w="3927" w:type="dxa"/>
            <w:vMerge/>
            <w:vAlign w:val="center"/>
            <w:hideMark/>
          </w:tcPr>
          <w:p w14:paraId="1B3BF33D"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p>
        </w:tc>
      </w:tr>
      <w:tr w:rsidR="00FA100E" w:rsidRPr="00FA100E" w14:paraId="0FA2DBA4" w14:textId="77777777" w:rsidTr="000C3DC1">
        <w:trPr>
          <w:gridAfter w:val="1"/>
          <w:wAfter w:w="10" w:type="dxa"/>
          <w:trHeight w:val="6000"/>
        </w:trPr>
        <w:tc>
          <w:tcPr>
            <w:tcW w:w="2122" w:type="dxa"/>
            <w:shd w:val="clear" w:color="auto" w:fill="F2F2F2" w:themeFill="background1" w:themeFillShade="F2"/>
            <w:hideMark/>
          </w:tcPr>
          <w:p w14:paraId="21FB5EF1" w14:textId="3DAABD96"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Myran (202</w:t>
            </w:r>
            <w:r w:rsidR="00CA5472" w:rsidRPr="00FA100E">
              <w:rPr>
                <w:rFonts w:ascii="Times New Roman" w:eastAsia="Times New Roman" w:hAnsi="Times New Roman" w:cs="Times New Roman"/>
                <w:sz w:val="22"/>
                <w:szCs w:val="22"/>
                <w:lang w:val="en-GB" w:eastAsia="en-GB"/>
              </w:rPr>
              <w:t>2</w:t>
            </w:r>
            <w:r w:rsidRPr="00FA100E">
              <w:rPr>
                <w:rFonts w:ascii="Times New Roman" w:eastAsia="Times New Roman" w:hAnsi="Times New Roman" w:cs="Times New Roman"/>
                <w:sz w:val="22"/>
                <w:szCs w:val="22"/>
                <w:lang w:val="en-GB" w:eastAsia="en-GB"/>
              </w:rPr>
              <w:t>): To examine changes in emergency department visits and hospitalizations due to cannabis exposures among children after legalization of recreational cannabis in Canada [Q=7]</w:t>
            </w:r>
          </w:p>
        </w:tc>
        <w:tc>
          <w:tcPr>
            <w:tcW w:w="2947" w:type="dxa"/>
            <w:shd w:val="clear" w:color="auto" w:fill="F2F2F2" w:themeFill="background1" w:themeFillShade="F2"/>
            <w:hideMark/>
          </w:tcPr>
          <w:p w14:paraId="4375F8D3"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 xml:space="preserve">ED visits in Ontario, children aged 0-9 years, N=522 ED visits due to cannabis exposures, N=81 before legalisation, N=124 visits in the first period, and N=317 visits in the second phase of legalisation; 2016-2021 </w:t>
            </w:r>
          </w:p>
        </w:tc>
        <w:tc>
          <w:tcPr>
            <w:tcW w:w="2317" w:type="dxa"/>
            <w:shd w:val="clear" w:color="auto" w:fill="F2F2F2" w:themeFill="background1" w:themeFillShade="F2"/>
            <w:hideMark/>
          </w:tcPr>
          <w:p w14:paraId="1FD7961D"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 xml:space="preserve">Proportion of ED visits requiring hospitalization </w:t>
            </w:r>
          </w:p>
        </w:tc>
        <w:tc>
          <w:tcPr>
            <w:tcW w:w="1971" w:type="dxa"/>
            <w:shd w:val="clear" w:color="auto" w:fill="F2F2F2" w:themeFill="background1" w:themeFillShade="F2"/>
            <w:hideMark/>
          </w:tcPr>
          <w:p w14:paraId="2CA699BF"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 xml:space="preserve">Cannabis-related visits </w:t>
            </w:r>
          </w:p>
        </w:tc>
        <w:tc>
          <w:tcPr>
            <w:tcW w:w="1627" w:type="dxa"/>
            <w:shd w:val="clear" w:color="auto" w:fill="F2F2F2" w:themeFill="background1" w:themeFillShade="F2"/>
            <w:hideMark/>
          </w:tcPr>
          <w:p w14:paraId="0E650B9B"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IRR=3.13 in 1st period, IRR=9.12 in 2nd period</w:t>
            </w:r>
          </w:p>
        </w:tc>
        <w:tc>
          <w:tcPr>
            <w:tcW w:w="948" w:type="dxa"/>
            <w:shd w:val="clear" w:color="auto" w:fill="F2F2F2" w:themeFill="background1" w:themeFillShade="F2"/>
            <w:hideMark/>
          </w:tcPr>
          <w:p w14:paraId="557AFD44"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w:t>
            </w:r>
          </w:p>
        </w:tc>
        <w:tc>
          <w:tcPr>
            <w:tcW w:w="3927" w:type="dxa"/>
            <w:shd w:val="clear" w:color="auto" w:fill="F2F2F2" w:themeFill="background1" w:themeFillShade="F2"/>
            <w:hideMark/>
          </w:tcPr>
          <w:p w14:paraId="6A53103D"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The proportion of cannabis-related ED visits requiring hospitalization increased significantly after edibles were sold (122 vs 29 in the first period compared with 20 before legalization). Rates of cannabis-related ED visits increased from January 2016 to March 2021 in both the first (IRR, 3.13) and second period (IRR, 9.12). After adjusting for trends in cannabis-related ED visits throughout the whole study period, there was an increase in visits during the period when edibles could be sold (IRR, 2.23).</w:t>
            </w:r>
          </w:p>
        </w:tc>
      </w:tr>
      <w:tr w:rsidR="00FA100E" w:rsidRPr="00FA100E" w14:paraId="604894F0" w14:textId="77777777" w:rsidTr="000C3DC1">
        <w:trPr>
          <w:gridAfter w:val="1"/>
          <w:wAfter w:w="10" w:type="dxa"/>
          <w:trHeight w:val="1200"/>
        </w:trPr>
        <w:tc>
          <w:tcPr>
            <w:tcW w:w="2122" w:type="dxa"/>
            <w:vMerge w:val="restart"/>
            <w:shd w:val="clear" w:color="auto" w:fill="FFFFFF" w:themeFill="background1"/>
            <w:hideMark/>
          </w:tcPr>
          <w:p w14:paraId="75D0D022"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Myran (2022): To compare commercialization and cannabis-attributable emergency department visits after cannabis legalization [Q=7]</w:t>
            </w:r>
          </w:p>
        </w:tc>
        <w:tc>
          <w:tcPr>
            <w:tcW w:w="2947" w:type="dxa"/>
            <w:vMerge w:val="restart"/>
            <w:shd w:val="clear" w:color="auto" w:fill="FFFFFF" w:themeFill="background1"/>
            <w:hideMark/>
          </w:tcPr>
          <w:p w14:paraId="66CD92F9"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 xml:space="preserve">Interrupted time-series analysis of emergency department visits in Ontario, N=13.8 million individuals, age 15-105; 2016-2021 </w:t>
            </w:r>
          </w:p>
        </w:tc>
        <w:tc>
          <w:tcPr>
            <w:tcW w:w="2317" w:type="dxa"/>
            <w:vMerge w:val="restart"/>
            <w:shd w:val="clear" w:color="auto" w:fill="FFFFFF" w:themeFill="background1"/>
            <w:hideMark/>
          </w:tcPr>
          <w:p w14:paraId="778C4693"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Trends of cannabis-attributable ED visits across periods 1) RCL: with store restrictions and 2) RCC: no store restrictions</w:t>
            </w:r>
          </w:p>
        </w:tc>
        <w:tc>
          <w:tcPr>
            <w:tcW w:w="1971" w:type="dxa"/>
            <w:shd w:val="clear" w:color="auto" w:fill="FFFFFF" w:themeFill="background1"/>
            <w:hideMark/>
          </w:tcPr>
          <w:p w14:paraId="5B7C79B9"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Cannabis-attributable visits in RCL</w:t>
            </w:r>
          </w:p>
        </w:tc>
        <w:tc>
          <w:tcPr>
            <w:tcW w:w="1627" w:type="dxa"/>
            <w:shd w:val="clear" w:color="auto" w:fill="FFFFFF" w:themeFill="background1"/>
            <w:hideMark/>
          </w:tcPr>
          <w:p w14:paraId="5156A604"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 xml:space="preserve">+12%, IRR=1.12 [1.02-1.23], </w:t>
            </w:r>
            <w:r w:rsidRPr="00FA100E">
              <w:rPr>
                <w:rFonts w:ascii="Times New Roman" w:eastAsia="Times New Roman" w:hAnsi="Times New Roman" w:cs="Times New Roman"/>
                <w:sz w:val="22"/>
                <w:szCs w:val="22"/>
                <w:lang w:val="en-GB" w:eastAsia="en-GB"/>
              </w:rPr>
              <w:br/>
              <w:t>then IRR=0.98 [0.97-0.99]</w:t>
            </w:r>
          </w:p>
        </w:tc>
        <w:tc>
          <w:tcPr>
            <w:tcW w:w="948" w:type="dxa"/>
            <w:shd w:val="clear" w:color="auto" w:fill="FFFFFF" w:themeFill="background1"/>
            <w:hideMark/>
          </w:tcPr>
          <w:p w14:paraId="042BD24E"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 then -</w:t>
            </w:r>
          </w:p>
        </w:tc>
        <w:tc>
          <w:tcPr>
            <w:tcW w:w="3927" w:type="dxa"/>
            <w:vMerge w:val="restart"/>
            <w:shd w:val="clear" w:color="auto" w:fill="FFFFFF" w:themeFill="background1"/>
            <w:hideMark/>
          </w:tcPr>
          <w:p w14:paraId="202FAE90"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Cannabis attributable ED visits were increasing before legalisation but there was a small statistically significant 18% decline in the monthly visit rate when sales were limited to online, then significantly increased immediately after commercialised retail sales.</w:t>
            </w:r>
          </w:p>
        </w:tc>
      </w:tr>
      <w:tr w:rsidR="00FA100E" w:rsidRPr="00FA100E" w14:paraId="2D6619E2" w14:textId="77777777" w:rsidTr="000C3DC1">
        <w:trPr>
          <w:gridAfter w:val="1"/>
          <w:wAfter w:w="10" w:type="dxa"/>
          <w:trHeight w:val="900"/>
        </w:trPr>
        <w:tc>
          <w:tcPr>
            <w:tcW w:w="2122" w:type="dxa"/>
            <w:vMerge/>
            <w:vAlign w:val="center"/>
            <w:hideMark/>
          </w:tcPr>
          <w:p w14:paraId="5B86B817"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p>
        </w:tc>
        <w:tc>
          <w:tcPr>
            <w:tcW w:w="2947" w:type="dxa"/>
            <w:vMerge/>
            <w:vAlign w:val="center"/>
            <w:hideMark/>
          </w:tcPr>
          <w:p w14:paraId="5A5142B0"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p>
        </w:tc>
        <w:tc>
          <w:tcPr>
            <w:tcW w:w="2317" w:type="dxa"/>
            <w:vMerge/>
            <w:vAlign w:val="center"/>
            <w:hideMark/>
          </w:tcPr>
          <w:p w14:paraId="7A784F32"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p>
        </w:tc>
        <w:tc>
          <w:tcPr>
            <w:tcW w:w="1971" w:type="dxa"/>
            <w:shd w:val="clear" w:color="auto" w:fill="FFFFFF" w:themeFill="background1"/>
            <w:hideMark/>
          </w:tcPr>
          <w:p w14:paraId="74833BA1"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Cannabis-attributable visits in RCC</w:t>
            </w:r>
          </w:p>
        </w:tc>
        <w:tc>
          <w:tcPr>
            <w:tcW w:w="1627" w:type="dxa"/>
            <w:shd w:val="clear" w:color="auto" w:fill="FFFFFF" w:themeFill="background1"/>
            <w:hideMark/>
          </w:tcPr>
          <w:p w14:paraId="6993831A"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+22%, IRR=1.22 [1.09-1.37]</w:t>
            </w:r>
          </w:p>
        </w:tc>
        <w:tc>
          <w:tcPr>
            <w:tcW w:w="948" w:type="dxa"/>
            <w:shd w:val="clear" w:color="auto" w:fill="FFFFFF" w:themeFill="background1"/>
            <w:hideMark/>
          </w:tcPr>
          <w:p w14:paraId="5B1960C6"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w:t>
            </w:r>
          </w:p>
        </w:tc>
        <w:tc>
          <w:tcPr>
            <w:tcW w:w="3927" w:type="dxa"/>
            <w:vMerge/>
            <w:vAlign w:val="center"/>
            <w:hideMark/>
          </w:tcPr>
          <w:p w14:paraId="77A26E15"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p>
        </w:tc>
      </w:tr>
      <w:tr w:rsidR="00FA100E" w:rsidRPr="00FA100E" w14:paraId="5AB1BD73" w14:textId="77777777" w:rsidTr="000C3DC1">
        <w:trPr>
          <w:gridAfter w:val="1"/>
          <w:wAfter w:w="10" w:type="dxa"/>
          <w:trHeight w:val="1200"/>
        </w:trPr>
        <w:tc>
          <w:tcPr>
            <w:tcW w:w="2122" w:type="dxa"/>
            <w:vMerge/>
            <w:vAlign w:val="center"/>
            <w:hideMark/>
          </w:tcPr>
          <w:p w14:paraId="40FBCF7D"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p>
        </w:tc>
        <w:tc>
          <w:tcPr>
            <w:tcW w:w="2947" w:type="dxa"/>
            <w:vMerge/>
            <w:vAlign w:val="center"/>
            <w:hideMark/>
          </w:tcPr>
          <w:p w14:paraId="1753C6D4"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p>
        </w:tc>
        <w:tc>
          <w:tcPr>
            <w:tcW w:w="2317" w:type="dxa"/>
            <w:vMerge/>
            <w:vAlign w:val="center"/>
            <w:hideMark/>
          </w:tcPr>
          <w:p w14:paraId="03FF7362"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p>
        </w:tc>
        <w:tc>
          <w:tcPr>
            <w:tcW w:w="1971" w:type="dxa"/>
            <w:shd w:val="clear" w:color="auto" w:fill="FFFFFF" w:themeFill="background1"/>
            <w:hideMark/>
          </w:tcPr>
          <w:p w14:paraId="79FA2B33"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Proportion of all-cause ED visits attributable to cannabis</w:t>
            </w:r>
          </w:p>
        </w:tc>
        <w:tc>
          <w:tcPr>
            <w:tcW w:w="1627" w:type="dxa"/>
            <w:shd w:val="clear" w:color="auto" w:fill="FFFFFF" w:themeFill="background1"/>
            <w:hideMark/>
          </w:tcPr>
          <w:p w14:paraId="0D583100"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+17%, IRR=1.17 [1.00-1.37]</w:t>
            </w:r>
          </w:p>
        </w:tc>
        <w:tc>
          <w:tcPr>
            <w:tcW w:w="948" w:type="dxa"/>
            <w:shd w:val="clear" w:color="auto" w:fill="FFFFFF" w:themeFill="background1"/>
            <w:hideMark/>
          </w:tcPr>
          <w:p w14:paraId="0B5C8F04"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w:t>
            </w:r>
          </w:p>
        </w:tc>
        <w:tc>
          <w:tcPr>
            <w:tcW w:w="3927" w:type="dxa"/>
            <w:vMerge/>
            <w:vAlign w:val="center"/>
            <w:hideMark/>
          </w:tcPr>
          <w:p w14:paraId="78E740E6"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p>
        </w:tc>
      </w:tr>
      <w:tr w:rsidR="00FA100E" w:rsidRPr="00FA100E" w14:paraId="4D0EFB43" w14:textId="77777777" w:rsidTr="000C3DC1">
        <w:trPr>
          <w:gridAfter w:val="1"/>
          <w:wAfter w:w="10" w:type="dxa"/>
          <w:trHeight w:val="1200"/>
        </w:trPr>
        <w:tc>
          <w:tcPr>
            <w:tcW w:w="2122" w:type="dxa"/>
            <w:shd w:val="clear" w:color="auto" w:fill="FFFFFF" w:themeFill="background1"/>
          </w:tcPr>
          <w:p w14:paraId="6FBDD564" w14:textId="77777777" w:rsidR="00EA0446" w:rsidRPr="00FA100E" w:rsidRDefault="00EA0446" w:rsidP="000C3DC1">
            <w:pPr>
              <w:spacing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Myran (2023): To compare sale of edible cannabis products and cannabis-attributable hospitalizations for paediatric cannabis poisonings [Q=7]</w:t>
            </w:r>
          </w:p>
          <w:p w14:paraId="60B05DC1" w14:textId="77777777" w:rsidR="00EA0446" w:rsidRPr="00FA100E" w:rsidRDefault="00EA0446" w:rsidP="000C3DC1">
            <w:pPr>
              <w:spacing w:line="240" w:lineRule="auto"/>
              <w:rPr>
                <w:rFonts w:ascii="Times New Roman" w:eastAsia="Times New Roman" w:hAnsi="Times New Roman" w:cs="Times New Roman"/>
                <w:sz w:val="22"/>
                <w:szCs w:val="22"/>
                <w:lang w:val="en-GB" w:eastAsia="en-GB"/>
              </w:rPr>
            </w:pPr>
          </w:p>
        </w:tc>
        <w:tc>
          <w:tcPr>
            <w:tcW w:w="2947" w:type="dxa"/>
            <w:shd w:val="clear" w:color="auto" w:fill="FFFFFF" w:themeFill="background1"/>
          </w:tcPr>
          <w:p w14:paraId="69099BD6"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Paediatric hospitalisation in Ontario, Quebec, Alberta, and British Columbia</w:t>
            </w:r>
          </w:p>
          <w:p w14:paraId="30AC6212"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 xml:space="preserve"> children aged 0-9 years, N= 581 due to cannabis poisoning, N=120 before legalisation (2015-2018), N=105 visits in the first period (2018-2019), and N=356 visits in the second phase of legalisation; 2020-2021</w:t>
            </w:r>
          </w:p>
          <w:p w14:paraId="603B13A5" w14:textId="77777777" w:rsidR="00EA0446" w:rsidRPr="00FA100E" w:rsidRDefault="00EA0446" w:rsidP="000C3DC1">
            <w:pPr>
              <w:spacing w:line="240" w:lineRule="auto"/>
              <w:rPr>
                <w:rFonts w:ascii="Times New Roman" w:eastAsia="Times New Roman" w:hAnsi="Times New Roman" w:cs="Times New Roman"/>
                <w:sz w:val="22"/>
                <w:szCs w:val="22"/>
                <w:lang w:val="en-GB" w:eastAsia="en-GB"/>
              </w:rPr>
            </w:pPr>
          </w:p>
        </w:tc>
        <w:tc>
          <w:tcPr>
            <w:tcW w:w="2317" w:type="dxa"/>
            <w:shd w:val="clear" w:color="auto" w:fill="FFFFFF" w:themeFill="background1"/>
          </w:tcPr>
          <w:p w14:paraId="556D893E"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Proportion of cannabis poisonings requiring hospitalization</w:t>
            </w:r>
          </w:p>
          <w:p w14:paraId="6636E35E" w14:textId="77777777" w:rsidR="00EA0446" w:rsidRPr="00FA100E" w:rsidRDefault="00EA0446" w:rsidP="000C3DC1">
            <w:pPr>
              <w:spacing w:line="240" w:lineRule="auto"/>
              <w:rPr>
                <w:rFonts w:ascii="Times New Roman" w:eastAsia="Times New Roman" w:hAnsi="Times New Roman" w:cs="Times New Roman"/>
                <w:sz w:val="22"/>
                <w:szCs w:val="22"/>
                <w:lang w:val="en-GB" w:eastAsia="en-GB"/>
              </w:rPr>
            </w:pPr>
          </w:p>
        </w:tc>
        <w:tc>
          <w:tcPr>
            <w:tcW w:w="1971" w:type="dxa"/>
            <w:shd w:val="clear" w:color="auto" w:fill="FFFFFF" w:themeFill="background1"/>
          </w:tcPr>
          <w:p w14:paraId="62BD70CD" w14:textId="77777777" w:rsidR="00EA0446" w:rsidRPr="00FA100E" w:rsidRDefault="00EA0446" w:rsidP="000C3DC1">
            <w:pPr>
              <w:spacing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Cannabis-related hospitalisation</w:t>
            </w:r>
          </w:p>
        </w:tc>
        <w:tc>
          <w:tcPr>
            <w:tcW w:w="1627" w:type="dxa"/>
            <w:shd w:val="clear" w:color="auto" w:fill="FFFFFF" w:themeFill="background1"/>
          </w:tcPr>
          <w:p w14:paraId="189D58A5"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IRR= 2.55; [1.88-3.46] in 1st period, IRR= 2.16; [1.68-2.80]</w:t>
            </w:r>
          </w:p>
          <w:p w14:paraId="675E6231"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in 2nd period</w:t>
            </w:r>
          </w:p>
          <w:p w14:paraId="2AE9F11B" w14:textId="77777777" w:rsidR="00EA0446" w:rsidRPr="00FA100E" w:rsidRDefault="00EA0446" w:rsidP="000C3DC1">
            <w:pPr>
              <w:spacing w:line="240" w:lineRule="auto"/>
              <w:rPr>
                <w:rFonts w:ascii="Times New Roman" w:eastAsia="Times New Roman" w:hAnsi="Times New Roman" w:cs="Times New Roman"/>
                <w:sz w:val="22"/>
                <w:szCs w:val="22"/>
                <w:lang w:val="en-GB" w:eastAsia="en-GB"/>
              </w:rPr>
            </w:pPr>
          </w:p>
        </w:tc>
        <w:tc>
          <w:tcPr>
            <w:tcW w:w="948" w:type="dxa"/>
            <w:shd w:val="clear" w:color="auto" w:fill="FFFFFF" w:themeFill="background1"/>
          </w:tcPr>
          <w:p w14:paraId="6BD36396" w14:textId="77777777" w:rsidR="00EA0446" w:rsidRPr="00FA100E" w:rsidRDefault="00EA0446" w:rsidP="000C3DC1">
            <w:pPr>
              <w:spacing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w:t>
            </w:r>
          </w:p>
        </w:tc>
        <w:tc>
          <w:tcPr>
            <w:tcW w:w="3927" w:type="dxa"/>
            <w:shd w:val="clear" w:color="auto" w:fill="FFFFFF" w:themeFill="background1"/>
          </w:tcPr>
          <w:p w14:paraId="27A055F9"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 xml:space="preserve">The proportion of paediatric cannabis poisonings requiring hospitalization increased significantly in provinces that permitted edible cannabis sales compared to control provinces over three periods (pre-legalisation (January 2015 – September 2018), period 1 [October 2018 – December 2019], period 2 [January 2020 – September 2021]). </w:t>
            </w:r>
          </w:p>
        </w:tc>
      </w:tr>
      <w:tr w:rsidR="00FA100E" w:rsidRPr="00FA100E" w14:paraId="59CCE6A2" w14:textId="77777777" w:rsidTr="000C3DC1">
        <w:trPr>
          <w:gridAfter w:val="1"/>
          <w:wAfter w:w="10" w:type="dxa"/>
          <w:trHeight w:val="1500"/>
        </w:trPr>
        <w:tc>
          <w:tcPr>
            <w:tcW w:w="2122" w:type="dxa"/>
            <w:vMerge w:val="restart"/>
            <w:shd w:val="clear" w:color="auto" w:fill="F2F2F2" w:themeFill="background1" w:themeFillShade="F2"/>
            <w:hideMark/>
          </w:tcPr>
          <w:p w14:paraId="52CA0FF5" w14:textId="135A0568"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Yeung (2020): To examine changes in cannabis-related ED visits pre</w:t>
            </w:r>
            <w:r w:rsidR="00E6464F" w:rsidRPr="00FA100E">
              <w:rPr>
                <w:rFonts w:ascii="Times New Roman" w:eastAsia="Times New Roman" w:hAnsi="Times New Roman" w:cs="Times New Roman"/>
                <w:sz w:val="22"/>
                <w:szCs w:val="22"/>
                <w:lang w:val="en-GB" w:eastAsia="en-GB"/>
              </w:rPr>
              <w:t>-</w:t>
            </w:r>
            <w:r w:rsidRPr="00FA100E">
              <w:rPr>
                <w:rFonts w:ascii="Times New Roman" w:eastAsia="Times New Roman" w:hAnsi="Times New Roman" w:cs="Times New Roman"/>
                <w:sz w:val="22"/>
                <w:szCs w:val="22"/>
                <w:lang w:val="en-GB" w:eastAsia="en-GB"/>
              </w:rPr>
              <w:t xml:space="preserve"> and post-legalisation in urban Alberta [Q=7]</w:t>
            </w:r>
          </w:p>
        </w:tc>
        <w:tc>
          <w:tcPr>
            <w:tcW w:w="2947" w:type="dxa"/>
            <w:vMerge w:val="restart"/>
            <w:shd w:val="clear" w:color="auto" w:fill="F2F2F2" w:themeFill="background1" w:themeFillShade="F2"/>
            <w:hideMark/>
          </w:tcPr>
          <w:p w14:paraId="2CD302F2"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 xml:space="preserve">Retrospective data of urban Alberta (Calgary and Edmonton) from National Ambulatory Care Reporting System and HealthLink and Alberta Poison and Drug Information Service public telehealth call databases; N=11,770 pre-legalisation and N=2962 post-legalisation visits, 2013-2018 and 2019 </w:t>
            </w:r>
          </w:p>
        </w:tc>
        <w:tc>
          <w:tcPr>
            <w:tcW w:w="2317" w:type="dxa"/>
            <w:vMerge w:val="restart"/>
            <w:shd w:val="clear" w:color="auto" w:fill="F2F2F2" w:themeFill="background1" w:themeFillShade="F2"/>
            <w:hideMark/>
          </w:tcPr>
          <w:p w14:paraId="3624C8B2"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Cannabis-related presentations</w:t>
            </w:r>
          </w:p>
        </w:tc>
        <w:tc>
          <w:tcPr>
            <w:tcW w:w="1971" w:type="dxa"/>
            <w:shd w:val="clear" w:color="auto" w:fill="F2F2F2" w:themeFill="background1" w:themeFillShade="F2"/>
            <w:hideMark/>
          </w:tcPr>
          <w:p w14:paraId="3C3412C8"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Cannabis-related ED visits</w:t>
            </w:r>
          </w:p>
        </w:tc>
        <w:tc>
          <w:tcPr>
            <w:tcW w:w="1627" w:type="dxa"/>
            <w:shd w:val="clear" w:color="auto" w:fill="F2F2F2" w:themeFill="background1" w:themeFillShade="F2"/>
            <w:hideMark/>
          </w:tcPr>
          <w:p w14:paraId="34C14C63"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IRR=1.45 [1.39, 1.51], +43.48 [26.52, 60.43] visits per month</w:t>
            </w:r>
          </w:p>
        </w:tc>
        <w:tc>
          <w:tcPr>
            <w:tcW w:w="948" w:type="dxa"/>
            <w:shd w:val="clear" w:color="auto" w:fill="F2F2F2" w:themeFill="background1" w:themeFillShade="F2"/>
            <w:hideMark/>
          </w:tcPr>
          <w:p w14:paraId="769C419C"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w:t>
            </w:r>
          </w:p>
        </w:tc>
        <w:tc>
          <w:tcPr>
            <w:tcW w:w="3927" w:type="dxa"/>
            <w:vMerge w:val="restart"/>
            <w:shd w:val="clear" w:color="auto" w:fill="F2F2F2" w:themeFill="background1" w:themeFillShade="F2"/>
            <w:hideMark/>
          </w:tcPr>
          <w:p w14:paraId="638E0118"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Post-legalisation, there was an increase in cannabis-related ED visits, hyperemesis, and poison centre calls but with fewer hospital admissions</w:t>
            </w:r>
          </w:p>
        </w:tc>
      </w:tr>
      <w:tr w:rsidR="00FA100E" w:rsidRPr="00FA100E" w14:paraId="5D0242DE" w14:textId="77777777" w:rsidTr="000C3DC1">
        <w:trPr>
          <w:gridAfter w:val="1"/>
          <w:wAfter w:w="10" w:type="dxa"/>
          <w:trHeight w:val="1500"/>
        </w:trPr>
        <w:tc>
          <w:tcPr>
            <w:tcW w:w="2122" w:type="dxa"/>
            <w:vMerge/>
            <w:vAlign w:val="center"/>
            <w:hideMark/>
          </w:tcPr>
          <w:p w14:paraId="24B8CACA"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p>
        </w:tc>
        <w:tc>
          <w:tcPr>
            <w:tcW w:w="2947" w:type="dxa"/>
            <w:vMerge/>
            <w:vAlign w:val="center"/>
            <w:hideMark/>
          </w:tcPr>
          <w:p w14:paraId="60487D79"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p>
        </w:tc>
        <w:tc>
          <w:tcPr>
            <w:tcW w:w="2317" w:type="dxa"/>
            <w:vMerge/>
            <w:vAlign w:val="center"/>
            <w:hideMark/>
          </w:tcPr>
          <w:p w14:paraId="58027FD8"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p>
        </w:tc>
        <w:tc>
          <w:tcPr>
            <w:tcW w:w="1971" w:type="dxa"/>
            <w:shd w:val="clear" w:color="auto" w:fill="F2F2F2" w:themeFill="background1" w:themeFillShade="F2"/>
            <w:hideMark/>
          </w:tcPr>
          <w:p w14:paraId="72EF6917"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Poison service calls</w:t>
            </w:r>
          </w:p>
        </w:tc>
        <w:tc>
          <w:tcPr>
            <w:tcW w:w="1627" w:type="dxa"/>
            <w:shd w:val="clear" w:color="auto" w:fill="F2F2F2" w:themeFill="background1" w:themeFillShade="F2"/>
            <w:hideMark/>
          </w:tcPr>
          <w:p w14:paraId="659F9F93"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IRR=1.87 [1.55, 2.37], +4.02 [0.11, 7.94] visits per month</w:t>
            </w:r>
          </w:p>
        </w:tc>
        <w:tc>
          <w:tcPr>
            <w:tcW w:w="948" w:type="dxa"/>
            <w:shd w:val="clear" w:color="auto" w:fill="F2F2F2" w:themeFill="background1" w:themeFillShade="F2"/>
            <w:hideMark/>
          </w:tcPr>
          <w:p w14:paraId="37B9ACEF"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w:t>
            </w:r>
          </w:p>
        </w:tc>
        <w:tc>
          <w:tcPr>
            <w:tcW w:w="3927" w:type="dxa"/>
            <w:vMerge/>
            <w:vAlign w:val="center"/>
            <w:hideMark/>
          </w:tcPr>
          <w:p w14:paraId="692C2131"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p>
        </w:tc>
      </w:tr>
      <w:tr w:rsidR="00FA100E" w:rsidRPr="00FA100E" w14:paraId="7A559112" w14:textId="77777777" w:rsidTr="000C3DC1">
        <w:trPr>
          <w:gridAfter w:val="1"/>
          <w:wAfter w:w="10" w:type="dxa"/>
          <w:trHeight w:val="600"/>
        </w:trPr>
        <w:tc>
          <w:tcPr>
            <w:tcW w:w="2122" w:type="dxa"/>
            <w:vMerge/>
            <w:vAlign w:val="center"/>
            <w:hideMark/>
          </w:tcPr>
          <w:p w14:paraId="3ACC3855"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p>
        </w:tc>
        <w:tc>
          <w:tcPr>
            <w:tcW w:w="2947" w:type="dxa"/>
            <w:vMerge/>
            <w:vAlign w:val="center"/>
            <w:hideMark/>
          </w:tcPr>
          <w:p w14:paraId="4799EE1E"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p>
        </w:tc>
        <w:tc>
          <w:tcPr>
            <w:tcW w:w="2317" w:type="dxa"/>
            <w:vMerge/>
            <w:vAlign w:val="center"/>
            <w:hideMark/>
          </w:tcPr>
          <w:p w14:paraId="7750DB8C"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p>
        </w:tc>
        <w:tc>
          <w:tcPr>
            <w:tcW w:w="1971" w:type="dxa"/>
            <w:shd w:val="clear" w:color="auto" w:fill="F2F2F2" w:themeFill="background1" w:themeFillShade="F2"/>
            <w:hideMark/>
          </w:tcPr>
          <w:p w14:paraId="74038437"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Cannabinoid hyperemesis</w:t>
            </w:r>
          </w:p>
        </w:tc>
        <w:tc>
          <w:tcPr>
            <w:tcW w:w="1627" w:type="dxa"/>
            <w:shd w:val="clear" w:color="auto" w:fill="F2F2F2" w:themeFill="background1" w:themeFillShade="F2"/>
            <w:hideMark/>
          </w:tcPr>
          <w:p w14:paraId="45F423A6"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RR=1.23 [1.10, 1.36]</w:t>
            </w:r>
          </w:p>
        </w:tc>
        <w:tc>
          <w:tcPr>
            <w:tcW w:w="948" w:type="dxa"/>
            <w:shd w:val="clear" w:color="auto" w:fill="F2F2F2" w:themeFill="background1" w:themeFillShade="F2"/>
            <w:hideMark/>
          </w:tcPr>
          <w:p w14:paraId="42085FE9"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w:t>
            </w:r>
          </w:p>
        </w:tc>
        <w:tc>
          <w:tcPr>
            <w:tcW w:w="3927" w:type="dxa"/>
            <w:vMerge/>
            <w:vAlign w:val="center"/>
            <w:hideMark/>
          </w:tcPr>
          <w:p w14:paraId="565447DB"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p>
        </w:tc>
      </w:tr>
      <w:tr w:rsidR="00FA100E" w:rsidRPr="00FA100E" w14:paraId="57CBAB1C" w14:textId="77777777" w:rsidTr="000C3DC1">
        <w:trPr>
          <w:gridAfter w:val="1"/>
          <w:wAfter w:w="10" w:type="dxa"/>
          <w:trHeight w:val="600"/>
        </w:trPr>
        <w:tc>
          <w:tcPr>
            <w:tcW w:w="2122" w:type="dxa"/>
            <w:vMerge/>
            <w:vAlign w:val="center"/>
            <w:hideMark/>
          </w:tcPr>
          <w:p w14:paraId="3FAB4AB0"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p>
        </w:tc>
        <w:tc>
          <w:tcPr>
            <w:tcW w:w="2947" w:type="dxa"/>
            <w:vMerge/>
            <w:vAlign w:val="center"/>
            <w:hideMark/>
          </w:tcPr>
          <w:p w14:paraId="295D1230"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p>
        </w:tc>
        <w:tc>
          <w:tcPr>
            <w:tcW w:w="2317" w:type="dxa"/>
            <w:vMerge/>
            <w:vAlign w:val="center"/>
            <w:hideMark/>
          </w:tcPr>
          <w:p w14:paraId="728F8384"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p>
        </w:tc>
        <w:tc>
          <w:tcPr>
            <w:tcW w:w="1971" w:type="dxa"/>
            <w:shd w:val="clear" w:color="auto" w:fill="F2F2F2" w:themeFill="background1" w:themeFillShade="F2"/>
            <w:hideMark/>
          </w:tcPr>
          <w:p w14:paraId="06B5551E"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Unintentional ingestion</w:t>
            </w:r>
          </w:p>
        </w:tc>
        <w:tc>
          <w:tcPr>
            <w:tcW w:w="1627" w:type="dxa"/>
            <w:shd w:val="clear" w:color="auto" w:fill="F2F2F2" w:themeFill="background1" w:themeFillShade="F2"/>
            <w:hideMark/>
          </w:tcPr>
          <w:p w14:paraId="758F249B"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RR=1.48 [1.34, 1.62]</w:t>
            </w:r>
          </w:p>
        </w:tc>
        <w:tc>
          <w:tcPr>
            <w:tcW w:w="948" w:type="dxa"/>
            <w:shd w:val="clear" w:color="auto" w:fill="F2F2F2" w:themeFill="background1" w:themeFillShade="F2"/>
            <w:hideMark/>
          </w:tcPr>
          <w:p w14:paraId="0F7C3DCE"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w:t>
            </w:r>
          </w:p>
        </w:tc>
        <w:tc>
          <w:tcPr>
            <w:tcW w:w="3927" w:type="dxa"/>
            <w:vMerge/>
            <w:vAlign w:val="center"/>
            <w:hideMark/>
          </w:tcPr>
          <w:p w14:paraId="2C5BC61A"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p>
        </w:tc>
      </w:tr>
      <w:tr w:rsidR="00FA100E" w:rsidRPr="00FA100E" w14:paraId="52334F46" w14:textId="77777777" w:rsidTr="000C3DC1">
        <w:trPr>
          <w:gridAfter w:val="1"/>
          <w:wAfter w:w="10" w:type="dxa"/>
          <w:trHeight w:val="600"/>
        </w:trPr>
        <w:tc>
          <w:tcPr>
            <w:tcW w:w="2122" w:type="dxa"/>
            <w:vMerge/>
            <w:vAlign w:val="center"/>
            <w:hideMark/>
          </w:tcPr>
          <w:p w14:paraId="3B703EF1"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p>
        </w:tc>
        <w:tc>
          <w:tcPr>
            <w:tcW w:w="2947" w:type="dxa"/>
            <w:vMerge/>
            <w:vAlign w:val="center"/>
            <w:hideMark/>
          </w:tcPr>
          <w:p w14:paraId="5C2B815C"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p>
        </w:tc>
        <w:tc>
          <w:tcPr>
            <w:tcW w:w="2317" w:type="dxa"/>
            <w:vMerge/>
            <w:vAlign w:val="center"/>
            <w:hideMark/>
          </w:tcPr>
          <w:p w14:paraId="0C0E9026"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p>
        </w:tc>
        <w:tc>
          <w:tcPr>
            <w:tcW w:w="1971" w:type="dxa"/>
            <w:shd w:val="clear" w:color="auto" w:fill="F2F2F2" w:themeFill="background1" w:themeFillShade="F2"/>
            <w:hideMark/>
          </w:tcPr>
          <w:p w14:paraId="25BCC099"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Hospital admissions</w:t>
            </w:r>
          </w:p>
        </w:tc>
        <w:tc>
          <w:tcPr>
            <w:tcW w:w="1627" w:type="dxa"/>
            <w:shd w:val="clear" w:color="auto" w:fill="F2F2F2" w:themeFill="background1" w:themeFillShade="F2"/>
            <w:hideMark/>
          </w:tcPr>
          <w:p w14:paraId="5535694D"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RR=0.88 [0.80, 0.96]</w:t>
            </w:r>
          </w:p>
        </w:tc>
        <w:tc>
          <w:tcPr>
            <w:tcW w:w="948" w:type="dxa"/>
            <w:shd w:val="clear" w:color="auto" w:fill="F2F2F2" w:themeFill="background1" w:themeFillShade="F2"/>
            <w:hideMark/>
          </w:tcPr>
          <w:p w14:paraId="7D157FE4"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w:t>
            </w:r>
          </w:p>
        </w:tc>
        <w:tc>
          <w:tcPr>
            <w:tcW w:w="3927" w:type="dxa"/>
            <w:vMerge/>
            <w:vAlign w:val="center"/>
            <w:hideMark/>
          </w:tcPr>
          <w:p w14:paraId="3CD854A0"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p>
        </w:tc>
      </w:tr>
      <w:tr w:rsidR="00FA100E" w:rsidRPr="00FA100E" w14:paraId="66545E37" w14:textId="77777777" w:rsidTr="000C3DC1">
        <w:trPr>
          <w:gridAfter w:val="1"/>
          <w:wAfter w:w="10" w:type="dxa"/>
          <w:trHeight w:val="600"/>
        </w:trPr>
        <w:tc>
          <w:tcPr>
            <w:tcW w:w="2122" w:type="dxa"/>
            <w:vMerge w:val="restart"/>
            <w:shd w:val="clear" w:color="auto" w:fill="FFFFFF" w:themeFill="background1"/>
            <w:hideMark/>
          </w:tcPr>
          <w:p w14:paraId="1574FF68"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Yeung (2021): To compare cannabis-related ED pediatric visits in Alberta after legalization [Q=7]</w:t>
            </w:r>
          </w:p>
        </w:tc>
        <w:tc>
          <w:tcPr>
            <w:tcW w:w="2947" w:type="dxa"/>
            <w:vMerge w:val="restart"/>
            <w:shd w:val="clear" w:color="auto" w:fill="FFFFFF" w:themeFill="background1"/>
            <w:hideMark/>
          </w:tcPr>
          <w:p w14:paraId="4476FD7E"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 xml:space="preserve">Retrospective National Ambulatory Care Reporting System for urban Alberta cannabis-related ED visits, N=1920 pre, N=602 post, aged &lt;18 years; Oct 2013 to Feb 2020 </w:t>
            </w:r>
          </w:p>
        </w:tc>
        <w:tc>
          <w:tcPr>
            <w:tcW w:w="2317" w:type="dxa"/>
            <w:vMerge w:val="restart"/>
            <w:shd w:val="clear" w:color="auto" w:fill="FFFFFF" w:themeFill="background1"/>
            <w:hideMark/>
          </w:tcPr>
          <w:p w14:paraId="23E793E8"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Trends in pediatric cannabis-related ED presentation</w:t>
            </w:r>
          </w:p>
        </w:tc>
        <w:tc>
          <w:tcPr>
            <w:tcW w:w="1971" w:type="dxa"/>
            <w:shd w:val="clear" w:color="auto" w:fill="FFFFFF" w:themeFill="background1"/>
            <w:hideMark/>
          </w:tcPr>
          <w:p w14:paraId="0621E98D"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Unintentional ingestion, 0-11 yrs</w:t>
            </w:r>
          </w:p>
        </w:tc>
        <w:tc>
          <w:tcPr>
            <w:tcW w:w="1627" w:type="dxa"/>
            <w:shd w:val="clear" w:color="auto" w:fill="FFFFFF" w:themeFill="background1"/>
            <w:hideMark/>
          </w:tcPr>
          <w:p w14:paraId="5E097786"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RR=1.24 [1.05, 1.47]</w:t>
            </w:r>
          </w:p>
        </w:tc>
        <w:tc>
          <w:tcPr>
            <w:tcW w:w="948" w:type="dxa"/>
            <w:shd w:val="clear" w:color="auto" w:fill="FFFFFF" w:themeFill="background1"/>
            <w:hideMark/>
          </w:tcPr>
          <w:p w14:paraId="2C3B3D73"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w:t>
            </w:r>
          </w:p>
        </w:tc>
        <w:tc>
          <w:tcPr>
            <w:tcW w:w="3927" w:type="dxa"/>
            <w:vMerge w:val="restart"/>
            <w:shd w:val="clear" w:color="auto" w:fill="FFFFFF" w:themeFill="background1"/>
            <w:hideMark/>
          </w:tcPr>
          <w:p w14:paraId="77B14296"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 xml:space="preserve">Post legalization was associated with increased cannabis-related ED presentations for unintentional ingestion in children and older adolescents, and hyperemesis in older adolescents; no significant differences were observed among younger adolescents. </w:t>
            </w:r>
          </w:p>
        </w:tc>
      </w:tr>
      <w:tr w:rsidR="00FA100E" w:rsidRPr="00FA100E" w14:paraId="69B2B9F1" w14:textId="77777777" w:rsidTr="000C3DC1">
        <w:trPr>
          <w:gridAfter w:val="1"/>
          <w:wAfter w:w="10" w:type="dxa"/>
          <w:trHeight w:val="600"/>
        </w:trPr>
        <w:tc>
          <w:tcPr>
            <w:tcW w:w="2122" w:type="dxa"/>
            <w:vMerge/>
            <w:vAlign w:val="center"/>
            <w:hideMark/>
          </w:tcPr>
          <w:p w14:paraId="4DAF4935"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p>
        </w:tc>
        <w:tc>
          <w:tcPr>
            <w:tcW w:w="2947" w:type="dxa"/>
            <w:vMerge/>
            <w:vAlign w:val="center"/>
            <w:hideMark/>
          </w:tcPr>
          <w:p w14:paraId="58985F4D"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p>
        </w:tc>
        <w:tc>
          <w:tcPr>
            <w:tcW w:w="2317" w:type="dxa"/>
            <w:vMerge/>
            <w:vAlign w:val="center"/>
            <w:hideMark/>
          </w:tcPr>
          <w:p w14:paraId="688D0023"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p>
        </w:tc>
        <w:tc>
          <w:tcPr>
            <w:tcW w:w="1971" w:type="dxa"/>
            <w:shd w:val="clear" w:color="auto" w:fill="FFFFFF" w:themeFill="background1"/>
            <w:hideMark/>
          </w:tcPr>
          <w:p w14:paraId="044B1F87"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Unintentional ingestion, 12-14 yrs</w:t>
            </w:r>
          </w:p>
        </w:tc>
        <w:tc>
          <w:tcPr>
            <w:tcW w:w="1627" w:type="dxa"/>
            <w:shd w:val="clear" w:color="auto" w:fill="FFFFFF" w:themeFill="background1"/>
            <w:hideMark/>
          </w:tcPr>
          <w:p w14:paraId="5105253B"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RR=1.00 [0.67, 1.51]</w:t>
            </w:r>
          </w:p>
        </w:tc>
        <w:tc>
          <w:tcPr>
            <w:tcW w:w="948" w:type="dxa"/>
            <w:shd w:val="clear" w:color="auto" w:fill="FFFFFF" w:themeFill="background1"/>
            <w:hideMark/>
          </w:tcPr>
          <w:p w14:paraId="4D722232"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ns</w:t>
            </w:r>
          </w:p>
        </w:tc>
        <w:tc>
          <w:tcPr>
            <w:tcW w:w="3927" w:type="dxa"/>
            <w:vMerge/>
            <w:vAlign w:val="center"/>
            <w:hideMark/>
          </w:tcPr>
          <w:p w14:paraId="2E96C93B"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p>
        </w:tc>
      </w:tr>
      <w:tr w:rsidR="00FA100E" w:rsidRPr="00FA100E" w14:paraId="335E3249" w14:textId="77777777" w:rsidTr="000C3DC1">
        <w:trPr>
          <w:gridAfter w:val="1"/>
          <w:wAfter w:w="10" w:type="dxa"/>
          <w:trHeight w:val="600"/>
        </w:trPr>
        <w:tc>
          <w:tcPr>
            <w:tcW w:w="2122" w:type="dxa"/>
            <w:vMerge/>
            <w:vAlign w:val="center"/>
            <w:hideMark/>
          </w:tcPr>
          <w:p w14:paraId="089446C5"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p>
        </w:tc>
        <w:tc>
          <w:tcPr>
            <w:tcW w:w="2947" w:type="dxa"/>
            <w:vMerge/>
            <w:vAlign w:val="center"/>
            <w:hideMark/>
          </w:tcPr>
          <w:p w14:paraId="3B6B9C7A"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p>
        </w:tc>
        <w:tc>
          <w:tcPr>
            <w:tcW w:w="2317" w:type="dxa"/>
            <w:vMerge/>
            <w:vAlign w:val="center"/>
            <w:hideMark/>
          </w:tcPr>
          <w:p w14:paraId="2A5ED4E8"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p>
        </w:tc>
        <w:tc>
          <w:tcPr>
            <w:tcW w:w="1971" w:type="dxa"/>
            <w:shd w:val="clear" w:color="auto" w:fill="FFFFFF" w:themeFill="background1"/>
            <w:hideMark/>
          </w:tcPr>
          <w:p w14:paraId="131A80EE"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Unintentional ingestion, 15-17 yrs</w:t>
            </w:r>
          </w:p>
        </w:tc>
        <w:tc>
          <w:tcPr>
            <w:tcW w:w="1627" w:type="dxa"/>
            <w:shd w:val="clear" w:color="auto" w:fill="FFFFFF" w:themeFill="background1"/>
            <w:hideMark/>
          </w:tcPr>
          <w:p w14:paraId="7AD0EA39"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RR=1.48 [1.21, 1.81]</w:t>
            </w:r>
          </w:p>
        </w:tc>
        <w:tc>
          <w:tcPr>
            <w:tcW w:w="948" w:type="dxa"/>
            <w:shd w:val="clear" w:color="auto" w:fill="FFFFFF" w:themeFill="background1"/>
            <w:hideMark/>
          </w:tcPr>
          <w:p w14:paraId="3BB67CA7"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w:t>
            </w:r>
          </w:p>
        </w:tc>
        <w:tc>
          <w:tcPr>
            <w:tcW w:w="3927" w:type="dxa"/>
            <w:vMerge/>
            <w:vAlign w:val="center"/>
            <w:hideMark/>
          </w:tcPr>
          <w:p w14:paraId="62D8D487"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p>
        </w:tc>
      </w:tr>
      <w:tr w:rsidR="00FA100E" w:rsidRPr="00FA100E" w14:paraId="5713D1E9" w14:textId="77777777" w:rsidTr="000C3DC1">
        <w:trPr>
          <w:gridAfter w:val="1"/>
          <w:wAfter w:w="10" w:type="dxa"/>
          <w:trHeight w:val="600"/>
        </w:trPr>
        <w:tc>
          <w:tcPr>
            <w:tcW w:w="2122" w:type="dxa"/>
            <w:vMerge/>
            <w:vAlign w:val="center"/>
            <w:hideMark/>
          </w:tcPr>
          <w:p w14:paraId="3FBBDBEF"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p>
        </w:tc>
        <w:tc>
          <w:tcPr>
            <w:tcW w:w="2947" w:type="dxa"/>
            <w:vMerge/>
            <w:vAlign w:val="center"/>
            <w:hideMark/>
          </w:tcPr>
          <w:p w14:paraId="24F12942"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p>
        </w:tc>
        <w:tc>
          <w:tcPr>
            <w:tcW w:w="2317" w:type="dxa"/>
            <w:vMerge/>
            <w:vAlign w:val="center"/>
            <w:hideMark/>
          </w:tcPr>
          <w:p w14:paraId="52C87CC0"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p>
        </w:tc>
        <w:tc>
          <w:tcPr>
            <w:tcW w:w="1971" w:type="dxa"/>
            <w:shd w:val="clear" w:color="auto" w:fill="FFFFFF" w:themeFill="background1"/>
            <w:hideMark/>
          </w:tcPr>
          <w:p w14:paraId="7066BF4B"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Hyperemesis, 0-11 yrs</w:t>
            </w:r>
          </w:p>
        </w:tc>
        <w:tc>
          <w:tcPr>
            <w:tcW w:w="1627" w:type="dxa"/>
            <w:shd w:val="clear" w:color="auto" w:fill="FFFFFF" w:themeFill="background1"/>
            <w:hideMark/>
          </w:tcPr>
          <w:p w14:paraId="30C58F84"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w:t>
            </w:r>
          </w:p>
        </w:tc>
        <w:tc>
          <w:tcPr>
            <w:tcW w:w="948" w:type="dxa"/>
            <w:shd w:val="clear" w:color="auto" w:fill="FFFFFF" w:themeFill="background1"/>
            <w:hideMark/>
          </w:tcPr>
          <w:p w14:paraId="261F8AC1"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w:t>
            </w:r>
          </w:p>
        </w:tc>
        <w:tc>
          <w:tcPr>
            <w:tcW w:w="3927" w:type="dxa"/>
            <w:vMerge/>
            <w:vAlign w:val="center"/>
            <w:hideMark/>
          </w:tcPr>
          <w:p w14:paraId="231AD2C0"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p>
        </w:tc>
      </w:tr>
      <w:tr w:rsidR="00FA100E" w:rsidRPr="00FA100E" w14:paraId="6A7B6C46" w14:textId="77777777" w:rsidTr="000C3DC1">
        <w:trPr>
          <w:gridAfter w:val="1"/>
          <w:wAfter w:w="10" w:type="dxa"/>
          <w:trHeight w:val="600"/>
        </w:trPr>
        <w:tc>
          <w:tcPr>
            <w:tcW w:w="2122" w:type="dxa"/>
            <w:vMerge/>
            <w:vAlign w:val="center"/>
            <w:hideMark/>
          </w:tcPr>
          <w:p w14:paraId="2E68C065"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p>
        </w:tc>
        <w:tc>
          <w:tcPr>
            <w:tcW w:w="2947" w:type="dxa"/>
            <w:vMerge/>
            <w:vAlign w:val="center"/>
            <w:hideMark/>
          </w:tcPr>
          <w:p w14:paraId="03A9B9FD"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p>
        </w:tc>
        <w:tc>
          <w:tcPr>
            <w:tcW w:w="2317" w:type="dxa"/>
            <w:vMerge/>
            <w:vAlign w:val="center"/>
            <w:hideMark/>
          </w:tcPr>
          <w:p w14:paraId="2150C37A"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p>
        </w:tc>
        <w:tc>
          <w:tcPr>
            <w:tcW w:w="1971" w:type="dxa"/>
            <w:shd w:val="clear" w:color="auto" w:fill="FFFFFF" w:themeFill="background1"/>
            <w:hideMark/>
          </w:tcPr>
          <w:p w14:paraId="3267EB60"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Hyperemesis, 12-14 yrs</w:t>
            </w:r>
          </w:p>
        </w:tc>
        <w:tc>
          <w:tcPr>
            <w:tcW w:w="1627" w:type="dxa"/>
            <w:shd w:val="clear" w:color="auto" w:fill="FFFFFF" w:themeFill="background1"/>
            <w:hideMark/>
          </w:tcPr>
          <w:p w14:paraId="57BD835C"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RR=1.51 [0.52, 4.43)</w:t>
            </w:r>
          </w:p>
        </w:tc>
        <w:tc>
          <w:tcPr>
            <w:tcW w:w="948" w:type="dxa"/>
            <w:shd w:val="clear" w:color="auto" w:fill="FFFFFF" w:themeFill="background1"/>
            <w:hideMark/>
          </w:tcPr>
          <w:p w14:paraId="1C655730"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ns</w:t>
            </w:r>
          </w:p>
        </w:tc>
        <w:tc>
          <w:tcPr>
            <w:tcW w:w="3927" w:type="dxa"/>
            <w:vMerge/>
            <w:vAlign w:val="center"/>
            <w:hideMark/>
          </w:tcPr>
          <w:p w14:paraId="76CE7C17"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p>
        </w:tc>
      </w:tr>
      <w:tr w:rsidR="00FA100E" w:rsidRPr="00FA100E" w14:paraId="6A02F45F" w14:textId="77777777" w:rsidTr="000C3DC1">
        <w:trPr>
          <w:gridAfter w:val="1"/>
          <w:wAfter w:w="10" w:type="dxa"/>
          <w:trHeight w:val="600"/>
        </w:trPr>
        <w:tc>
          <w:tcPr>
            <w:tcW w:w="2122" w:type="dxa"/>
            <w:vMerge/>
            <w:vAlign w:val="center"/>
            <w:hideMark/>
          </w:tcPr>
          <w:p w14:paraId="1BF5A541"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p>
        </w:tc>
        <w:tc>
          <w:tcPr>
            <w:tcW w:w="2947" w:type="dxa"/>
            <w:vMerge/>
            <w:vAlign w:val="center"/>
            <w:hideMark/>
          </w:tcPr>
          <w:p w14:paraId="39D170B3"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p>
        </w:tc>
        <w:tc>
          <w:tcPr>
            <w:tcW w:w="2317" w:type="dxa"/>
            <w:vMerge/>
            <w:vAlign w:val="center"/>
            <w:hideMark/>
          </w:tcPr>
          <w:p w14:paraId="32DD64CF"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p>
        </w:tc>
        <w:tc>
          <w:tcPr>
            <w:tcW w:w="1971" w:type="dxa"/>
            <w:shd w:val="clear" w:color="auto" w:fill="FFFFFF" w:themeFill="background1"/>
            <w:hideMark/>
          </w:tcPr>
          <w:p w14:paraId="7271349C"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Hyperemesis, 15-17 yrs</w:t>
            </w:r>
          </w:p>
        </w:tc>
        <w:tc>
          <w:tcPr>
            <w:tcW w:w="1627" w:type="dxa"/>
            <w:shd w:val="clear" w:color="auto" w:fill="FFFFFF" w:themeFill="background1"/>
            <w:hideMark/>
          </w:tcPr>
          <w:p w14:paraId="7BFC3596"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RR=1.64 [1.13, 2.37]</w:t>
            </w:r>
          </w:p>
        </w:tc>
        <w:tc>
          <w:tcPr>
            <w:tcW w:w="948" w:type="dxa"/>
            <w:shd w:val="clear" w:color="auto" w:fill="FFFFFF" w:themeFill="background1"/>
            <w:hideMark/>
          </w:tcPr>
          <w:p w14:paraId="15A0B182"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w:t>
            </w:r>
          </w:p>
        </w:tc>
        <w:tc>
          <w:tcPr>
            <w:tcW w:w="3927" w:type="dxa"/>
            <w:vMerge/>
            <w:vAlign w:val="center"/>
            <w:hideMark/>
          </w:tcPr>
          <w:p w14:paraId="50C67F00"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p>
        </w:tc>
      </w:tr>
      <w:tr w:rsidR="00FA100E" w:rsidRPr="00FA100E" w14:paraId="712C0F09" w14:textId="77777777" w:rsidTr="000C3DC1">
        <w:trPr>
          <w:trHeight w:val="315"/>
        </w:trPr>
        <w:tc>
          <w:tcPr>
            <w:tcW w:w="15869" w:type="dxa"/>
            <w:gridSpan w:val="8"/>
            <w:shd w:val="clear" w:color="auto" w:fill="BFBFBF" w:themeFill="background1" w:themeFillShade="BF"/>
            <w:hideMark/>
          </w:tcPr>
          <w:p w14:paraId="0E65C465" w14:textId="77777777" w:rsidR="00EA0446" w:rsidRPr="00FA100E" w:rsidRDefault="00EA0446" w:rsidP="000C3DC1">
            <w:pPr>
              <w:spacing w:after="0" w:line="240" w:lineRule="auto"/>
              <w:rPr>
                <w:rFonts w:ascii="Times New Roman" w:eastAsia="Times New Roman" w:hAnsi="Times New Roman" w:cs="Times New Roman"/>
                <w:b/>
                <w:sz w:val="22"/>
                <w:szCs w:val="22"/>
                <w:lang w:val="en-GB" w:eastAsia="en-GB"/>
              </w:rPr>
            </w:pPr>
            <w:r w:rsidRPr="00FA100E">
              <w:rPr>
                <w:rFonts w:ascii="Times New Roman" w:eastAsia="Times New Roman" w:hAnsi="Times New Roman" w:cs="Times New Roman"/>
                <w:b/>
                <w:sz w:val="22"/>
                <w:szCs w:val="22"/>
                <w:lang w:val="en-GB" w:eastAsia="en-GB"/>
              </w:rPr>
              <w:t>Hospital presentations</w:t>
            </w:r>
          </w:p>
        </w:tc>
      </w:tr>
      <w:tr w:rsidR="00FA100E" w:rsidRPr="00FA100E" w14:paraId="2BEF8A7B" w14:textId="77777777" w:rsidTr="000C3DC1">
        <w:trPr>
          <w:gridAfter w:val="1"/>
          <w:wAfter w:w="10" w:type="dxa"/>
          <w:trHeight w:val="600"/>
        </w:trPr>
        <w:tc>
          <w:tcPr>
            <w:tcW w:w="2122" w:type="dxa"/>
            <w:vMerge w:val="restart"/>
            <w:shd w:val="clear" w:color="auto" w:fill="F2F2F2" w:themeFill="background1" w:themeFillShade="F2"/>
            <w:hideMark/>
          </w:tcPr>
          <w:p w14:paraId="4249BCE3"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 xml:space="preserve">Callaghan (2022): To compare emergency department presentations for cannabis-induced psychosis and schizophrenia after cannabis legalization [Q=7] </w:t>
            </w:r>
          </w:p>
        </w:tc>
        <w:tc>
          <w:tcPr>
            <w:tcW w:w="2947" w:type="dxa"/>
            <w:vMerge w:val="restart"/>
            <w:shd w:val="clear" w:color="auto" w:fill="F2F2F2" w:themeFill="background1" w:themeFillShade="F2"/>
            <w:hideMark/>
          </w:tcPr>
          <w:p w14:paraId="21E02A9B"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 xml:space="preserve">Emergency department presentations across Alberta and Ontario; 2015-2019 </w:t>
            </w:r>
          </w:p>
        </w:tc>
        <w:tc>
          <w:tcPr>
            <w:tcW w:w="2317" w:type="dxa"/>
            <w:vMerge w:val="restart"/>
            <w:shd w:val="clear" w:color="auto" w:fill="F2F2F2" w:themeFill="background1" w:themeFillShade="F2"/>
            <w:hideMark/>
          </w:tcPr>
          <w:p w14:paraId="2FCF437E"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Weekly ED presentation counts in Seasonal Autoregressive Integrated Moving Average (SARIMA) models</w:t>
            </w:r>
          </w:p>
        </w:tc>
        <w:tc>
          <w:tcPr>
            <w:tcW w:w="1971" w:type="dxa"/>
            <w:shd w:val="clear" w:color="auto" w:fill="F2F2F2" w:themeFill="background1" w:themeFillShade="F2"/>
            <w:hideMark/>
          </w:tcPr>
          <w:p w14:paraId="3D5D01AE"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Cannabis-induced psychosis</w:t>
            </w:r>
          </w:p>
        </w:tc>
        <w:tc>
          <w:tcPr>
            <w:tcW w:w="1627" w:type="dxa"/>
            <w:shd w:val="clear" w:color="auto" w:fill="F2F2F2" w:themeFill="background1" w:themeFillShade="F2"/>
            <w:hideMark/>
          </w:tcPr>
          <w:p w14:paraId="34163FF0"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+0.34 [-4.1, 4.8], p=0.88</w:t>
            </w:r>
          </w:p>
        </w:tc>
        <w:tc>
          <w:tcPr>
            <w:tcW w:w="948" w:type="dxa"/>
            <w:shd w:val="clear" w:color="auto" w:fill="F2F2F2" w:themeFill="background1" w:themeFillShade="F2"/>
            <w:hideMark/>
          </w:tcPr>
          <w:p w14:paraId="549F97DA"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ns</w:t>
            </w:r>
          </w:p>
        </w:tc>
        <w:tc>
          <w:tcPr>
            <w:tcW w:w="3927" w:type="dxa"/>
            <w:vMerge w:val="restart"/>
            <w:shd w:val="clear" w:color="auto" w:fill="F2F2F2" w:themeFill="background1" w:themeFillShade="F2"/>
            <w:hideMark/>
          </w:tcPr>
          <w:p w14:paraId="099172D8"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The implementation of cannabis legalization was not associated with a significant change in ED presentations for cannabis-induced psychosis or schizophrenia.</w:t>
            </w:r>
          </w:p>
        </w:tc>
      </w:tr>
      <w:tr w:rsidR="00FA100E" w:rsidRPr="00FA100E" w14:paraId="7BC6EC44" w14:textId="77777777" w:rsidTr="000C3DC1">
        <w:trPr>
          <w:gridAfter w:val="1"/>
          <w:wAfter w:w="10" w:type="dxa"/>
          <w:trHeight w:val="600"/>
        </w:trPr>
        <w:tc>
          <w:tcPr>
            <w:tcW w:w="2122" w:type="dxa"/>
            <w:vMerge/>
            <w:vAlign w:val="center"/>
            <w:hideMark/>
          </w:tcPr>
          <w:p w14:paraId="1FA06B80"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p>
        </w:tc>
        <w:tc>
          <w:tcPr>
            <w:tcW w:w="2947" w:type="dxa"/>
            <w:vMerge/>
            <w:vAlign w:val="center"/>
            <w:hideMark/>
          </w:tcPr>
          <w:p w14:paraId="6848C6AB"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p>
        </w:tc>
        <w:tc>
          <w:tcPr>
            <w:tcW w:w="2317" w:type="dxa"/>
            <w:vMerge/>
            <w:vAlign w:val="center"/>
            <w:hideMark/>
          </w:tcPr>
          <w:p w14:paraId="4AFA7EAA"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p>
        </w:tc>
        <w:tc>
          <w:tcPr>
            <w:tcW w:w="1971" w:type="dxa"/>
            <w:shd w:val="clear" w:color="auto" w:fill="F2F2F2" w:themeFill="background1" w:themeFillShade="F2"/>
            <w:hideMark/>
          </w:tcPr>
          <w:p w14:paraId="06DA12DB"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Cannabis-induced schizophrenia</w:t>
            </w:r>
          </w:p>
        </w:tc>
        <w:tc>
          <w:tcPr>
            <w:tcW w:w="1627" w:type="dxa"/>
            <w:shd w:val="clear" w:color="auto" w:fill="F2F2F2" w:themeFill="background1" w:themeFillShade="F2"/>
            <w:hideMark/>
          </w:tcPr>
          <w:p w14:paraId="77121FE4"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+24.34 [-18.3, 67.0] p=0.26</w:t>
            </w:r>
          </w:p>
        </w:tc>
        <w:tc>
          <w:tcPr>
            <w:tcW w:w="948" w:type="dxa"/>
            <w:shd w:val="clear" w:color="auto" w:fill="F2F2F2" w:themeFill="background1" w:themeFillShade="F2"/>
            <w:hideMark/>
          </w:tcPr>
          <w:p w14:paraId="0D5E60D9"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ns</w:t>
            </w:r>
          </w:p>
        </w:tc>
        <w:tc>
          <w:tcPr>
            <w:tcW w:w="3927" w:type="dxa"/>
            <w:vMerge/>
            <w:vAlign w:val="center"/>
            <w:hideMark/>
          </w:tcPr>
          <w:p w14:paraId="78B61169"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p>
        </w:tc>
      </w:tr>
      <w:tr w:rsidR="00FA100E" w:rsidRPr="00FA100E" w14:paraId="4412F607" w14:textId="77777777" w:rsidTr="000C3DC1">
        <w:trPr>
          <w:gridAfter w:val="1"/>
          <w:wAfter w:w="10" w:type="dxa"/>
          <w:trHeight w:val="900"/>
        </w:trPr>
        <w:tc>
          <w:tcPr>
            <w:tcW w:w="2122" w:type="dxa"/>
            <w:vMerge w:val="restart"/>
            <w:shd w:val="clear" w:color="auto" w:fill="FFFFFF" w:themeFill="background1"/>
            <w:hideMark/>
          </w:tcPr>
          <w:p w14:paraId="1962E81D"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Jordan (2022): To compare cannabinoids in post-mortem blood samples before and after recreational cannabis legalization [Q=7]</w:t>
            </w:r>
          </w:p>
        </w:tc>
        <w:tc>
          <w:tcPr>
            <w:tcW w:w="2947" w:type="dxa"/>
            <w:vMerge w:val="restart"/>
            <w:shd w:val="clear" w:color="auto" w:fill="FFFFFF" w:themeFill="background1"/>
            <w:hideMark/>
          </w:tcPr>
          <w:p w14:paraId="026F5A4F"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 xml:space="preserve">Retrospective chart review of all adult Coroner's cases with toxicology analysis, N=3060, New Brunswick; 2014-2020 </w:t>
            </w:r>
          </w:p>
        </w:tc>
        <w:tc>
          <w:tcPr>
            <w:tcW w:w="2317" w:type="dxa"/>
            <w:vMerge w:val="restart"/>
            <w:shd w:val="clear" w:color="auto" w:fill="FFFFFF" w:themeFill="background1"/>
            <w:hideMark/>
          </w:tcPr>
          <w:p w14:paraId="04E83DE7"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Cannabinoid-positive blood samples after legalization</w:t>
            </w:r>
          </w:p>
        </w:tc>
        <w:tc>
          <w:tcPr>
            <w:tcW w:w="1971" w:type="dxa"/>
            <w:shd w:val="clear" w:color="auto" w:fill="FFFFFF" w:themeFill="background1"/>
            <w:hideMark/>
          </w:tcPr>
          <w:p w14:paraId="5C9B790C"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Cannabis present post-mortem, overall</w:t>
            </w:r>
          </w:p>
        </w:tc>
        <w:tc>
          <w:tcPr>
            <w:tcW w:w="1627" w:type="dxa"/>
            <w:shd w:val="clear" w:color="auto" w:fill="FFFFFF" w:themeFill="background1"/>
            <w:hideMark/>
          </w:tcPr>
          <w:p w14:paraId="537F9FAF"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pre=17.1% post=20.6%;</w:t>
            </w:r>
            <w:r w:rsidRPr="00FA100E">
              <w:rPr>
                <w:rFonts w:ascii="Times New Roman" w:eastAsia="Times New Roman" w:hAnsi="Times New Roman" w:cs="Times New Roman"/>
                <w:sz w:val="22"/>
                <w:szCs w:val="22"/>
                <w:lang w:val="en-GB" w:eastAsia="en-GB"/>
              </w:rPr>
              <w:br/>
              <w:t>OR=0.04 [0.00-0.08], p=0.028</w:t>
            </w:r>
          </w:p>
        </w:tc>
        <w:tc>
          <w:tcPr>
            <w:tcW w:w="948" w:type="dxa"/>
            <w:shd w:val="clear" w:color="auto" w:fill="FFFFFF" w:themeFill="background1"/>
            <w:hideMark/>
          </w:tcPr>
          <w:p w14:paraId="621DE16D"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w:t>
            </w:r>
          </w:p>
        </w:tc>
        <w:tc>
          <w:tcPr>
            <w:tcW w:w="3927" w:type="dxa"/>
            <w:vMerge w:val="restart"/>
            <w:shd w:val="clear" w:color="auto" w:fill="FFFFFF" w:themeFill="background1"/>
            <w:hideMark/>
          </w:tcPr>
          <w:p w14:paraId="2F5DFF2C"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Cannabis use had increased after legalization in New Brunswick, particularly within young adults and those who died by suicide or accidental means.</w:t>
            </w:r>
          </w:p>
        </w:tc>
      </w:tr>
      <w:tr w:rsidR="00FA100E" w:rsidRPr="00FA100E" w14:paraId="0B73CD97" w14:textId="77777777" w:rsidTr="000C3DC1">
        <w:trPr>
          <w:gridAfter w:val="1"/>
          <w:wAfter w:w="10" w:type="dxa"/>
          <w:trHeight w:val="900"/>
        </w:trPr>
        <w:tc>
          <w:tcPr>
            <w:tcW w:w="2122" w:type="dxa"/>
            <w:vMerge/>
            <w:vAlign w:val="center"/>
            <w:hideMark/>
          </w:tcPr>
          <w:p w14:paraId="2675497B"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p>
        </w:tc>
        <w:tc>
          <w:tcPr>
            <w:tcW w:w="2947" w:type="dxa"/>
            <w:vMerge/>
            <w:vAlign w:val="center"/>
            <w:hideMark/>
          </w:tcPr>
          <w:p w14:paraId="7C90AC7A"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p>
        </w:tc>
        <w:tc>
          <w:tcPr>
            <w:tcW w:w="2317" w:type="dxa"/>
            <w:vMerge/>
            <w:vAlign w:val="center"/>
            <w:hideMark/>
          </w:tcPr>
          <w:p w14:paraId="5535B862"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p>
        </w:tc>
        <w:tc>
          <w:tcPr>
            <w:tcW w:w="1971" w:type="dxa"/>
            <w:shd w:val="clear" w:color="auto" w:fill="FFFFFF" w:themeFill="background1"/>
            <w:hideMark/>
          </w:tcPr>
          <w:p w14:paraId="08EF6F62"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Cannabis present in accidental deaths</w:t>
            </w:r>
          </w:p>
        </w:tc>
        <w:tc>
          <w:tcPr>
            <w:tcW w:w="1627" w:type="dxa"/>
            <w:shd w:val="clear" w:color="auto" w:fill="FFFFFF" w:themeFill="background1"/>
            <w:hideMark/>
          </w:tcPr>
          <w:p w14:paraId="6490A5AB"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pre=25.8% post=36.1%;</w:t>
            </w:r>
            <w:r w:rsidRPr="00FA100E">
              <w:rPr>
                <w:rFonts w:ascii="Times New Roman" w:eastAsia="Times New Roman" w:hAnsi="Times New Roman" w:cs="Times New Roman"/>
                <w:sz w:val="22"/>
                <w:szCs w:val="22"/>
                <w:lang w:val="en-GB" w:eastAsia="en-GB"/>
              </w:rPr>
              <w:br/>
              <w:t>OR=0.10 [0.04-0.17]</w:t>
            </w:r>
          </w:p>
        </w:tc>
        <w:tc>
          <w:tcPr>
            <w:tcW w:w="948" w:type="dxa"/>
            <w:shd w:val="clear" w:color="auto" w:fill="FFFFFF" w:themeFill="background1"/>
            <w:hideMark/>
          </w:tcPr>
          <w:p w14:paraId="1C306B43"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w:t>
            </w:r>
          </w:p>
        </w:tc>
        <w:tc>
          <w:tcPr>
            <w:tcW w:w="3927" w:type="dxa"/>
            <w:vMerge/>
            <w:vAlign w:val="center"/>
            <w:hideMark/>
          </w:tcPr>
          <w:p w14:paraId="088FB087"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p>
        </w:tc>
      </w:tr>
      <w:tr w:rsidR="00FA100E" w:rsidRPr="00FA100E" w14:paraId="75523053" w14:textId="77777777" w:rsidTr="000C3DC1">
        <w:trPr>
          <w:gridAfter w:val="1"/>
          <w:wAfter w:w="10" w:type="dxa"/>
          <w:trHeight w:val="900"/>
        </w:trPr>
        <w:tc>
          <w:tcPr>
            <w:tcW w:w="2122" w:type="dxa"/>
            <w:vMerge/>
            <w:vAlign w:val="center"/>
            <w:hideMark/>
          </w:tcPr>
          <w:p w14:paraId="74A2C337"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p>
        </w:tc>
        <w:tc>
          <w:tcPr>
            <w:tcW w:w="2947" w:type="dxa"/>
            <w:vMerge/>
            <w:vAlign w:val="center"/>
            <w:hideMark/>
          </w:tcPr>
          <w:p w14:paraId="2327F903"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p>
        </w:tc>
        <w:tc>
          <w:tcPr>
            <w:tcW w:w="2317" w:type="dxa"/>
            <w:vMerge/>
            <w:vAlign w:val="center"/>
            <w:hideMark/>
          </w:tcPr>
          <w:p w14:paraId="4F88AE72"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p>
        </w:tc>
        <w:tc>
          <w:tcPr>
            <w:tcW w:w="1971" w:type="dxa"/>
            <w:shd w:val="clear" w:color="auto" w:fill="FFFFFF" w:themeFill="background1"/>
            <w:hideMark/>
          </w:tcPr>
          <w:p w14:paraId="49993AC2"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Cannabis present in suicide deaths</w:t>
            </w:r>
          </w:p>
        </w:tc>
        <w:tc>
          <w:tcPr>
            <w:tcW w:w="1627" w:type="dxa"/>
            <w:shd w:val="clear" w:color="auto" w:fill="FFFFFF" w:themeFill="background1"/>
            <w:hideMark/>
          </w:tcPr>
          <w:p w14:paraId="166FFB2C"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 xml:space="preserve">pre=18.1% </w:t>
            </w:r>
          </w:p>
          <w:p w14:paraId="61038087"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post=30.7%;</w:t>
            </w:r>
            <w:r w:rsidRPr="00FA100E">
              <w:rPr>
                <w:rFonts w:ascii="Times New Roman" w:eastAsia="Times New Roman" w:hAnsi="Times New Roman" w:cs="Times New Roman"/>
                <w:sz w:val="22"/>
                <w:szCs w:val="22"/>
                <w:lang w:val="en-GB" w:eastAsia="en-GB"/>
              </w:rPr>
              <w:br/>
              <w:t>OR=0.13 [0.06-0.22]</w:t>
            </w:r>
          </w:p>
        </w:tc>
        <w:tc>
          <w:tcPr>
            <w:tcW w:w="948" w:type="dxa"/>
            <w:shd w:val="clear" w:color="auto" w:fill="FFFFFF" w:themeFill="background1"/>
            <w:hideMark/>
          </w:tcPr>
          <w:p w14:paraId="5E66A810"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w:t>
            </w:r>
          </w:p>
        </w:tc>
        <w:tc>
          <w:tcPr>
            <w:tcW w:w="3927" w:type="dxa"/>
            <w:vMerge/>
            <w:vAlign w:val="center"/>
            <w:hideMark/>
          </w:tcPr>
          <w:p w14:paraId="234A52AB"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p>
        </w:tc>
      </w:tr>
      <w:tr w:rsidR="00FA100E" w:rsidRPr="00FA100E" w14:paraId="727C01CA" w14:textId="77777777" w:rsidTr="000C3DC1">
        <w:trPr>
          <w:gridAfter w:val="1"/>
          <w:wAfter w:w="10" w:type="dxa"/>
          <w:trHeight w:val="315"/>
        </w:trPr>
        <w:tc>
          <w:tcPr>
            <w:tcW w:w="2122" w:type="dxa"/>
            <w:vMerge w:val="restart"/>
            <w:shd w:val="clear" w:color="auto" w:fill="F2F2F2" w:themeFill="background1" w:themeFillShade="F2"/>
            <w:hideMark/>
          </w:tcPr>
          <w:p w14:paraId="6D14E7EC"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Kim (2022): To examined trends in hospitalisations in Ontario for cannabis-related diagnoses before legalisation and during two phases after legalisation [Q=6]</w:t>
            </w:r>
          </w:p>
        </w:tc>
        <w:tc>
          <w:tcPr>
            <w:tcW w:w="2947" w:type="dxa"/>
            <w:vMerge w:val="restart"/>
            <w:shd w:val="clear" w:color="auto" w:fill="F2F2F2" w:themeFill="background1" w:themeFillShade="F2"/>
            <w:hideMark/>
          </w:tcPr>
          <w:p w14:paraId="561227AB"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 xml:space="preserve">Ontario Health Insurance Plan eligible adults; n =12,079,699; age 18+; pre=2015-17 Oct 2018; Phase 1=18 Oct 2018-17 Mar 2020; Phase 2=18 Mar 2020-17 May 2021 </w:t>
            </w:r>
          </w:p>
        </w:tc>
        <w:tc>
          <w:tcPr>
            <w:tcW w:w="2317" w:type="dxa"/>
            <w:vMerge w:val="restart"/>
            <w:shd w:val="clear" w:color="auto" w:fill="F2F2F2" w:themeFill="background1" w:themeFillShade="F2"/>
            <w:hideMark/>
          </w:tcPr>
          <w:p w14:paraId="1188AA5C"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Difference in cannabis-related hospitalisations (per 100k): Pre-legalisation to Phase 1 to Phase 2;</w:t>
            </w:r>
            <w:r w:rsidRPr="00FA100E">
              <w:rPr>
                <w:rFonts w:ascii="Times New Roman" w:eastAsia="Times New Roman" w:hAnsi="Times New Roman" w:cs="Times New Roman"/>
                <w:sz w:val="22"/>
                <w:szCs w:val="22"/>
                <w:lang w:val="en-GB" w:eastAsia="en-GB"/>
              </w:rPr>
              <w:br/>
              <w:t xml:space="preserve">Phase 1 (October 2018-March 2020), flower and herb sales online and limited private retail storefronts; </w:t>
            </w:r>
            <w:r w:rsidRPr="00FA100E">
              <w:rPr>
                <w:rFonts w:ascii="Times New Roman" w:eastAsia="Times New Roman" w:hAnsi="Times New Roman" w:cs="Times New Roman"/>
                <w:sz w:val="22"/>
                <w:szCs w:val="22"/>
                <w:lang w:val="en-GB" w:eastAsia="en-GB"/>
              </w:rPr>
              <w:br/>
              <w:t>Phase 2 (Mar 2020-May 2021), increased storefronts and availability of edibles (Mar 2020-May 2021)</w:t>
            </w:r>
          </w:p>
        </w:tc>
        <w:tc>
          <w:tcPr>
            <w:tcW w:w="1971" w:type="dxa"/>
            <w:shd w:val="clear" w:color="auto" w:fill="F2F2F2" w:themeFill="background1" w:themeFillShade="F2"/>
            <w:hideMark/>
          </w:tcPr>
          <w:p w14:paraId="42FC39BA"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Cannabis-related hospitalisations: Women 18-24</w:t>
            </w:r>
          </w:p>
        </w:tc>
        <w:tc>
          <w:tcPr>
            <w:tcW w:w="1627" w:type="dxa"/>
            <w:shd w:val="clear" w:color="auto" w:fill="F2F2F2" w:themeFill="background1" w:themeFillShade="F2"/>
            <w:hideMark/>
          </w:tcPr>
          <w:p w14:paraId="613F7826"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 xml:space="preserve">pre=6.05 </w:t>
            </w:r>
          </w:p>
          <w:p w14:paraId="5AF13301"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 xml:space="preserve">P1=7.77 </w:t>
            </w:r>
          </w:p>
          <w:p w14:paraId="723E8819"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P2=11.11; immediate change P1=38% p=0.012, P2=15.3% p=0.267</w:t>
            </w:r>
          </w:p>
        </w:tc>
        <w:tc>
          <w:tcPr>
            <w:tcW w:w="948" w:type="dxa"/>
            <w:vMerge w:val="restart"/>
            <w:shd w:val="clear" w:color="auto" w:fill="F2F2F2" w:themeFill="background1" w:themeFillShade="F2"/>
            <w:hideMark/>
          </w:tcPr>
          <w:p w14:paraId="63F82602"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 then ns</w:t>
            </w:r>
          </w:p>
        </w:tc>
        <w:tc>
          <w:tcPr>
            <w:tcW w:w="3927" w:type="dxa"/>
            <w:vMerge w:val="restart"/>
            <w:shd w:val="clear" w:color="auto" w:fill="F2F2F2" w:themeFill="background1" w:themeFillShade="F2"/>
            <w:hideMark/>
          </w:tcPr>
          <w:p w14:paraId="41D70F8A"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 xml:space="preserve">Before legalization, there were significant month-to-month decreases in women 18–24 and men aged 18–24 but the incidence rate ratio increased by 1.5% per month for men over 25 years. Phase 1 was associated with a significant immediate increase and month-to-month increase in hospitalization in all age and gender subgroups, with greater increases in men than women. Phase 2 was not associated with immediate significant increases in hospitalization in adults aged 18–24 or 25 years plus and the month-to-month trend in each subgroup did not significantly differ. </w:t>
            </w:r>
          </w:p>
        </w:tc>
      </w:tr>
      <w:tr w:rsidR="00FA100E" w:rsidRPr="00FA100E" w14:paraId="1BBB1E57" w14:textId="77777777" w:rsidTr="000C3DC1">
        <w:trPr>
          <w:gridAfter w:val="1"/>
          <w:wAfter w:w="10" w:type="dxa"/>
          <w:trHeight w:val="1800"/>
        </w:trPr>
        <w:tc>
          <w:tcPr>
            <w:tcW w:w="2122" w:type="dxa"/>
            <w:vMerge/>
            <w:vAlign w:val="center"/>
            <w:hideMark/>
          </w:tcPr>
          <w:p w14:paraId="1A5D885D"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p>
        </w:tc>
        <w:tc>
          <w:tcPr>
            <w:tcW w:w="2947" w:type="dxa"/>
            <w:vMerge/>
            <w:vAlign w:val="center"/>
            <w:hideMark/>
          </w:tcPr>
          <w:p w14:paraId="11451382"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p>
        </w:tc>
        <w:tc>
          <w:tcPr>
            <w:tcW w:w="2317" w:type="dxa"/>
            <w:vMerge/>
            <w:vAlign w:val="center"/>
            <w:hideMark/>
          </w:tcPr>
          <w:p w14:paraId="220A0CCA"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p>
        </w:tc>
        <w:tc>
          <w:tcPr>
            <w:tcW w:w="1971" w:type="dxa"/>
            <w:shd w:val="clear" w:color="auto" w:fill="F2F2F2" w:themeFill="background1" w:themeFillShade="F2"/>
            <w:hideMark/>
          </w:tcPr>
          <w:p w14:paraId="76995B73"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Men 18-24</w:t>
            </w:r>
          </w:p>
        </w:tc>
        <w:tc>
          <w:tcPr>
            <w:tcW w:w="1627" w:type="dxa"/>
            <w:shd w:val="clear" w:color="auto" w:fill="F2F2F2" w:themeFill="background1" w:themeFillShade="F2"/>
            <w:hideMark/>
          </w:tcPr>
          <w:p w14:paraId="74564236"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 xml:space="preserve">pre=5.32 </w:t>
            </w:r>
          </w:p>
          <w:p w14:paraId="2C370023"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 xml:space="preserve">P1=11.59 </w:t>
            </w:r>
          </w:p>
          <w:p w14:paraId="550D158E"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P2=15.18; immediate change P1=77.8 p&lt;0.001, P2=-13.8% p=0.275</w:t>
            </w:r>
          </w:p>
        </w:tc>
        <w:tc>
          <w:tcPr>
            <w:tcW w:w="948" w:type="dxa"/>
            <w:vMerge/>
            <w:vAlign w:val="center"/>
            <w:hideMark/>
          </w:tcPr>
          <w:p w14:paraId="7200D66E"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p>
        </w:tc>
        <w:tc>
          <w:tcPr>
            <w:tcW w:w="3927" w:type="dxa"/>
            <w:vMerge/>
            <w:vAlign w:val="center"/>
            <w:hideMark/>
          </w:tcPr>
          <w:p w14:paraId="252F1EBE"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p>
        </w:tc>
      </w:tr>
      <w:tr w:rsidR="00FA100E" w:rsidRPr="00FA100E" w14:paraId="35F74711" w14:textId="77777777" w:rsidTr="000C3DC1">
        <w:trPr>
          <w:gridAfter w:val="1"/>
          <w:wAfter w:w="10" w:type="dxa"/>
          <w:trHeight w:val="2100"/>
        </w:trPr>
        <w:tc>
          <w:tcPr>
            <w:tcW w:w="2122" w:type="dxa"/>
            <w:vMerge/>
            <w:vAlign w:val="center"/>
            <w:hideMark/>
          </w:tcPr>
          <w:p w14:paraId="7487B5BC"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p>
        </w:tc>
        <w:tc>
          <w:tcPr>
            <w:tcW w:w="2947" w:type="dxa"/>
            <w:vMerge/>
            <w:vAlign w:val="center"/>
            <w:hideMark/>
          </w:tcPr>
          <w:p w14:paraId="1553EE1A"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p>
        </w:tc>
        <w:tc>
          <w:tcPr>
            <w:tcW w:w="2317" w:type="dxa"/>
            <w:vMerge/>
            <w:vAlign w:val="center"/>
            <w:hideMark/>
          </w:tcPr>
          <w:p w14:paraId="4FE21836"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p>
        </w:tc>
        <w:tc>
          <w:tcPr>
            <w:tcW w:w="1971" w:type="dxa"/>
            <w:shd w:val="clear" w:color="auto" w:fill="F2F2F2" w:themeFill="background1" w:themeFillShade="F2"/>
            <w:hideMark/>
          </w:tcPr>
          <w:p w14:paraId="2FC7B55F"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Women &gt;=25</w:t>
            </w:r>
          </w:p>
        </w:tc>
        <w:tc>
          <w:tcPr>
            <w:tcW w:w="1627" w:type="dxa"/>
            <w:shd w:val="clear" w:color="auto" w:fill="F2F2F2" w:themeFill="background1" w:themeFillShade="F2"/>
            <w:hideMark/>
          </w:tcPr>
          <w:p w14:paraId="1B85CA9E"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 xml:space="preserve">pre=0.67 </w:t>
            </w:r>
          </w:p>
          <w:p w14:paraId="76BABF59"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 xml:space="preserve">P1=1.49 </w:t>
            </w:r>
          </w:p>
          <w:p w14:paraId="754BC31F"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P2=2.11; immediate change P1=52.9% p=0.001, P2=15.1 p=0.219</w:t>
            </w:r>
          </w:p>
        </w:tc>
        <w:tc>
          <w:tcPr>
            <w:tcW w:w="948" w:type="dxa"/>
            <w:vMerge/>
            <w:vAlign w:val="center"/>
            <w:hideMark/>
          </w:tcPr>
          <w:p w14:paraId="76897DF6"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p>
        </w:tc>
        <w:tc>
          <w:tcPr>
            <w:tcW w:w="3927" w:type="dxa"/>
            <w:vMerge/>
            <w:vAlign w:val="center"/>
            <w:hideMark/>
          </w:tcPr>
          <w:p w14:paraId="13B23065"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p>
        </w:tc>
      </w:tr>
      <w:tr w:rsidR="00FA100E" w:rsidRPr="00FA100E" w14:paraId="76E65FBF" w14:textId="77777777" w:rsidTr="000C3DC1">
        <w:trPr>
          <w:gridAfter w:val="1"/>
          <w:wAfter w:w="10" w:type="dxa"/>
          <w:trHeight w:val="2100"/>
        </w:trPr>
        <w:tc>
          <w:tcPr>
            <w:tcW w:w="2122" w:type="dxa"/>
            <w:vMerge/>
            <w:vAlign w:val="center"/>
            <w:hideMark/>
          </w:tcPr>
          <w:p w14:paraId="6A6E2FBD"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p>
        </w:tc>
        <w:tc>
          <w:tcPr>
            <w:tcW w:w="2947" w:type="dxa"/>
            <w:vMerge/>
            <w:vAlign w:val="center"/>
            <w:hideMark/>
          </w:tcPr>
          <w:p w14:paraId="202A5A53"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p>
        </w:tc>
        <w:tc>
          <w:tcPr>
            <w:tcW w:w="2317" w:type="dxa"/>
            <w:vMerge/>
            <w:vAlign w:val="center"/>
            <w:hideMark/>
          </w:tcPr>
          <w:p w14:paraId="13D7F4E0"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p>
        </w:tc>
        <w:tc>
          <w:tcPr>
            <w:tcW w:w="1971" w:type="dxa"/>
            <w:shd w:val="clear" w:color="auto" w:fill="F2F2F2" w:themeFill="background1" w:themeFillShade="F2"/>
            <w:hideMark/>
          </w:tcPr>
          <w:p w14:paraId="5ED9FD3B"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Men &gt;=25</w:t>
            </w:r>
          </w:p>
        </w:tc>
        <w:tc>
          <w:tcPr>
            <w:tcW w:w="1627" w:type="dxa"/>
            <w:shd w:val="clear" w:color="auto" w:fill="F2F2F2" w:themeFill="background1" w:themeFillShade="F2"/>
            <w:hideMark/>
          </w:tcPr>
          <w:p w14:paraId="6BD4A1B0"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 xml:space="preserve">pre=0.97 </w:t>
            </w:r>
          </w:p>
          <w:p w14:paraId="574BD44C"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P1=3.19</w:t>
            </w:r>
          </w:p>
          <w:p w14:paraId="131C4F17"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P2=4.16; immediate change P1=73.6% p&lt;0.001, P2=-11.2% p=0.243</w:t>
            </w:r>
          </w:p>
        </w:tc>
        <w:tc>
          <w:tcPr>
            <w:tcW w:w="948" w:type="dxa"/>
            <w:vMerge/>
            <w:vAlign w:val="center"/>
            <w:hideMark/>
          </w:tcPr>
          <w:p w14:paraId="4012D2EA"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p>
        </w:tc>
        <w:tc>
          <w:tcPr>
            <w:tcW w:w="3927" w:type="dxa"/>
            <w:vMerge/>
            <w:vAlign w:val="center"/>
            <w:hideMark/>
          </w:tcPr>
          <w:p w14:paraId="2D321F45"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p>
        </w:tc>
      </w:tr>
      <w:tr w:rsidR="00FA100E" w:rsidRPr="00FA100E" w14:paraId="3AEBCC25" w14:textId="77777777" w:rsidTr="000C3DC1">
        <w:trPr>
          <w:gridAfter w:val="1"/>
          <w:wAfter w:w="10" w:type="dxa"/>
          <w:trHeight w:val="900"/>
        </w:trPr>
        <w:tc>
          <w:tcPr>
            <w:tcW w:w="2122" w:type="dxa"/>
            <w:vMerge w:val="restart"/>
            <w:shd w:val="clear" w:color="auto" w:fill="auto"/>
            <w:hideMark/>
          </w:tcPr>
          <w:p w14:paraId="7EF41FBD"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Maloney-Hall (2020): To examine pre-legalisation trends in cannabis-related hospitalizations for mental and behavioural disorders [Q=7]</w:t>
            </w:r>
          </w:p>
        </w:tc>
        <w:tc>
          <w:tcPr>
            <w:tcW w:w="2947" w:type="dxa"/>
            <w:vMerge w:val="restart"/>
            <w:shd w:val="clear" w:color="auto" w:fill="auto"/>
            <w:hideMark/>
          </w:tcPr>
          <w:p w14:paraId="76729183"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Inpatient separations data from the Canadian Institute for Health Information, N=8819 cannabis-related mental disorder separations; 2006-2015 (2-yrs post liberal medical cannabis laws)</w:t>
            </w:r>
          </w:p>
        </w:tc>
        <w:tc>
          <w:tcPr>
            <w:tcW w:w="2317" w:type="dxa"/>
            <w:vMerge w:val="restart"/>
            <w:shd w:val="clear" w:color="auto" w:fill="auto"/>
            <w:hideMark/>
          </w:tcPr>
          <w:p w14:paraId="24455889"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Inpatient separations with a primary diagnosis of mental and behavioural disorder</w:t>
            </w:r>
          </w:p>
        </w:tc>
        <w:tc>
          <w:tcPr>
            <w:tcW w:w="1971" w:type="dxa"/>
            <w:shd w:val="clear" w:color="auto" w:fill="auto"/>
            <w:hideMark/>
          </w:tcPr>
          <w:p w14:paraId="136242AF"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Cannabis-related mental disorders</w:t>
            </w:r>
          </w:p>
        </w:tc>
        <w:tc>
          <w:tcPr>
            <w:tcW w:w="1627" w:type="dxa"/>
            <w:shd w:val="clear" w:color="auto" w:fill="auto"/>
            <w:hideMark/>
          </w:tcPr>
          <w:p w14:paraId="3BA4EEEB"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2.11 in 2006 vs 5.18 in 2015, per 100k</w:t>
            </w:r>
          </w:p>
        </w:tc>
        <w:tc>
          <w:tcPr>
            <w:tcW w:w="948" w:type="dxa"/>
            <w:shd w:val="clear" w:color="auto" w:fill="auto"/>
            <w:hideMark/>
          </w:tcPr>
          <w:p w14:paraId="416E81D1"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w:t>
            </w:r>
          </w:p>
        </w:tc>
        <w:tc>
          <w:tcPr>
            <w:tcW w:w="3927" w:type="dxa"/>
            <w:vMerge w:val="restart"/>
            <w:shd w:val="clear" w:color="auto" w:fill="auto"/>
            <w:hideMark/>
          </w:tcPr>
          <w:p w14:paraId="4776FD9A"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Prior to cannabis legalization, comparisons over time showed that the rates of hospitalizations for cannabis-related mental or behavioural disorders increased from 2006-2015, highest proportions in young males aged 15-24 for psychotic disorders</w:t>
            </w:r>
          </w:p>
        </w:tc>
      </w:tr>
      <w:tr w:rsidR="00FA100E" w:rsidRPr="00FA100E" w14:paraId="6BD7FF90" w14:textId="77777777" w:rsidTr="000C3DC1">
        <w:trPr>
          <w:gridAfter w:val="1"/>
          <w:wAfter w:w="10" w:type="dxa"/>
          <w:trHeight w:val="900"/>
        </w:trPr>
        <w:tc>
          <w:tcPr>
            <w:tcW w:w="2122" w:type="dxa"/>
            <w:vMerge/>
            <w:vAlign w:val="center"/>
            <w:hideMark/>
          </w:tcPr>
          <w:p w14:paraId="0303810F"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p>
        </w:tc>
        <w:tc>
          <w:tcPr>
            <w:tcW w:w="2947" w:type="dxa"/>
            <w:vMerge/>
            <w:vAlign w:val="center"/>
            <w:hideMark/>
          </w:tcPr>
          <w:p w14:paraId="387AD938"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p>
        </w:tc>
        <w:tc>
          <w:tcPr>
            <w:tcW w:w="2317" w:type="dxa"/>
            <w:vMerge/>
            <w:vAlign w:val="center"/>
            <w:hideMark/>
          </w:tcPr>
          <w:p w14:paraId="5BEBF8BC"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p>
        </w:tc>
        <w:tc>
          <w:tcPr>
            <w:tcW w:w="1971" w:type="dxa"/>
            <w:shd w:val="clear" w:color="auto" w:fill="auto"/>
            <w:hideMark/>
          </w:tcPr>
          <w:p w14:paraId="06B22868"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Cannabis-related psychotic disorder</w:t>
            </w:r>
          </w:p>
        </w:tc>
        <w:tc>
          <w:tcPr>
            <w:tcW w:w="1627" w:type="dxa"/>
            <w:shd w:val="clear" w:color="auto" w:fill="auto"/>
            <w:hideMark/>
          </w:tcPr>
          <w:p w14:paraId="7BC4C4AA"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0.80 in 2006 vs 2.49 in 2015, per 100k</w:t>
            </w:r>
          </w:p>
        </w:tc>
        <w:tc>
          <w:tcPr>
            <w:tcW w:w="948" w:type="dxa"/>
            <w:shd w:val="clear" w:color="auto" w:fill="auto"/>
            <w:hideMark/>
          </w:tcPr>
          <w:p w14:paraId="46B9B860"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w:t>
            </w:r>
          </w:p>
        </w:tc>
        <w:tc>
          <w:tcPr>
            <w:tcW w:w="3927" w:type="dxa"/>
            <w:vMerge/>
            <w:vAlign w:val="center"/>
            <w:hideMark/>
          </w:tcPr>
          <w:p w14:paraId="5DE31636"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p>
        </w:tc>
      </w:tr>
      <w:tr w:rsidR="00FA100E" w:rsidRPr="00FA100E" w14:paraId="642B1FF0" w14:textId="77777777" w:rsidTr="000C3DC1">
        <w:trPr>
          <w:gridAfter w:val="1"/>
          <w:wAfter w:w="10" w:type="dxa"/>
          <w:trHeight w:val="600"/>
        </w:trPr>
        <w:tc>
          <w:tcPr>
            <w:tcW w:w="2122" w:type="dxa"/>
            <w:vMerge w:val="restart"/>
            <w:shd w:val="clear" w:color="auto" w:fill="F2F2F2" w:themeFill="background1" w:themeFillShade="F2"/>
            <w:hideMark/>
          </w:tcPr>
          <w:p w14:paraId="5874315F"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Vignault (2021): To examine the impact of cannabis legalization on the prevalence of cannabis use disorder and psychotic disorder [Q=7]</w:t>
            </w:r>
          </w:p>
        </w:tc>
        <w:tc>
          <w:tcPr>
            <w:tcW w:w="2947" w:type="dxa"/>
            <w:vMerge w:val="restart"/>
            <w:shd w:val="clear" w:color="auto" w:fill="F2F2F2" w:themeFill="background1" w:themeFillShade="F2"/>
            <w:hideMark/>
          </w:tcPr>
          <w:p w14:paraId="7C96DF4D"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 xml:space="preserve"> Retrospective observational study of patients aged 12+ who visited a psychiatrist in the emergency unit of the Centre hospitalier universitaire de Sherbrooke (CHUS) in Quebec, n=1247, 2-years before vs 5-months after legalization of cannabis for recreational use </w:t>
            </w:r>
          </w:p>
        </w:tc>
        <w:tc>
          <w:tcPr>
            <w:tcW w:w="2317" w:type="dxa"/>
            <w:vMerge w:val="restart"/>
            <w:shd w:val="clear" w:color="auto" w:fill="F2F2F2" w:themeFill="background1" w:themeFillShade="F2"/>
            <w:hideMark/>
          </w:tcPr>
          <w:p w14:paraId="43018C5A"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Prevalence of cannabis use disorder and psychotic disorder in psychiatric presentations</w:t>
            </w:r>
          </w:p>
        </w:tc>
        <w:tc>
          <w:tcPr>
            <w:tcW w:w="1971" w:type="dxa"/>
            <w:shd w:val="clear" w:color="auto" w:fill="F2F2F2" w:themeFill="background1" w:themeFillShade="F2"/>
            <w:hideMark/>
          </w:tcPr>
          <w:p w14:paraId="2D722A72"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Reported use of cannabis</w:t>
            </w:r>
          </w:p>
        </w:tc>
        <w:tc>
          <w:tcPr>
            <w:tcW w:w="1627" w:type="dxa"/>
            <w:shd w:val="clear" w:color="auto" w:fill="F2F2F2" w:themeFill="background1" w:themeFillShade="F2"/>
            <w:hideMark/>
          </w:tcPr>
          <w:p w14:paraId="0FD31169"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 xml:space="preserve">pre=28% </w:t>
            </w:r>
          </w:p>
          <w:p w14:paraId="2F4FB340"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post=37%</w:t>
            </w:r>
          </w:p>
        </w:tc>
        <w:tc>
          <w:tcPr>
            <w:tcW w:w="948" w:type="dxa"/>
            <w:shd w:val="clear" w:color="auto" w:fill="F2F2F2" w:themeFill="background1" w:themeFillShade="F2"/>
            <w:hideMark/>
          </w:tcPr>
          <w:p w14:paraId="1F9C6A61"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w:t>
            </w:r>
          </w:p>
        </w:tc>
        <w:tc>
          <w:tcPr>
            <w:tcW w:w="3927" w:type="dxa"/>
            <w:vMerge w:val="restart"/>
            <w:shd w:val="clear" w:color="auto" w:fill="F2F2F2" w:themeFill="background1" w:themeFillShade="F2"/>
            <w:hideMark/>
          </w:tcPr>
          <w:p w14:paraId="4EA9D3B2"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Cannabis use disorder presentations increased after legalisation, psychotic diagnosis had not, and personality disorder had. This study covered a short period after legalisation and the data may be affected by ascertainment bias.</w:t>
            </w:r>
          </w:p>
        </w:tc>
      </w:tr>
      <w:tr w:rsidR="00FA100E" w:rsidRPr="00FA100E" w14:paraId="2E1E727D" w14:textId="77777777" w:rsidTr="000C3DC1">
        <w:trPr>
          <w:gridAfter w:val="1"/>
          <w:wAfter w:w="10" w:type="dxa"/>
          <w:trHeight w:val="600"/>
        </w:trPr>
        <w:tc>
          <w:tcPr>
            <w:tcW w:w="2122" w:type="dxa"/>
            <w:vMerge/>
            <w:vAlign w:val="center"/>
            <w:hideMark/>
          </w:tcPr>
          <w:p w14:paraId="657536F1"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p>
        </w:tc>
        <w:tc>
          <w:tcPr>
            <w:tcW w:w="2947" w:type="dxa"/>
            <w:vMerge/>
            <w:vAlign w:val="center"/>
            <w:hideMark/>
          </w:tcPr>
          <w:p w14:paraId="5CC9A5F3"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p>
        </w:tc>
        <w:tc>
          <w:tcPr>
            <w:tcW w:w="2317" w:type="dxa"/>
            <w:vMerge/>
            <w:vAlign w:val="center"/>
            <w:hideMark/>
          </w:tcPr>
          <w:p w14:paraId="3EF0326B"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p>
        </w:tc>
        <w:tc>
          <w:tcPr>
            <w:tcW w:w="1971" w:type="dxa"/>
            <w:shd w:val="clear" w:color="auto" w:fill="F2F2F2" w:themeFill="background1" w:themeFillShade="F2"/>
            <w:hideMark/>
          </w:tcPr>
          <w:p w14:paraId="1FCB163A"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Cannabis use disorder</w:t>
            </w:r>
          </w:p>
        </w:tc>
        <w:tc>
          <w:tcPr>
            <w:tcW w:w="1627" w:type="dxa"/>
            <w:shd w:val="clear" w:color="auto" w:fill="F2F2F2" w:themeFill="background1" w:themeFillShade="F2"/>
            <w:hideMark/>
          </w:tcPr>
          <w:p w14:paraId="4D20835D"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 xml:space="preserve">pre=18% </w:t>
            </w:r>
          </w:p>
          <w:p w14:paraId="735C6DE2"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post=24%</w:t>
            </w:r>
          </w:p>
        </w:tc>
        <w:tc>
          <w:tcPr>
            <w:tcW w:w="948" w:type="dxa"/>
            <w:shd w:val="clear" w:color="auto" w:fill="F2F2F2" w:themeFill="background1" w:themeFillShade="F2"/>
            <w:hideMark/>
          </w:tcPr>
          <w:p w14:paraId="3BF074E8"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w:t>
            </w:r>
          </w:p>
        </w:tc>
        <w:tc>
          <w:tcPr>
            <w:tcW w:w="3927" w:type="dxa"/>
            <w:vMerge/>
            <w:vAlign w:val="center"/>
            <w:hideMark/>
          </w:tcPr>
          <w:p w14:paraId="12C1C139"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p>
        </w:tc>
      </w:tr>
      <w:tr w:rsidR="00FA100E" w:rsidRPr="00FA100E" w14:paraId="11AB7AAF" w14:textId="77777777" w:rsidTr="000C3DC1">
        <w:trPr>
          <w:gridAfter w:val="1"/>
          <w:wAfter w:w="10" w:type="dxa"/>
          <w:trHeight w:val="315"/>
        </w:trPr>
        <w:tc>
          <w:tcPr>
            <w:tcW w:w="2122" w:type="dxa"/>
            <w:vMerge/>
            <w:vAlign w:val="center"/>
            <w:hideMark/>
          </w:tcPr>
          <w:p w14:paraId="611AE386"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p>
        </w:tc>
        <w:tc>
          <w:tcPr>
            <w:tcW w:w="2947" w:type="dxa"/>
            <w:vMerge/>
            <w:vAlign w:val="center"/>
            <w:hideMark/>
          </w:tcPr>
          <w:p w14:paraId="5F977BC5"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p>
        </w:tc>
        <w:tc>
          <w:tcPr>
            <w:tcW w:w="2317" w:type="dxa"/>
            <w:vMerge/>
            <w:vAlign w:val="center"/>
            <w:hideMark/>
          </w:tcPr>
          <w:p w14:paraId="51742A94"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p>
        </w:tc>
        <w:tc>
          <w:tcPr>
            <w:tcW w:w="1971" w:type="dxa"/>
            <w:shd w:val="clear" w:color="auto" w:fill="F2F2F2" w:themeFill="background1" w:themeFillShade="F2"/>
            <w:hideMark/>
          </w:tcPr>
          <w:p w14:paraId="70924CD3"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Psychotic diagnoses</w:t>
            </w:r>
          </w:p>
        </w:tc>
        <w:tc>
          <w:tcPr>
            <w:tcW w:w="1627" w:type="dxa"/>
            <w:shd w:val="clear" w:color="auto" w:fill="F2F2F2" w:themeFill="background1" w:themeFillShade="F2"/>
            <w:hideMark/>
          </w:tcPr>
          <w:p w14:paraId="379A2B6C"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 xml:space="preserve">pre=27% </w:t>
            </w:r>
          </w:p>
          <w:p w14:paraId="30808FF3"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post=29%</w:t>
            </w:r>
          </w:p>
        </w:tc>
        <w:tc>
          <w:tcPr>
            <w:tcW w:w="948" w:type="dxa"/>
            <w:shd w:val="clear" w:color="auto" w:fill="F2F2F2" w:themeFill="background1" w:themeFillShade="F2"/>
            <w:hideMark/>
          </w:tcPr>
          <w:p w14:paraId="4F1F1C37"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ns</w:t>
            </w:r>
          </w:p>
        </w:tc>
        <w:tc>
          <w:tcPr>
            <w:tcW w:w="3927" w:type="dxa"/>
            <w:vMerge/>
            <w:vAlign w:val="center"/>
            <w:hideMark/>
          </w:tcPr>
          <w:p w14:paraId="778A59FF"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p>
        </w:tc>
      </w:tr>
      <w:tr w:rsidR="00FA100E" w:rsidRPr="00FA100E" w14:paraId="697A2A35" w14:textId="77777777" w:rsidTr="000C3DC1">
        <w:trPr>
          <w:gridAfter w:val="1"/>
          <w:wAfter w:w="10" w:type="dxa"/>
          <w:trHeight w:val="600"/>
        </w:trPr>
        <w:tc>
          <w:tcPr>
            <w:tcW w:w="2122" w:type="dxa"/>
            <w:vMerge/>
            <w:vAlign w:val="center"/>
            <w:hideMark/>
          </w:tcPr>
          <w:p w14:paraId="7A8E468A"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p>
        </w:tc>
        <w:tc>
          <w:tcPr>
            <w:tcW w:w="2947" w:type="dxa"/>
            <w:vMerge/>
            <w:vAlign w:val="center"/>
            <w:hideMark/>
          </w:tcPr>
          <w:p w14:paraId="3F351A76"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p>
        </w:tc>
        <w:tc>
          <w:tcPr>
            <w:tcW w:w="2317" w:type="dxa"/>
            <w:vMerge/>
            <w:vAlign w:val="center"/>
            <w:hideMark/>
          </w:tcPr>
          <w:p w14:paraId="7345044B"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p>
        </w:tc>
        <w:tc>
          <w:tcPr>
            <w:tcW w:w="1971" w:type="dxa"/>
            <w:shd w:val="clear" w:color="auto" w:fill="F2F2F2" w:themeFill="background1" w:themeFillShade="F2"/>
            <w:hideMark/>
          </w:tcPr>
          <w:p w14:paraId="39C2B2DF"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Personality disorder</w:t>
            </w:r>
          </w:p>
        </w:tc>
        <w:tc>
          <w:tcPr>
            <w:tcW w:w="1627" w:type="dxa"/>
            <w:shd w:val="clear" w:color="auto" w:fill="F2F2F2" w:themeFill="background1" w:themeFillShade="F2"/>
            <w:hideMark/>
          </w:tcPr>
          <w:p w14:paraId="7D54F823"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 xml:space="preserve">pre=40% </w:t>
            </w:r>
          </w:p>
          <w:p w14:paraId="3FC062D5"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post=45%</w:t>
            </w:r>
          </w:p>
        </w:tc>
        <w:tc>
          <w:tcPr>
            <w:tcW w:w="948" w:type="dxa"/>
            <w:shd w:val="clear" w:color="auto" w:fill="F2F2F2" w:themeFill="background1" w:themeFillShade="F2"/>
            <w:hideMark/>
          </w:tcPr>
          <w:p w14:paraId="529C52A1"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r w:rsidRPr="00FA100E">
              <w:rPr>
                <w:rFonts w:ascii="Times New Roman" w:eastAsia="Times New Roman" w:hAnsi="Times New Roman" w:cs="Times New Roman"/>
                <w:sz w:val="22"/>
                <w:szCs w:val="22"/>
                <w:lang w:val="en-GB" w:eastAsia="en-GB"/>
              </w:rPr>
              <w:t>+</w:t>
            </w:r>
          </w:p>
        </w:tc>
        <w:tc>
          <w:tcPr>
            <w:tcW w:w="3927" w:type="dxa"/>
            <w:vMerge/>
            <w:vAlign w:val="center"/>
            <w:hideMark/>
          </w:tcPr>
          <w:p w14:paraId="521ACEBE" w14:textId="77777777" w:rsidR="00EA0446" w:rsidRPr="00FA100E" w:rsidRDefault="00EA0446" w:rsidP="000C3DC1">
            <w:pPr>
              <w:spacing w:after="0" w:line="240" w:lineRule="auto"/>
              <w:rPr>
                <w:rFonts w:ascii="Times New Roman" w:eastAsia="Times New Roman" w:hAnsi="Times New Roman" w:cs="Times New Roman"/>
                <w:sz w:val="22"/>
                <w:szCs w:val="22"/>
                <w:lang w:val="en-GB" w:eastAsia="en-GB"/>
              </w:rPr>
            </w:pPr>
          </w:p>
        </w:tc>
      </w:tr>
      <w:tr w:rsidR="00FA100E" w:rsidRPr="00FA100E" w14:paraId="65C03D6C" w14:textId="77777777" w:rsidTr="000C3DC1">
        <w:trPr>
          <w:trHeight w:val="1170"/>
        </w:trPr>
        <w:tc>
          <w:tcPr>
            <w:tcW w:w="15869" w:type="dxa"/>
            <w:gridSpan w:val="8"/>
            <w:shd w:val="clear" w:color="auto" w:fill="auto"/>
            <w:hideMark/>
          </w:tcPr>
          <w:p w14:paraId="0EB235A2" w14:textId="77777777" w:rsidR="00EA0446" w:rsidRPr="00FA100E" w:rsidRDefault="00EA0446" w:rsidP="000C3DC1">
            <w:pPr>
              <w:spacing w:after="0" w:line="240" w:lineRule="auto"/>
              <w:rPr>
                <w:rFonts w:ascii="Times New Roman" w:eastAsia="Times New Roman" w:hAnsi="Times New Roman" w:cs="Times New Roman"/>
                <w:i/>
                <w:sz w:val="22"/>
                <w:szCs w:val="22"/>
                <w:lang w:val="en-GB" w:eastAsia="en-GB"/>
              </w:rPr>
            </w:pPr>
            <w:r w:rsidRPr="00FA100E">
              <w:rPr>
                <w:rFonts w:ascii="Times New Roman" w:eastAsia="Times New Roman" w:hAnsi="Times New Roman" w:cs="Times New Roman"/>
                <w:i/>
                <w:sz w:val="22"/>
                <w:szCs w:val="22"/>
                <w:lang w:val="en-GB" w:eastAsia="en-GB"/>
              </w:rPr>
              <w:t xml:space="preserve">Note. </w:t>
            </w:r>
            <w:r w:rsidRPr="00FA100E">
              <w:rPr>
                <w:rFonts w:ascii="Times New Roman" w:eastAsia="Times New Roman" w:hAnsi="Times New Roman" w:cs="Times New Roman"/>
                <w:sz w:val="22"/>
                <w:szCs w:val="22"/>
                <w:lang w:val="en-GB" w:eastAsia="en-GB"/>
              </w:rPr>
              <w:t>Canada legalized cannabis use for medical purposes in 1999, and for recreational use in Oct 2018;</w:t>
            </w:r>
            <w:r w:rsidRPr="00FA100E">
              <w:rPr>
                <w:rFonts w:ascii="Times New Roman" w:eastAsia="Times New Roman" w:hAnsi="Times New Roman" w:cs="Times New Roman"/>
                <w:sz w:val="22"/>
                <w:szCs w:val="22"/>
                <w:lang w:val="en-GB" w:eastAsia="en-GB"/>
              </w:rPr>
              <w:br/>
            </w:r>
            <w:r w:rsidRPr="00FA100E">
              <w:rPr>
                <w:rFonts w:ascii="Times New Roman" w:eastAsia="Times New Roman" w:hAnsi="Times New Roman" w:cs="Times New Roman"/>
                <w:i/>
                <w:sz w:val="22"/>
                <w:szCs w:val="22"/>
                <w:lang w:val="en-GB" w:eastAsia="en-GB"/>
              </w:rPr>
              <w:t>Effect size: B=beta; β=standardized beta; D=mean differences; FU=follow-up; IRR=incidence rate ratio; M=mean; PR=prevalence ratio; n/a= not applicable; OR=odds ratio;</w:t>
            </w:r>
            <w:r w:rsidRPr="00FA100E">
              <w:rPr>
                <w:rFonts w:ascii="Times New Roman" w:eastAsia="Times New Roman" w:hAnsi="Times New Roman" w:cs="Times New Roman"/>
                <w:i/>
                <w:sz w:val="22"/>
                <w:szCs w:val="22"/>
                <w:lang w:val="en-GB" w:eastAsia="en-GB"/>
              </w:rPr>
              <w:br/>
              <w:t xml:space="preserve">Impact key: + increased, - decreased, ns: no significant differences. Q=Quality out of 8; </w:t>
            </w:r>
            <w:bookmarkStart w:id="17" w:name="_Hlk127389248"/>
            <w:r w:rsidRPr="00FA100E">
              <w:rPr>
                <w:rFonts w:ascii="Times New Roman" w:eastAsia="Times New Roman" w:hAnsi="Times New Roman" w:cs="Times New Roman"/>
                <w:i/>
                <w:sz w:val="22"/>
                <w:szCs w:val="22"/>
                <w:lang w:val="en-GB" w:eastAsia="en-GB"/>
              </w:rPr>
              <w:t>Joanna Briggs Institute (JBI) Critical Appraisal Tool.</w:t>
            </w:r>
            <w:bookmarkEnd w:id="17"/>
          </w:p>
        </w:tc>
      </w:tr>
    </w:tbl>
    <w:p w14:paraId="7B4A6EB8" w14:textId="32EBD6D6" w:rsidR="00EA0446" w:rsidRPr="00FA100E" w:rsidRDefault="00EA0446" w:rsidP="00BE3562">
      <w:pPr>
        <w:rPr>
          <w:rFonts w:ascii="Times New Roman" w:hAnsi="Times New Roman" w:cs="Times New Roman"/>
          <w:b/>
        </w:rPr>
      </w:pPr>
    </w:p>
    <w:sectPr w:rsidR="00EA0446" w:rsidRPr="00FA100E" w:rsidSect="00844B84">
      <w:pgSz w:w="16838" w:h="11906" w:orient="landscape"/>
      <w:pgMar w:top="1440" w:right="1440" w:bottom="1440" w:left="1440" w:header="708"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47873E" w14:textId="77777777" w:rsidR="0082630C" w:rsidRDefault="0082630C" w:rsidP="00BD539C">
      <w:r>
        <w:separator/>
      </w:r>
    </w:p>
    <w:p w14:paraId="4A1C5008" w14:textId="77777777" w:rsidR="0082630C" w:rsidRDefault="0082630C"/>
  </w:endnote>
  <w:endnote w:type="continuationSeparator" w:id="0">
    <w:p w14:paraId="4C3CBE39" w14:textId="77777777" w:rsidR="0082630C" w:rsidRDefault="0082630C" w:rsidP="00BD539C">
      <w:r>
        <w:continuationSeparator/>
      </w:r>
    </w:p>
    <w:p w14:paraId="515A68D2" w14:textId="77777777" w:rsidR="0082630C" w:rsidRDefault="0082630C"/>
  </w:endnote>
  <w:endnote w:type="continuationNotice" w:id="1">
    <w:p w14:paraId="489C0D4F" w14:textId="77777777" w:rsidR="0082630C" w:rsidRDefault="0082630C">
      <w:pPr>
        <w:spacing w:after="0" w:line="240" w:lineRule="auto"/>
      </w:pPr>
    </w:p>
    <w:p w14:paraId="25B77BAC" w14:textId="77777777" w:rsidR="0082630C" w:rsidRDefault="008263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Bebas Neue Bold">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45 Light">
    <w:altName w:val="Arial"/>
    <w:panose1 w:val="00000000000000000000"/>
    <w:charset w:val="00"/>
    <w:family w:val="swiss"/>
    <w:notTrueType/>
    <w:pitch w:val="default"/>
    <w:sig w:usb0="00000003" w:usb1="00000000" w:usb2="00000000" w:usb3="00000000" w:csb0="00000001" w:csb1="00000000"/>
  </w:font>
  <w:font w:name="ITC Slimbach Std">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32498" w14:textId="77777777" w:rsidR="008B7DEC" w:rsidRDefault="008B7D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7692783"/>
      <w:docPartObj>
        <w:docPartGallery w:val="Page Numbers (Bottom of Page)"/>
        <w:docPartUnique/>
      </w:docPartObj>
    </w:sdtPr>
    <w:sdtEndPr>
      <w:rPr>
        <w:noProof/>
      </w:rPr>
    </w:sdtEndPr>
    <w:sdtContent>
      <w:p w14:paraId="2D05AE1C" w14:textId="4C1D507D" w:rsidR="001D59A3" w:rsidRDefault="001D59A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90F0799" w14:textId="77777777" w:rsidR="00954EEC" w:rsidRDefault="00954E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81F84" w14:textId="77777777" w:rsidR="008B7DEC" w:rsidRDefault="008B7D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F0260A" w14:textId="77777777" w:rsidR="0082630C" w:rsidRDefault="0082630C" w:rsidP="00BD539C">
      <w:r>
        <w:separator/>
      </w:r>
    </w:p>
    <w:p w14:paraId="2FF03543" w14:textId="77777777" w:rsidR="0082630C" w:rsidRDefault="0082630C"/>
  </w:footnote>
  <w:footnote w:type="continuationSeparator" w:id="0">
    <w:p w14:paraId="596DDBA1" w14:textId="77777777" w:rsidR="0082630C" w:rsidRDefault="0082630C" w:rsidP="00BD539C">
      <w:r>
        <w:continuationSeparator/>
      </w:r>
    </w:p>
    <w:p w14:paraId="668F9829" w14:textId="77777777" w:rsidR="0082630C" w:rsidRDefault="0082630C"/>
  </w:footnote>
  <w:footnote w:type="continuationNotice" w:id="1">
    <w:p w14:paraId="390C4A2E" w14:textId="77777777" w:rsidR="0082630C" w:rsidRDefault="0082630C">
      <w:pPr>
        <w:spacing w:after="0" w:line="240" w:lineRule="auto"/>
      </w:pPr>
    </w:p>
    <w:p w14:paraId="27869264" w14:textId="77777777" w:rsidR="0082630C" w:rsidRDefault="0082630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12865475"/>
      <w:docPartObj>
        <w:docPartGallery w:val="Page Numbers (Top of Page)"/>
        <w:docPartUnique/>
      </w:docPartObj>
    </w:sdtPr>
    <w:sdtEndPr>
      <w:rPr>
        <w:rStyle w:val="PageNumber"/>
      </w:rPr>
    </w:sdtEndPr>
    <w:sdtContent>
      <w:p w14:paraId="7D6FAB4E" w14:textId="5B900608" w:rsidR="00724A9A" w:rsidRDefault="00724A9A" w:rsidP="00C10248">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601D73">
          <w:rPr>
            <w:rStyle w:val="PageNumber"/>
            <w:noProof/>
          </w:rPr>
          <w:t>49</w:t>
        </w:r>
        <w:r>
          <w:rPr>
            <w:rStyle w:val="PageNumber"/>
          </w:rPr>
          <w:fldChar w:fldCharType="end"/>
        </w:r>
      </w:p>
    </w:sdtContent>
  </w:sdt>
  <w:p w14:paraId="400BD53C" w14:textId="77777777" w:rsidR="00724A9A" w:rsidRDefault="00724A9A" w:rsidP="00C102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Times" w:hAnsi="Times"/>
      </w:rPr>
      <w:id w:val="-751346758"/>
      <w:docPartObj>
        <w:docPartGallery w:val="Page Numbers (Top of Page)"/>
        <w:docPartUnique/>
      </w:docPartObj>
    </w:sdtPr>
    <w:sdtEndPr>
      <w:rPr>
        <w:rStyle w:val="PageNumber"/>
      </w:rPr>
    </w:sdtEndPr>
    <w:sdtContent>
      <w:p w14:paraId="40385299" w14:textId="7D4CAD37" w:rsidR="00724A9A" w:rsidRPr="00B57818" w:rsidRDefault="00FF3ECB" w:rsidP="00C10248">
        <w:pPr>
          <w:pStyle w:val="Header"/>
          <w:rPr>
            <w:rFonts w:ascii="Times" w:hAnsi="Times"/>
          </w:rPr>
        </w:pP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03BE1" w14:textId="77777777" w:rsidR="008B7DEC" w:rsidRDefault="008B7D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B6710"/>
    <w:multiLevelType w:val="hybridMultilevel"/>
    <w:tmpl w:val="CCF209E0"/>
    <w:lvl w:ilvl="0" w:tplc="0C09000F">
      <w:start w:val="1"/>
      <w:numFmt w:val="decimal"/>
      <w:lvlText w:val="%1."/>
      <w:lvlJc w:val="left"/>
      <w:pPr>
        <w:ind w:left="1711" w:hanging="360"/>
      </w:pPr>
      <w:rPr>
        <w:rFonts w:hint="default"/>
      </w:rPr>
    </w:lvl>
    <w:lvl w:ilvl="1" w:tplc="0C090019">
      <w:start w:val="1"/>
      <w:numFmt w:val="lowerLetter"/>
      <w:lvlText w:val="%2."/>
      <w:lvlJc w:val="left"/>
      <w:pPr>
        <w:ind w:left="2431" w:hanging="360"/>
      </w:pPr>
    </w:lvl>
    <w:lvl w:ilvl="2" w:tplc="0C09001B">
      <w:start w:val="1"/>
      <w:numFmt w:val="lowerRoman"/>
      <w:lvlText w:val="%3."/>
      <w:lvlJc w:val="right"/>
      <w:pPr>
        <w:ind w:left="3151" w:hanging="180"/>
      </w:pPr>
    </w:lvl>
    <w:lvl w:ilvl="3" w:tplc="0C09000F" w:tentative="1">
      <w:start w:val="1"/>
      <w:numFmt w:val="decimal"/>
      <w:lvlText w:val="%4."/>
      <w:lvlJc w:val="left"/>
      <w:pPr>
        <w:ind w:left="3871" w:hanging="360"/>
      </w:pPr>
    </w:lvl>
    <w:lvl w:ilvl="4" w:tplc="0C090019" w:tentative="1">
      <w:start w:val="1"/>
      <w:numFmt w:val="lowerLetter"/>
      <w:lvlText w:val="%5."/>
      <w:lvlJc w:val="left"/>
      <w:pPr>
        <w:ind w:left="4591" w:hanging="360"/>
      </w:pPr>
    </w:lvl>
    <w:lvl w:ilvl="5" w:tplc="0C09001B" w:tentative="1">
      <w:start w:val="1"/>
      <w:numFmt w:val="lowerRoman"/>
      <w:lvlText w:val="%6."/>
      <w:lvlJc w:val="right"/>
      <w:pPr>
        <w:ind w:left="5311" w:hanging="180"/>
      </w:pPr>
    </w:lvl>
    <w:lvl w:ilvl="6" w:tplc="0C09000F" w:tentative="1">
      <w:start w:val="1"/>
      <w:numFmt w:val="decimal"/>
      <w:lvlText w:val="%7."/>
      <w:lvlJc w:val="left"/>
      <w:pPr>
        <w:ind w:left="6031" w:hanging="360"/>
      </w:pPr>
    </w:lvl>
    <w:lvl w:ilvl="7" w:tplc="0C090019" w:tentative="1">
      <w:start w:val="1"/>
      <w:numFmt w:val="lowerLetter"/>
      <w:lvlText w:val="%8."/>
      <w:lvlJc w:val="left"/>
      <w:pPr>
        <w:ind w:left="6751" w:hanging="360"/>
      </w:pPr>
    </w:lvl>
    <w:lvl w:ilvl="8" w:tplc="0C09001B" w:tentative="1">
      <w:start w:val="1"/>
      <w:numFmt w:val="lowerRoman"/>
      <w:lvlText w:val="%9."/>
      <w:lvlJc w:val="right"/>
      <w:pPr>
        <w:ind w:left="7471" w:hanging="180"/>
      </w:pPr>
    </w:lvl>
  </w:abstractNum>
  <w:abstractNum w:abstractNumId="1" w15:restartNumberingAfterBreak="0">
    <w:nsid w:val="07DA54AF"/>
    <w:multiLevelType w:val="multilevel"/>
    <w:tmpl w:val="18F00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1E5204"/>
    <w:multiLevelType w:val="hybridMultilevel"/>
    <w:tmpl w:val="4830CA1C"/>
    <w:lvl w:ilvl="0" w:tplc="0310F450">
      <w:numFmt w:val="bullet"/>
      <w:lvlText w:val=""/>
      <w:lvlJc w:val="left"/>
      <w:pPr>
        <w:ind w:left="720" w:hanging="360"/>
      </w:pPr>
      <w:rPr>
        <w:rFonts w:ascii="Wingdings" w:eastAsiaTheme="minorHAnsi" w:hAnsi="Wingdings" w:cs="Time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33715B"/>
    <w:multiLevelType w:val="multilevel"/>
    <w:tmpl w:val="F7F4E2A4"/>
    <w:styleLink w:val="CurrentLis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5533CDA"/>
    <w:multiLevelType w:val="multilevel"/>
    <w:tmpl w:val="A1C0DC78"/>
    <w:lvl w:ilvl="0">
      <w:start w:val="1"/>
      <w:numFmt w:val="decimal"/>
      <w:lvlText w:val="%1."/>
      <w:lvlJc w:val="left"/>
      <w:pPr>
        <w:ind w:left="357" w:hanging="357"/>
      </w:pPr>
      <w:rPr>
        <w:rFonts w:hint="default"/>
      </w:rPr>
    </w:lvl>
    <w:lvl w:ilvl="1">
      <w:start w:val="1"/>
      <w:numFmt w:val="decimal"/>
      <w:lvlText w:val="1.%2."/>
      <w:lvlJc w:val="left"/>
      <w:pPr>
        <w:ind w:left="720" w:hanging="363"/>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1EB373FA"/>
    <w:multiLevelType w:val="hybridMultilevel"/>
    <w:tmpl w:val="F760C2B8"/>
    <w:lvl w:ilvl="0" w:tplc="0C090001">
      <w:start w:val="1"/>
      <w:numFmt w:val="bullet"/>
      <w:lvlText w:val=""/>
      <w:lvlJc w:val="left"/>
      <w:pPr>
        <w:ind w:left="880" w:hanging="360"/>
      </w:pPr>
      <w:rPr>
        <w:rFonts w:ascii="Symbol" w:hAnsi="Symbol" w:hint="default"/>
      </w:rPr>
    </w:lvl>
    <w:lvl w:ilvl="1" w:tplc="0C090003" w:tentative="1">
      <w:start w:val="1"/>
      <w:numFmt w:val="bullet"/>
      <w:lvlText w:val="o"/>
      <w:lvlJc w:val="left"/>
      <w:pPr>
        <w:ind w:left="1600" w:hanging="360"/>
      </w:pPr>
      <w:rPr>
        <w:rFonts w:ascii="Courier New" w:hAnsi="Courier New" w:cs="Courier New" w:hint="default"/>
      </w:rPr>
    </w:lvl>
    <w:lvl w:ilvl="2" w:tplc="0C090005" w:tentative="1">
      <w:start w:val="1"/>
      <w:numFmt w:val="bullet"/>
      <w:lvlText w:val=""/>
      <w:lvlJc w:val="left"/>
      <w:pPr>
        <w:ind w:left="2320" w:hanging="360"/>
      </w:pPr>
      <w:rPr>
        <w:rFonts w:ascii="Wingdings" w:hAnsi="Wingdings" w:hint="default"/>
      </w:rPr>
    </w:lvl>
    <w:lvl w:ilvl="3" w:tplc="0C090001" w:tentative="1">
      <w:start w:val="1"/>
      <w:numFmt w:val="bullet"/>
      <w:lvlText w:val=""/>
      <w:lvlJc w:val="left"/>
      <w:pPr>
        <w:ind w:left="3040" w:hanging="360"/>
      </w:pPr>
      <w:rPr>
        <w:rFonts w:ascii="Symbol" w:hAnsi="Symbol" w:hint="default"/>
      </w:rPr>
    </w:lvl>
    <w:lvl w:ilvl="4" w:tplc="0C090003" w:tentative="1">
      <w:start w:val="1"/>
      <w:numFmt w:val="bullet"/>
      <w:lvlText w:val="o"/>
      <w:lvlJc w:val="left"/>
      <w:pPr>
        <w:ind w:left="3760" w:hanging="360"/>
      </w:pPr>
      <w:rPr>
        <w:rFonts w:ascii="Courier New" w:hAnsi="Courier New" w:cs="Courier New" w:hint="default"/>
      </w:rPr>
    </w:lvl>
    <w:lvl w:ilvl="5" w:tplc="0C090005" w:tentative="1">
      <w:start w:val="1"/>
      <w:numFmt w:val="bullet"/>
      <w:lvlText w:val=""/>
      <w:lvlJc w:val="left"/>
      <w:pPr>
        <w:ind w:left="4480" w:hanging="360"/>
      </w:pPr>
      <w:rPr>
        <w:rFonts w:ascii="Wingdings" w:hAnsi="Wingdings" w:hint="default"/>
      </w:rPr>
    </w:lvl>
    <w:lvl w:ilvl="6" w:tplc="0C090001" w:tentative="1">
      <w:start w:val="1"/>
      <w:numFmt w:val="bullet"/>
      <w:lvlText w:val=""/>
      <w:lvlJc w:val="left"/>
      <w:pPr>
        <w:ind w:left="5200" w:hanging="360"/>
      </w:pPr>
      <w:rPr>
        <w:rFonts w:ascii="Symbol" w:hAnsi="Symbol" w:hint="default"/>
      </w:rPr>
    </w:lvl>
    <w:lvl w:ilvl="7" w:tplc="0C090003" w:tentative="1">
      <w:start w:val="1"/>
      <w:numFmt w:val="bullet"/>
      <w:lvlText w:val="o"/>
      <w:lvlJc w:val="left"/>
      <w:pPr>
        <w:ind w:left="5920" w:hanging="360"/>
      </w:pPr>
      <w:rPr>
        <w:rFonts w:ascii="Courier New" w:hAnsi="Courier New" w:cs="Courier New" w:hint="default"/>
      </w:rPr>
    </w:lvl>
    <w:lvl w:ilvl="8" w:tplc="0C090005" w:tentative="1">
      <w:start w:val="1"/>
      <w:numFmt w:val="bullet"/>
      <w:lvlText w:val=""/>
      <w:lvlJc w:val="left"/>
      <w:pPr>
        <w:ind w:left="6640" w:hanging="360"/>
      </w:pPr>
      <w:rPr>
        <w:rFonts w:ascii="Wingdings" w:hAnsi="Wingdings" w:hint="default"/>
      </w:rPr>
    </w:lvl>
  </w:abstractNum>
  <w:abstractNum w:abstractNumId="6" w15:restartNumberingAfterBreak="0">
    <w:nsid w:val="25520328"/>
    <w:multiLevelType w:val="multilevel"/>
    <w:tmpl w:val="614AD96C"/>
    <w:lvl w:ilvl="0">
      <w:start w:val="270"/>
      <w:numFmt w:val="decimal"/>
      <w:lvlText w:val="%1."/>
      <w:lvlJc w:val="left"/>
      <w:pPr>
        <w:tabs>
          <w:tab w:val="num" w:pos="1429"/>
        </w:tabs>
        <w:ind w:left="1429" w:hanging="720"/>
      </w:pPr>
      <w:rPr>
        <w:rFonts w:ascii="Times New Roman" w:hAnsi="Times New Roman" w:hint="default"/>
        <w:b w:val="0"/>
        <w:sz w:val="24"/>
        <w:szCs w:val="24"/>
        <w:lang w:val="en-US"/>
      </w:rPr>
    </w:lvl>
    <w:lvl w:ilvl="1">
      <w:start w:val="1"/>
      <w:numFmt w:val="lowerLetter"/>
      <w:lvlText w:val="%2."/>
      <w:lvlJc w:val="left"/>
      <w:pPr>
        <w:ind w:left="-2289" w:hanging="360"/>
      </w:pPr>
      <w:rPr>
        <w:rFonts w:hint="default"/>
      </w:rPr>
    </w:lvl>
    <w:lvl w:ilvl="2">
      <w:start w:val="1"/>
      <w:numFmt w:val="lowerRoman"/>
      <w:lvlText w:val="%3."/>
      <w:lvlJc w:val="right"/>
      <w:pPr>
        <w:ind w:left="-1569" w:hanging="180"/>
      </w:pPr>
      <w:rPr>
        <w:rFonts w:hint="default"/>
      </w:rPr>
    </w:lvl>
    <w:lvl w:ilvl="3">
      <w:start w:val="1"/>
      <w:numFmt w:val="decimal"/>
      <w:lvlText w:val="%4."/>
      <w:lvlJc w:val="left"/>
      <w:pPr>
        <w:ind w:left="-849" w:hanging="360"/>
      </w:pPr>
      <w:rPr>
        <w:rFonts w:hint="default"/>
      </w:rPr>
    </w:lvl>
    <w:lvl w:ilvl="4">
      <w:start w:val="1"/>
      <w:numFmt w:val="lowerLetter"/>
      <w:lvlText w:val="%5."/>
      <w:lvlJc w:val="left"/>
      <w:pPr>
        <w:ind w:left="-129" w:hanging="360"/>
      </w:pPr>
      <w:rPr>
        <w:rFonts w:hint="default"/>
      </w:rPr>
    </w:lvl>
    <w:lvl w:ilvl="5">
      <w:start w:val="1"/>
      <w:numFmt w:val="lowerRoman"/>
      <w:lvlText w:val="%6."/>
      <w:lvlJc w:val="right"/>
      <w:pPr>
        <w:ind w:left="591" w:hanging="180"/>
      </w:pPr>
      <w:rPr>
        <w:rFonts w:hint="default"/>
      </w:rPr>
    </w:lvl>
    <w:lvl w:ilvl="6">
      <w:start w:val="1"/>
      <w:numFmt w:val="decimal"/>
      <w:lvlText w:val="%7."/>
      <w:lvlJc w:val="left"/>
      <w:pPr>
        <w:ind w:left="1311" w:hanging="360"/>
      </w:pPr>
      <w:rPr>
        <w:rFonts w:hint="default"/>
      </w:rPr>
    </w:lvl>
    <w:lvl w:ilvl="7">
      <w:start w:val="1"/>
      <w:numFmt w:val="lowerLetter"/>
      <w:lvlText w:val="%8."/>
      <w:lvlJc w:val="left"/>
      <w:pPr>
        <w:ind w:left="2031" w:hanging="360"/>
      </w:pPr>
      <w:rPr>
        <w:rFonts w:hint="default"/>
      </w:rPr>
    </w:lvl>
    <w:lvl w:ilvl="8">
      <w:start w:val="1"/>
      <w:numFmt w:val="lowerRoman"/>
      <w:lvlText w:val="%9."/>
      <w:lvlJc w:val="right"/>
      <w:pPr>
        <w:ind w:left="2751" w:hanging="180"/>
      </w:pPr>
      <w:rPr>
        <w:rFonts w:hint="default"/>
      </w:rPr>
    </w:lvl>
  </w:abstractNum>
  <w:abstractNum w:abstractNumId="7" w15:restartNumberingAfterBreak="0">
    <w:nsid w:val="25876EFC"/>
    <w:multiLevelType w:val="multilevel"/>
    <w:tmpl w:val="9B382A6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D710147"/>
    <w:multiLevelType w:val="hybridMultilevel"/>
    <w:tmpl w:val="48D6B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781516"/>
    <w:multiLevelType w:val="multilevel"/>
    <w:tmpl w:val="47223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E3724A"/>
    <w:multiLevelType w:val="multilevel"/>
    <w:tmpl w:val="812CE7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147409"/>
    <w:multiLevelType w:val="hybridMultilevel"/>
    <w:tmpl w:val="FD288886"/>
    <w:lvl w:ilvl="0" w:tplc="6A20AD42">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35165814"/>
    <w:multiLevelType w:val="multilevel"/>
    <w:tmpl w:val="9D660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E4147E"/>
    <w:multiLevelType w:val="multilevel"/>
    <w:tmpl w:val="FCCE2BF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ECF5470"/>
    <w:multiLevelType w:val="multilevel"/>
    <w:tmpl w:val="6C3E0B9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429211F2"/>
    <w:multiLevelType w:val="multilevel"/>
    <w:tmpl w:val="38C095BE"/>
    <w:styleLink w:val="CurrentList1"/>
    <w:lvl w:ilvl="0">
      <w:start w:val="1"/>
      <w:numFmt w:val="decimal"/>
      <w:lvlText w:val="%1."/>
      <w:lvlJc w:val="left"/>
      <w:pPr>
        <w:ind w:left="357" w:hanging="357"/>
      </w:pPr>
      <w:rPr>
        <w:rFonts w:hint="default"/>
      </w:rPr>
    </w:lvl>
    <w:lvl w:ilvl="1">
      <w:start w:val="1"/>
      <w:numFmt w:val="decimal"/>
      <w:lvlText w:val="%2."/>
      <w:lvlJc w:val="left"/>
      <w:pPr>
        <w:ind w:left="720" w:hanging="363"/>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43433492"/>
    <w:multiLevelType w:val="multilevel"/>
    <w:tmpl w:val="29F02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4716DC8"/>
    <w:multiLevelType w:val="hybridMultilevel"/>
    <w:tmpl w:val="D7DA840E"/>
    <w:lvl w:ilvl="0" w:tplc="04B6FC4C">
      <w:numFmt w:val="bullet"/>
      <w:pStyle w:val="Listdash"/>
      <w:lvlText w:val="-"/>
      <w:lvlJc w:val="left"/>
      <w:pPr>
        <w:ind w:left="72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83E3044"/>
    <w:multiLevelType w:val="hybridMultilevel"/>
    <w:tmpl w:val="BFF809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84F3B75"/>
    <w:multiLevelType w:val="multilevel"/>
    <w:tmpl w:val="582E2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97255CE"/>
    <w:multiLevelType w:val="multilevel"/>
    <w:tmpl w:val="467A11CA"/>
    <w:lvl w:ilvl="0">
      <w:start w:val="1"/>
      <w:numFmt w:val="decimal"/>
      <w:lvlText w:val="%1"/>
      <w:lvlJc w:val="left"/>
      <w:pPr>
        <w:ind w:left="858" w:hanging="432"/>
      </w:pPr>
    </w:lvl>
    <w:lvl w:ilvl="1">
      <w:start w:val="1"/>
      <w:numFmt w:val="decimal"/>
      <w:lvlText w:val="%1.%2"/>
      <w:lvlJc w:val="left"/>
      <w:pPr>
        <w:ind w:left="1710" w:hanging="576"/>
      </w:pPr>
    </w:lvl>
    <w:lvl w:ilvl="2">
      <w:start w:val="1"/>
      <w:numFmt w:val="decimal"/>
      <w:lvlText w:val="%1.%2.%3"/>
      <w:lvlJc w:val="left"/>
      <w:pPr>
        <w:ind w:left="398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1" w15:restartNumberingAfterBreak="0">
    <w:nsid w:val="4B386297"/>
    <w:multiLevelType w:val="multilevel"/>
    <w:tmpl w:val="7568A01C"/>
    <w:styleLink w:val="CurrentList3"/>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D661287"/>
    <w:multiLevelType w:val="multilevel"/>
    <w:tmpl w:val="F044F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D6C6647"/>
    <w:multiLevelType w:val="hybridMultilevel"/>
    <w:tmpl w:val="41C0B6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23D39A4"/>
    <w:multiLevelType w:val="multilevel"/>
    <w:tmpl w:val="09F0B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7F77A1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B825995"/>
    <w:multiLevelType w:val="multilevel"/>
    <w:tmpl w:val="F14A5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2FA610F"/>
    <w:multiLevelType w:val="hybridMultilevel"/>
    <w:tmpl w:val="72CC8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62C7905"/>
    <w:multiLevelType w:val="multilevel"/>
    <w:tmpl w:val="061A6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CE612CA"/>
    <w:multiLevelType w:val="hybridMultilevel"/>
    <w:tmpl w:val="280CA9F4"/>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23B0000"/>
    <w:multiLevelType w:val="multilevel"/>
    <w:tmpl w:val="77A8C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4F23116"/>
    <w:multiLevelType w:val="multilevel"/>
    <w:tmpl w:val="BF048F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6014E5A"/>
    <w:multiLevelType w:val="hybridMultilevel"/>
    <w:tmpl w:val="F8A80E98"/>
    <w:lvl w:ilvl="0" w:tplc="612421CA">
      <w:start w:val="1"/>
      <w:numFmt w:val="decimal"/>
      <w:lvlText w:val="%1."/>
      <w:lvlJc w:val="left"/>
      <w:pPr>
        <w:ind w:left="1080" w:hanging="360"/>
      </w:pPr>
      <w:rPr>
        <w:rFonts w:ascii="Times New Roman" w:eastAsia="Times New Roman" w:hAnsi="Times New Roman" w:cs="Times New Roman"/>
      </w:rPr>
    </w:lvl>
    <w:lvl w:ilvl="1" w:tplc="0C090019">
      <w:start w:val="1"/>
      <w:numFmt w:val="lowerLetter"/>
      <w:lvlText w:val="%2."/>
      <w:lvlJc w:val="left"/>
      <w:pPr>
        <w:ind w:left="-2289" w:hanging="360"/>
      </w:pPr>
    </w:lvl>
    <w:lvl w:ilvl="2" w:tplc="0C09001B" w:tentative="1">
      <w:start w:val="1"/>
      <w:numFmt w:val="lowerRoman"/>
      <w:lvlText w:val="%3."/>
      <w:lvlJc w:val="right"/>
      <w:pPr>
        <w:ind w:left="-1569" w:hanging="180"/>
      </w:pPr>
    </w:lvl>
    <w:lvl w:ilvl="3" w:tplc="0C09000F" w:tentative="1">
      <w:start w:val="1"/>
      <w:numFmt w:val="decimal"/>
      <w:lvlText w:val="%4."/>
      <w:lvlJc w:val="left"/>
      <w:pPr>
        <w:ind w:left="-849" w:hanging="360"/>
      </w:pPr>
    </w:lvl>
    <w:lvl w:ilvl="4" w:tplc="0C090019" w:tentative="1">
      <w:start w:val="1"/>
      <w:numFmt w:val="lowerLetter"/>
      <w:lvlText w:val="%5."/>
      <w:lvlJc w:val="left"/>
      <w:pPr>
        <w:ind w:left="-129" w:hanging="360"/>
      </w:pPr>
    </w:lvl>
    <w:lvl w:ilvl="5" w:tplc="0C09001B" w:tentative="1">
      <w:start w:val="1"/>
      <w:numFmt w:val="lowerRoman"/>
      <w:lvlText w:val="%6."/>
      <w:lvlJc w:val="right"/>
      <w:pPr>
        <w:ind w:left="591" w:hanging="180"/>
      </w:pPr>
    </w:lvl>
    <w:lvl w:ilvl="6" w:tplc="0C09000F" w:tentative="1">
      <w:start w:val="1"/>
      <w:numFmt w:val="decimal"/>
      <w:lvlText w:val="%7."/>
      <w:lvlJc w:val="left"/>
      <w:pPr>
        <w:ind w:left="1311" w:hanging="360"/>
      </w:pPr>
    </w:lvl>
    <w:lvl w:ilvl="7" w:tplc="0C090019" w:tentative="1">
      <w:start w:val="1"/>
      <w:numFmt w:val="lowerLetter"/>
      <w:lvlText w:val="%8."/>
      <w:lvlJc w:val="left"/>
      <w:pPr>
        <w:ind w:left="2031" w:hanging="360"/>
      </w:pPr>
    </w:lvl>
    <w:lvl w:ilvl="8" w:tplc="0C09001B" w:tentative="1">
      <w:start w:val="1"/>
      <w:numFmt w:val="lowerRoman"/>
      <w:lvlText w:val="%9."/>
      <w:lvlJc w:val="right"/>
      <w:pPr>
        <w:ind w:left="2751" w:hanging="180"/>
      </w:pPr>
    </w:lvl>
  </w:abstractNum>
  <w:num w:numId="1" w16cid:durableId="1586526556">
    <w:abstractNumId w:val="0"/>
  </w:num>
  <w:num w:numId="2" w16cid:durableId="490408319">
    <w:abstractNumId w:val="11"/>
  </w:num>
  <w:num w:numId="3" w16cid:durableId="1315913622">
    <w:abstractNumId w:val="17"/>
  </w:num>
  <w:num w:numId="4" w16cid:durableId="252321167">
    <w:abstractNumId w:val="26"/>
  </w:num>
  <w:num w:numId="5" w16cid:durableId="2068212944">
    <w:abstractNumId w:val="29"/>
  </w:num>
  <w:num w:numId="6" w16cid:durableId="995106038">
    <w:abstractNumId w:val="23"/>
  </w:num>
  <w:num w:numId="7" w16cid:durableId="508717321">
    <w:abstractNumId w:val="10"/>
  </w:num>
  <w:num w:numId="8" w16cid:durableId="1105424291">
    <w:abstractNumId w:val="6"/>
  </w:num>
  <w:num w:numId="9" w16cid:durableId="1189099689">
    <w:abstractNumId w:val="32"/>
  </w:num>
  <w:num w:numId="10" w16cid:durableId="828441229">
    <w:abstractNumId w:val="24"/>
  </w:num>
  <w:num w:numId="11" w16cid:durableId="23404983">
    <w:abstractNumId w:val="8"/>
  </w:num>
  <w:num w:numId="12" w16cid:durableId="997423755">
    <w:abstractNumId w:val="5"/>
  </w:num>
  <w:num w:numId="13" w16cid:durableId="1857577746">
    <w:abstractNumId w:val="9"/>
  </w:num>
  <w:num w:numId="14" w16cid:durableId="4744610">
    <w:abstractNumId w:val="1"/>
  </w:num>
  <w:num w:numId="15" w16cid:durableId="1200783088">
    <w:abstractNumId w:val="30"/>
  </w:num>
  <w:num w:numId="16" w16cid:durableId="494103882">
    <w:abstractNumId w:val="16"/>
  </w:num>
  <w:num w:numId="17" w16cid:durableId="887375435">
    <w:abstractNumId w:val="2"/>
  </w:num>
  <w:num w:numId="18" w16cid:durableId="193547161">
    <w:abstractNumId w:val="19"/>
  </w:num>
  <w:num w:numId="19" w16cid:durableId="2089836840">
    <w:abstractNumId w:val="28"/>
  </w:num>
  <w:num w:numId="20" w16cid:durableId="1973946027">
    <w:abstractNumId w:val="31"/>
  </w:num>
  <w:num w:numId="21" w16cid:durableId="572550544">
    <w:abstractNumId w:val="7"/>
  </w:num>
  <w:num w:numId="22" w16cid:durableId="710156606">
    <w:abstractNumId w:val="4"/>
  </w:num>
  <w:num w:numId="23" w16cid:durableId="507259839">
    <w:abstractNumId w:val="15"/>
  </w:num>
  <w:num w:numId="24" w16cid:durableId="1350839904">
    <w:abstractNumId w:val="25"/>
  </w:num>
  <w:num w:numId="25" w16cid:durableId="595938222">
    <w:abstractNumId w:val="14"/>
  </w:num>
  <w:num w:numId="26" w16cid:durableId="1789468913">
    <w:abstractNumId w:val="13"/>
  </w:num>
  <w:num w:numId="27" w16cid:durableId="899903160">
    <w:abstractNumId w:val="20"/>
  </w:num>
  <w:num w:numId="28" w16cid:durableId="853305031">
    <w:abstractNumId w:val="3"/>
  </w:num>
  <w:num w:numId="29" w16cid:durableId="10304912">
    <w:abstractNumId w:val="21"/>
  </w:num>
  <w:num w:numId="30" w16cid:durableId="133394987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893251">
    <w:abstractNumId w:val="20"/>
    <w:lvlOverride w:ilvl="0">
      <w:startOverride w:val="3"/>
    </w:lvlOverride>
    <w:lvlOverride w:ilvl="1">
      <w:startOverride w:val="2"/>
    </w:lvlOverride>
  </w:num>
  <w:num w:numId="32" w16cid:durableId="900213775">
    <w:abstractNumId w:val="22"/>
  </w:num>
  <w:num w:numId="33" w16cid:durableId="1938907753">
    <w:abstractNumId w:val="12"/>
  </w:num>
  <w:num w:numId="34" w16cid:durableId="1867523011">
    <w:abstractNumId w:val="18"/>
  </w:num>
  <w:num w:numId="35" w16cid:durableId="49507766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AxMLQwMTU1NzIzszRQ0lEKTi0uzszPAykwNKwFAFeNma4tAAAA"/>
    <w:docVar w:name="EN.InstantFormat" w:val="&lt;ENInstantFormat&gt;&lt;Enabled&gt;1&lt;/Enabled&gt;&lt;ScanUnformatted&gt;1&lt;/ScanUnformatted&gt;&lt;ScanChanges&gt;1&lt;/ScanChanges&gt;&lt;Suspended&gt;1&lt;/Suspended&gt;&lt;/ENInstantFormat&gt;"/>
    <w:docVar w:name="EN.Layout" w:val="&lt;ENLayout&gt;&lt;Style&gt;APA 6th&lt;/Style&gt;&lt;LeftDelim&gt;{&lt;/LeftDelim&gt;&lt;RightDelim&gt;}&lt;/RightDelim&gt;&lt;FontName&gt;Times&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tzpdxwt395fsde2rf3pxrvlxztwwsp0se0e&quot;&gt;5up_Cannabis Legislation_Fulltext_UpdatedSearch_20220406&lt;record-ids&gt;&lt;item&gt;1734&lt;/item&gt;&lt;item&gt;1735&lt;/item&gt;&lt;item&gt;1738&lt;/item&gt;&lt;item&gt;1744&lt;/item&gt;&lt;/record-ids&gt;&lt;/item&gt;&lt;/Libraries&gt;"/>
  </w:docVars>
  <w:rsids>
    <w:rsidRoot w:val="005726EC"/>
    <w:rsid w:val="00000148"/>
    <w:rsid w:val="00000E15"/>
    <w:rsid w:val="00001123"/>
    <w:rsid w:val="00001678"/>
    <w:rsid w:val="000016FB"/>
    <w:rsid w:val="00002675"/>
    <w:rsid w:val="0000276A"/>
    <w:rsid w:val="00003B97"/>
    <w:rsid w:val="00004062"/>
    <w:rsid w:val="00004095"/>
    <w:rsid w:val="0000441D"/>
    <w:rsid w:val="00004BC3"/>
    <w:rsid w:val="00005491"/>
    <w:rsid w:val="000056DD"/>
    <w:rsid w:val="00006113"/>
    <w:rsid w:val="00006B11"/>
    <w:rsid w:val="00006C13"/>
    <w:rsid w:val="000078CA"/>
    <w:rsid w:val="0001027E"/>
    <w:rsid w:val="0001051B"/>
    <w:rsid w:val="0001114E"/>
    <w:rsid w:val="0001176C"/>
    <w:rsid w:val="000128C0"/>
    <w:rsid w:val="0001296A"/>
    <w:rsid w:val="0001393B"/>
    <w:rsid w:val="000146D0"/>
    <w:rsid w:val="00015ECD"/>
    <w:rsid w:val="00017019"/>
    <w:rsid w:val="000174F2"/>
    <w:rsid w:val="0001756E"/>
    <w:rsid w:val="00020062"/>
    <w:rsid w:val="0002149B"/>
    <w:rsid w:val="00021D99"/>
    <w:rsid w:val="00021ED7"/>
    <w:rsid w:val="000222A8"/>
    <w:rsid w:val="00022DE4"/>
    <w:rsid w:val="00023123"/>
    <w:rsid w:val="00023660"/>
    <w:rsid w:val="00023A79"/>
    <w:rsid w:val="00023B9A"/>
    <w:rsid w:val="00023D25"/>
    <w:rsid w:val="0002609B"/>
    <w:rsid w:val="00026738"/>
    <w:rsid w:val="00030F14"/>
    <w:rsid w:val="0003153B"/>
    <w:rsid w:val="00031799"/>
    <w:rsid w:val="000317D6"/>
    <w:rsid w:val="00032D19"/>
    <w:rsid w:val="00035C26"/>
    <w:rsid w:val="00037DA5"/>
    <w:rsid w:val="000411B5"/>
    <w:rsid w:val="000420A5"/>
    <w:rsid w:val="00042368"/>
    <w:rsid w:val="00044B4F"/>
    <w:rsid w:val="00044DCA"/>
    <w:rsid w:val="000460A9"/>
    <w:rsid w:val="000479D5"/>
    <w:rsid w:val="00047D07"/>
    <w:rsid w:val="00050807"/>
    <w:rsid w:val="000514C4"/>
    <w:rsid w:val="00052F15"/>
    <w:rsid w:val="00053D56"/>
    <w:rsid w:val="00054284"/>
    <w:rsid w:val="0005532C"/>
    <w:rsid w:val="00055486"/>
    <w:rsid w:val="00057586"/>
    <w:rsid w:val="000577B0"/>
    <w:rsid w:val="00057E50"/>
    <w:rsid w:val="00061020"/>
    <w:rsid w:val="00062B15"/>
    <w:rsid w:val="00062DA4"/>
    <w:rsid w:val="00063464"/>
    <w:rsid w:val="00063BA6"/>
    <w:rsid w:val="00063D9C"/>
    <w:rsid w:val="000646A6"/>
    <w:rsid w:val="000650EE"/>
    <w:rsid w:val="00066C96"/>
    <w:rsid w:val="00067BCF"/>
    <w:rsid w:val="00070554"/>
    <w:rsid w:val="00071066"/>
    <w:rsid w:val="0007260E"/>
    <w:rsid w:val="0007289A"/>
    <w:rsid w:val="000735D2"/>
    <w:rsid w:val="000759C4"/>
    <w:rsid w:val="00076C1E"/>
    <w:rsid w:val="00080AF9"/>
    <w:rsid w:val="00080CBC"/>
    <w:rsid w:val="00081616"/>
    <w:rsid w:val="00081A59"/>
    <w:rsid w:val="00081E98"/>
    <w:rsid w:val="000821EC"/>
    <w:rsid w:val="00082D07"/>
    <w:rsid w:val="00083267"/>
    <w:rsid w:val="00084D70"/>
    <w:rsid w:val="00084F62"/>
    <w:rsid w:val="0008513E"/>
    <w:rsid w:val="00086F49"/>
    <w:rsid w:val="0008723B"/>
    <w:rsid w:val="00087667"/>
    <w:rsid w:val="0009144A"/>
    <w:rsid w:val="00091CD1"/>
    <w:rsid w:val="00091CE2"/>
    <w:rsid w:val="00091E72"/>
    <w:rsid w:val="00093B1F"/>
    <w:rsid w:val="00093F7E"/>
    <w:rsid w:val="0009413E"/>
    <w:rsid w:val="00094CE3"/>
    <w:rsid w:val="000951B8"/>
    <w:rsid w:val="0009523B"/>
    <w:rsid w:val="000961C3"/>
    <w:rsid w:val="000966CF"/>
    <w:rsid w:val="00096850"/>
    <w:rsid w:val="00096DB2"/>
    <w:rsid w:val="00096E39"/>
    <w:rsid w:val="00097833"/>
    <w:rsid w:val="000979D6"/>
    <w:rsid w:val="000A07FB"/>
    <w:rsid w:val="000A0958"/>
    <w:rsid w:val="000A0C62"/>
    <w:rsid w:val="000A0E1D"/>
    <w:rsid w:val="000A123C"/>
    <w:rsid w:val="000A140D"/>
    <w:rsid w:val="000A2BC9"/>
    <w:rsid w:val="000A4414"/>
    <w:rsid w:val="000A44E9"/>
    <w:rsid w:val="000A51EE"/>
    <w:rsid w:val="000A6EE7"/>
    <w:rsid w:val="000A6F12"/>
    <w:rsid w:val="000A77D0"/>
    <w:rsid w:val="000A7BF7"/>
    <w:rsid w:val="000B031A"/>
    <w:rsid w:val="000B0FBA"/>
    <w:rsid w:val="000B1ECD"/>
    <w:rsid w:val="000B250A"/>
    <w:rsid w:val="000B2DEB"/>
    <w:rsid w:val="000B2F1D"/>
    <w:rsid w:val="000B378B"/>
    <w:rsid w:val="000B4411"/>
    <w:rsid w:val="000B4FA2"/>
    <w:rsid w:val="000B5695"/>
    <w:rsid w:val="000B6ADE"/>
    <w:rsid w:val="000B7719"/>
    <w:rsid w:val="000B78DC"/>
    <w:rsid w:val="000C00B2"/>
    <w:rsid w:val="000C0411"/>
    <w:rsid w:val="000C07E7"/>
    <w:rsid w:val="000C0A26"/>
    <w:rsid w:val="000C0A2A"/>
    <w:rsid w:val="000C13A5"/>
    <w:rsid w:val="000C2BAA"/>
    <w:rsid w:val="000C2E33"/>
    <w:rsid w:val="000C3764"/>
    <w:rsid w:val="000C4146"/>
    <w:rsid w:val="000C58A7"/>
    <w:rsid w:val="000C5AE7"/>
    <w:rsid w:val="000C5C09"/>
    <w:rsid w:val="000C5CB5"/>
    <w:rsid w:val="000C69B6"/>
    <w:rsid w:val="000C7708"/>
    <w:rsid w:val="000D02CB"/>
    <w:rsid w:val="000D1AE8"/>
    <w:rsid w:val="000D1F53"/>
    <w:rsid w:val="000D1FD8"/>
    <w:rsid w:val="000D2120"/>
    <w:rsid w:val="000D28B2"/>
    <w:rsid w:val="000D2D18"/>
    <w:rsid w:val="000D4933"/>
    <w:rsid w:val="000D577B"/>
    <w:rsid w:val="000D5FD5"/>
    <w:rsid w:val="000D6443"/>
    <w:rsid w:val="000D655A"/>
    <w:rsid w:val="000D660B"/>
    <w:rsid w:val="000D78BB"/>
    <w:rsid w:val="000D7C79"/>
    <w:rsid w:val="000E0F42"/>
    <w:rsid w:val="000E2700"/>
    <w:rsid w:val="000E5947"/>
    <w:rsid w:val="000E5ECF"/>
    <w:rsid w:val="000E71A7"/>
    <w:rsid w:val="000E76F9"/>
    <w:rsid w:val="000E7710"/>
    <w:rsid w:val="000E7C77"/>
    <w:rsid w:val="000F0A70"/>
    <w:rsid w:val="000F27C7"/>
    <w:rsid w:val="000F29CE"/>
    <w:rsid w:val="000F5678"/>
    <w:rsid w:val="000F65C7"/>
    <w:rsid w:val="00100BBC"/>
    <w:rsid w:val="00100F74"/>
    <w:rsid w:val="001011F5"/>
    <w:rsid w:val="001027AE"/>
    <w:rsid w:val="00103814"/>
    <w:rsid w:val="00105CEC"/>
    <w:rsid w:val="0011081B"/>
    <w:rsid w:val="0011189E"/>
    <w:rsid w:val="0011229B"/>
    <w:rsid w:val="00112419"/>
    <w:rsid w:val="00112EAE"/>
    <w:rsid w:val="00116B71"/>
    <w:rsid w:val="001211AF"/>
    <w:rsid w:val="00121F72"/>
    <w:rsid w:val="001221EF"/>
    <w:rsid w:val="00122DBE"/>
    <w:rsid w:val="00123859"/>
    <w:rsid w:val="00123A51"/>
    <w:rsid w:val="00123E6C"/>
    <w:rsid w:val="0012439C"/>
    <w:rsid w:val="001244A8"/>
    <w:rsid w:val="001245EE"/>
    <w:rsid w:val="001247DD"/>
    <w:rsid w:val="00124981"/>
    <w:rsid w:val="001253B1"/>
    <w:rsid w:val="001259D5"/>
    <w:rsid w:val="00125CCD"/>
    <w:rsid w:val="0012637B"/>
    <w:rsid w:val="00126ABB"/>
    <w:rsid w:val="00127286"/>
    <w:rsid w:val="001305AD"/>
    <w:rsid w:val="001310CF"/>
    <w:rsid w:val="001336DC"/>
    <w:rsid w:val="00135597"/>
    <w:rsid w:val="00135757"/>
    <w:rsid w:val="00135AF9"/>
    <w:rsid w:val="0013753A"/>
    <w:rsid w:val="001409C8"/>
    <w:rsid w:val="001409D2"/>
    <w:rsid w:val="00140AAD"/>
    <w:rsid w:val="0014133C"/>
    <w:rsid w:val="00141E00"/>
    <w:rsid w:val="001434A2"/>
    <w:rsid w:val="001439F1"/>
    <w:rsid w:val="00143F45"/>
    <w:rsid w:val="0014468E"/>
    <w:rsid w:val="0014519B"/>
    <w:rsid w:val="00145299"/>
    <w:rsid w:val="00145CBF"/>
    <w:rsid w:val="00146964"/>
    <w:rsid w:val="0015086E"/>
    <w:rsid w:val="00151020"/>
    <w:rsid w:val="001514A2"/>
    <w:rsid w:val="001515D2"/>
    <w:rsid w:val="00153E75"/>
    <w:rsid w:val="00154338"/>
    <w:rsid w:val="001544F4"/>
    <w:rsid w:val="0015467B"/>
    <w:rsid w:val="001554DB"/>
    <w:rsid w:val="001554E3"/>
    <w:rsid w:val="00155D0B"/>
    <w:rsid w:val="00155E58"/>
    <w:rsid w:val="00156178"/>
    <w:rsid w:val="001565EA"/>
    <w:rsid w:val="00157F8B"/>
    <w:rsid w:val="00160515"/>
    <w:rsid w:val="00160ACF"/>
    <w:rsid w:val="001617DB"/>
    <w:rsid w:val="00164727"/>
    <w:rsid w:val="0016572D"/>
    <w:rsid w:val="00166180"/>
    <w:rsid w:val="001679F6"/>
    <w:rsid w:val="00170584"/>
    <w:rsid w:val="001707C1"/>
    <w:rsid w:val="001709D2"/>
    <w:rsid w:val="00170E80"/>
    <w:rsid w:val="00171811"/>
    <w:rsid w:val="0017183A"/>
    <w:rsid w:val="00171903"/>
    <w:rsid w:val="0017236A"/>
    <w:rsid w:val="0017252D"/>
    <w:rsid w:val="00172FD3"/>
    <w:rsid w:val="00173055"/>
    <w:rsid w:val="00173708"/>
    <w:rsid w:val="00173ADC"/>
    <w:rsid w:val="00173C07"/>
    <w:rsid w:val="00174439"/>
    <w:rsid w:val="00174E0B"/>
    <w:rsid w:val="00177B01"/>
    <w:rsid w:val="00177E77"/>
    <w:rsid w:val="00182F73"/>
    <w:rsid w:val="001832A5"/>
    <w:rsid w:val="0018455D"/>
    <w:rsid w:val="00184CD0"/>
    <w:rsid w:val="00185688"/>
    <w:rsid w:val="001902EB"/>
    <w:rsid w:val="00190486"/>
    <w:rsid w:val="00190AF0"/>
    <w:rsid w:val="0019164D"/>
    <w:rsid w:val="001916B8"/>
    <w:rsid w:val="00191B83"/>
    <w:rsid w:val="001930C2"/>
    <w:rsid w:val="00193110"/>
    <w:rsid w:val="00196781"/>
    <w:rsid w:val="00196955"/>
    <w:rsid w:val="00196BC2"/>
    <w:rsid w:val="001976EE"/>
    <w:rsid w:val="001A04FB"/>
    <w:rsid w:val="001A212D"/>
    <w:rsid w:val="001A244C"/>
    <w:rsid w:val="001A5A47"/>
    <w:rsid w:val="001A5AB2"/>
    <w:rsid w:val="001A61C7"/>
    <w:rsid w:val="001A68EA"/>
    <w:rsid w:val="001A6A91"/>
    <w:rsid w:val="001A6D20"/>
    <w:rsid w:val="001A73F8"/>
    <w:rsid w:val="001B06EB"/>
    <w:rsid w:val="001B1450"/>
    <w:rsid w:val="001B27D6"/>
    <w:rsid w:val="001B35AC"/>
    <w:rsid w:val="001B39AA"/>
    <w:rsid w:val="001B4DBE"/>
    <w:rsid w:val="001B627C"/>
    <w:rsid w:val="001B62B0"/>
    <w:rsid w:val="001B6A6C"/>
    <w:rsid w:val="001B72CF"/>
    <w:rsid w:val="001B7C40"/>
    <w:rsid w:val="001C179F"/>
    <w:rsid w:val="001C30F1"/>
    <w:rsid w:val="001C3BAB"/>
    <w:rsid w:val="001C47D1"/>
    <w:rsid w:val="001C49AA"/>
    <w:rsid w:val="001C542D"/>
    <w:rsid w:val="001C561E"/>
    <w:rsid w:val="001C5A44"/>
    <w:rsid w:val="001C6BF8"/>
    <w:rsid w:val="001C6EBA"/>
    <w:rsid w:val="001C7274"/>
    <w:rsid w:val="001D1F1D"/>
    <w:rsid w:val="001D22C8"/>
    <w:rsid w:val="001D2E2B"/>
    <w:rsid w:val="001D3A1C"/>
    <w:rsid w:val="001D4156"/>
    <w:rsid w:val="001D53EE"/>
    <w:rsid w:val="001D59A3"/>
    <w:rsid w:val="001D6D15"/>
    <w:rsid w:val="001E1D70"/>
    <w:rsid w:val="001E1E6C"/>
    <w:rsid w:val="001E271E"/>
    <w:rsid w:val="001E3DE5"/>
    <w:rsid w:val="001E3E38"/>
    <w:rsid w:val="001E4632"/>
    <w:rsid w:val="001E466F"/>
    <w:rsid w:val="001E472B"/>
    <w:rsid w:val="001E4C47"/>
    <w:rsid w:val="001E4F5D"/>
    <w:rsid w:val="001E781E"/>
    <w:rsid w:val="001F0990"/>
    <w:rsid w:val="001F0A72"/>
    <w:rsid w:val="001F1DED"/>
    <w:rsid w:val="001F20F3"/>
    <w:rsid w:val="001F58ED"/>
    <w:rsid w:val="001F6B0A"/>
    <w:rsid w:val="001F6C7C"/>
    <w:rsid w:val="001F7FCE"/>
    <w:rsid w:val="00202B5E"/>
    <w:rsid w:val="00203935"/>
    <w:rsid w:val="002043DF"/>
    <w:rsid w:val="00205391"/>
    <w:rsid w:val="00206134"/>
    <w:rsid w:val="00206AC2"/>
    <w:rsid w:val="00210356"/>
    <w:rsid w:val="00210C16"/>
    <w:rsid w:val="002130EA"/>
    <w:rsid w:val="00214B91"/>
    <w:rsid w:val="00215403"/>
    <w:rsid w:val="002157DB"/>
    <w:rsid w:val="00215A8F"/>
    <w:rsid w:val="00215B8B"/>
    <w:rsid w:val="00216250"/>
    <w:rsid w:val="00216B6A"/>
    <w:rsid w:val="00217134"/>
    <w:rsid w:val="002202C9"/>
    <w:rsid w:val="00220E82"/>
    <w:rsid w:val="00221043"/>
    <w:rsid w:val="0022169E"/>
    <w:rsid w:val="002216ED"/>
    <w:rsid w:val="00221839"/>
    <w:rsid w:val="00221D71"/>
    <w:rsid w:val="0022203B"/>
    <w:rsid w:val="002243B3"/>
    <w:rsid w:val="002259EA"/>
    <w:rsid w:val="00226DD7"/>
    <w:rsid w:val="002271BD"/>
    <w:rsid w:val="0022761B"/>
    <w:rsid w:val="00227747"/>
    <w:rsid w:val="002279CD"/>
    <w:rsid w:val="00231A84"/>
    <w:rsid w:val="00231CD4"/>
    <w:rsid w:val="002321E6"/>
    <w:rsid w:val="00232BC7"/>
    <w:rsid w:val="00232C8E"/>
    <w:rsid w:val="002337C7"/>
    <w:rsid w:val="00235258"/>
    <w:rsid w:val="0023613A"/>
    <w:rsid w:val="002364AE"/>
    <w:rsid w:val="00237F60"/>
    <w:rsid w:val="00240E3A"/>
    <w:rsid w:val="00240F62"/>
    <w:rsid w:val="00241AD8"/>
    <w:rsid w:val="0024265A"/>
    <w:rsid w:val="0024267D"/>
    <w:rsid w:val="002434A4"/>
    <w:rsid w:val="00244597"/>
    <w:rsid w:val="00245794"/>
    <w:rsid w:val="0024610F"/>
    <w:rsid w:val="00246495"/>
    <w:rsid w:val="002477BD"/>
    <w:rsid w:val="002504CA"/>
    <w:rsid w:val="00254D9D"/>
    <w:rsid w:val="0025524D"/>
    <w:rsid w:val="002553C6"/>
    <w:rsid w:val="00256030"/>
    <w:rsid w:val="00256C64"/>
    <w:rsid w:val="0025794E"/>
    <w:rsid w:val="002600DA"/>
    <w:rsid w:val="00261645"/>
    <w:rsid w:val="00261B2B"/>
    <w:rsid w:val="002622C8"/>
    <w:rsid w:val="00262CAD"/>
    <w:rsid w:val="00262EF7"/>
    <w:rsid w:val="00264C9E"/>
    <w:rsid w:val="00264E75"/>
    <w:rsid w:val="00265F46"/>
    <w:rsid w:val="002661F0"/>
    <w:rsid w:val="00270683"/>
    <w:rsid w:val="002708A1"/>
    <w:rsid w:val="00270FDD"/>
    <w:rsid w:val="0027531A"/>
    <w:rsid w:val="0027615A"/>
    <w:rsid w:val="00276537"/>
    <w:rsid w:val="002765F9"/>
    <w:rsid w:val="00277AE1"/>
    <w:rsid w:val="002805C6"/>
    <w:rsid w:val="002821E8"/>
    <w:rsid w:val="002827FF"/>
    <w:rsid w:val="00286DF9"/>
    <w:rsid w:val="00290E20"/>
    <w:rsid w:val="002910EB"/>
    <w:rsid w:val="00292277"/>
    <w:rsid w:val="00295B84"/>
    <w:rsid w:val="00296251"/>
    <w:rsid w:val="0029716D"/>
    <w:rsid w:val="00297372"/>
    <w:rsid w:val="00297FFA"/>
    <w:rsid w:val="002A05CF"/>
    <w:rsid w:val="002A1B6D"/>
    <w:rsid w:val="002A2594"/>
    <w:rsid w:val="002A2964"/>
    <w:rsid w:val="002A41F9"/>
    <w:rsid w:val="002A4DA7"/>
    <w:rsid w:val="002A4FB9"/>
    <w:rsid w:val="002A58D5"/>
    <w:rsid w:val="002A58F3"/>
    <w:rsid w:val="002A5E4F"/>
    <w:rsid w:val="002A6C85"/>
    <w:rsid w:val="002A7BB7"/>
    <w:rsid w:val="002B02CD"/>
    <w:rsid w:val="002B0796"/>
    <w:rsid w:val="002B0861"/>
    <w:rsid w:val="002B111D"/>
    <w:rsid w:val="002B1D48"/>
    <w:rsid w:val="002B2386"/>
    <w:rsid w:val="002B2723"/>
    <w:rsid w:val="002B2F28"/>
    <w:rsid w:val="002B30AC"/>
    <w:rsid w:val="002B3387"/>
    <w:rsid w:val="002B363A"/>
    <w:rsid w:val="002B4062"/>
    <w:rsid w:val="002B45E5"/>
    <w:rsid w:val="002B6734"/>
    <w:rsid w:val="002B7085"/>
    <w:rsid w:val="002B7553"/>
    <w:rsid w:val="002C0DA2"/>
    <w:rsid w:val="002C0DD0"/>
    <w:rsid w:val="002C1A07"/>
    <w:rsid w:val="002C2FB3"/>
    <w:rsid w:val="002C4D94"/>
    <w:rsid w:val="002C527D"/>
    <w:rsid w:val="002C5326"/>
    <w:rsid w:val="002C5D58"/>
    <w:rsid w:val="002C602E"/>
    <w:rsid w:val="002C6CDB"/>
    <w:rsid w:val="002C7052"/>
    <w:rsid w:val="002C7ED2"/>
    <w:rsid w:val="002D018C"/>
    <w:rsid w:val="002D13CD"/>
    <w:rsid w:val="002D1CBE"/>
    <w:rsid w:val="002D2A1B"/>
    <w:rsid w:val="002D4567"/>
    <w:rsid w:val="002D6156"/>
    <w:rsid w:val="002D687E"/>
    <w:rsid w:val="002D68C8"/>
    <w:rsid w:val="002D6FA9"/>
    <w:rsid w:val="002D7140"/>
    <w:rsid w:val="002D776C"/>
    <w:rsid w:val="002E03E9"/>
    <w:rsid w:val="002E19E8"/>
    <w:rsid w:val="002E2120"/>
    <w:rsid w:val="002E243E"/>
    <w:rsid w:val="002E3866"/>
    <w:rsid w:val="002E64AD"/>
    <w:rsid w:val="002E6A64"/>
    <w:rsid w:val="002E6E32"/>
    <w:rsid w:val="002E7D9A"/>
    <w:rsid w:val="002E7E7D"/>
    <w:rsid w:val="002F087C"/>
    <w:rsid w:val="002F1BDA"/>
    <w:rsid w:val="002F260D"/>
    <w:rsid w:val="002F2BE8"/>
    <w:rsid w:val="002F2DD8"/>
    <w:rsid w:val="002F33E9"/>
    <w:rsid w:val="002F3C8B"/>
    <w:rsid w:val="002F3E27"/>
    <w:rsid w:val="002F5FD6"/>
    <w:rsid w:val="002F63C9"/>
    <w:rsid w:val="002F6676"/>
    <w:rsid w:val="002F6907"/>
    <w:rsid w:val="002F6E92"/>
    <w:rsid w:val="00300410"/>
    <w:rsid w:val="003011E1"/>
    <w:rsid w:val="00301D2A"/>
    <w:rsid w:val="00302E7A"/>
    <w:rsid w:val="0030371D"/>
    <w:rsid w:val="00303798"/>
    <w:rsid w:val="003047A8"/>
    <w:rsid w:val="003048EA"/>
    <w:rsid w:val="003051C7"/>
    <w:rsid w:val="0030616F"/>
    <w:rsid w:val="00307D45"/>
    <w:rsid w:val="0031043B"/>
    <w:rsid w:val="00310532"/>
    <w:rsid w:val="003112EE"/>
    <w:rsid w:val="00311850"/>
    <w:rsid w:val="00311875"/>
    <w:rsid w:val="00311A55"/>
    <w:rsid w:val="00312355"/>
    <w:rsid w:val="00312384"/>
    <w:rsid w:val="00314E7E"/>
    <w:rsid w:val="003163AF"/>
    <w:rsid w:val="003170D5"/>
    <w:rsid w:val="00317132"/>
    <w:rsid w:val="00317555"/>
    <w:rsid w:val="0031778E"/>
    <w:rsid w:val="00317C34"/>
    <w:rsid w:val="0032145F"/>
    <w:rsid w:val="003220C7"/>
    <w:rsid w:val="0032227E"/>
    <w:rsid w:val="00322353"/>
    <w:rsid w:val="00322A5D"/>
    <w:rsid w:val="00323DA6"/>
    <w:rsid w:val="00323DD3"/>
    <w:rsid w:val="0032449E"/>
    <w:rsid w:val="0032501A"/>
    <w:rsid w:val="00326049"/>
    <w:rsid w:val="00326090"/>
    <w:rsid w:val="00326441"/>
    <w:rsid w:val="003265A4"/>
    <w:rsid w:val="003271ED"/>
    <w:rsid w:val="00331479"/>
    <w:rsid w:val="00331A94"/>
    <w:rsid w:val="00332281"/>
    <w:rsid w:val="00333B98"/>
    <w:rsid w:val="00333E5C"/>
    <w:rsid w:val="0033400C"/>
    <w:rsid w:val="00334930"/>
    <w:rsid w:val="0033546E"/>
    <w:rsid w:val="00335751"/>
    <w:rsid w:val="00336C90"/>
    <w:rsid w:val="0033732E"/>
    <w:rsid w:val="00337B4B"/>
    <w:rsid w:val="00340149"/>
    <w:rsid w:val="00340767"/>
    <w:rsid w:val="003409C1"/>
    <w:rsid w:val="00340C5E"/>
    <w:rsid w:val="00341F50"/>
    <w:rsid w:val="00341FE8"/>
    <w:rsid w:val="0034238C"/>
    <w:rsid w:val="003426A6"/>
    <w:rsid w:val="003427F1"/>
    <w:rsid w:val="0034311A"/>
    <w:rsid w:val="00343313"/>
    <w:rsid w:val="00343323"/>
    <w:rsid w:val="003439D3"/>
    <w:rsid w:val="00345284"/>
    <w:rsid w:val="0034631D"/>
    <w:rsid w:val="00351CDE"/>
    <w:rsid w:val="00352CF1"/>
    <w:rsid w:val="003545C5"/>
    <w:rsid w:val="0035464F"/>
    <w:rsid w:val="00354A5F"/>
    <w:rsid w:val="00354DC8"/>
    <w:rsid w:val="003554F8"/>
    <w:rsid w:val="003559F1"/>
    <w:rsid w:val="003572EF"/>
    <w:rsid w:val="003601E8"/>
    <w:rsid w:val="0036024C"/>
    <w:rsid w:val="003617EF"/>
    <w:rsid w:val="00361949"/>
    <w:rsid w:val="0036195D"/>
    <w:rsid w:val="00361996"/>
    <w:rsid w:val="00362C3F"/>
    <w:rsid w:val="00363423"/>
    <w:rsid w:val="00364AF1"/>
    <w:rsid w:val="0036504C"/>
    <w:rsid w:val="00365564"/>
    <w:rsid w:val="003661F5"/>
    <w:rsid w:val="00367ED9"/>
    <w:rsid w:val="00370626"/>
    <w:rsid w:val="00371D0E"/>
    <w:rsid w:val="00372B4D"/>
    <w:rsid w:val="003731C3"/>
    <w:rsid w:val="00374184"/>
    <w:rsid w:val="00374A28"/>
    <w:rsid w:val="00374FA5"/>
    <w:rsid w:val="0037600A"/>
    <w:rsid w:val="003761B6"/>
    <w:rsid w:val="00376786"/>
    <w:rsid w:val="00377945"/>
    <w:rsid w:val="00380194"/>
    <w:rsid w:val="003806AA"/>
    <w:rsid w:val="003811F6"/>
    <w:rsid w:val="00381721"/>
    <w:rsid w:val="003817A4"/>
    <w:rsid w:val="0038291B"/>
    <w:rsid w:val="00383380"/>
    <w:rsid w:val="00384EB7"/>
    <w:rsid w:val="00390945"/>
    <w:rsid w:val="00390F50"/>
    <w:rsid w:val="003912CC"/>
    <w:rsid w:val="00392DFE"/>
    <w:rsid w:val="00392E95"/>
    <w:rsid w:val="003937DC"/>
    <w:rsid w:val="00394167"/>
    <w:rsid w:val="003946E4"/>
    <w:rsid w:val="00396598"/>
    <w:rsid w:val="00396AD5"/>
    <w:rsid w:val="0039732A"/>
    <w:rsid w:val="00397A9D"/>
    <w:rsid w:val="003A00CA"/>
    <w:rsid w:val="003A089A"/>
    <w:rsid w:val="003A103D"/>
    <w:rsid w:val="003A2A2A"/>
    <w:rsid w:val="003A2ADA"/>
    <w:rsid w:val="003A3037"/>
    <w:rsid w:val="003A499B"/>
    <w:rsid w:val="003A5539"/>
    <w:rsid w:val="003B074D"/>
    <w:rsid w:val="003B20FD"/>
    <w:rsid w:val="003B217D"/>
    <w:rsid w:val="003B2848"/>
    <w:rsid w:val="003B2D95"/>
    <w:rsid w:val="003B3547"/>
    <w:rsid w:val="003B3575"/>
    <w:rsid w:val="003B3EFB"/>
    <w:rsid w:val="003B405B"/>
    <w:rsid w:val="003B458C"/>
    <w:rsid w:val="003B496A"/>
    <w:rsid w:val="003B4F1F"/>
    <w:rsid w:val="003B4FFA"/>
    <w:rsid w:val="003B589D"/>
    <w:rsid w:val="003B764B"/>
    <w:rsid w:val="003C1A16"/>
    <w:rsid w:val="003C2701"/>
    <w:rsid w:val="003C2916"/>
    <w:rsid w:val="003C2DF4"/>
    <w:rsid w:val="003C3DC9"/>
    <w:rsid w:val="003C7D8A"/>
    <w:rsid w:val="003D032B"/>
    <w:rsid w:val="003D084D"/>
    <w:rsid w:val="003D1345"/>
    <w:rsid w:val="003D23C0"/>
    <w:rsid w:val="003D2C19"/>
    <w:rsid w:val="003D2C95"/>
    <w:rsid w:val="003D2FD2"/>
    <w:rsid w:val="003D3684"/>
    <w:rsid w:val="003D3981"/>
    <w:rsid w:val="003D40DD"/>
    <w:rsid w:val="003D5096"/>
    <w:rsid w:val="003D53B6"/>
    <w:rsid w:val="003D6268"/>
    <w:rsid w:val="003D689E"/>
    <w:rsid w:val="003D6ACD"/>
    <w:rsid w:val="003D6B22"/>
    <w:rsid w:val="003E1DEB"/>
    <w:rsid w:val="003E20AB"/>
    <w:rsid w:val="003E29AD"/>
    <w:rsid w:val="003E3384"/>
    <w:rsid w:val="003E3D0A"/>
    <w:rsid w:val="003E42BC"/>
    <w:rsid w:val="003E59FD"/>
    <w:rsid w:val="003F1282"/>
    <w:rsid w:val="003F1E2A"/>
    <w:rsid w:val="003F2BFC"/>
    <w:rsid w:val="003F2C1E"/>
    <w:rsid w:val="003F3B95"/>
    <w:rsid w:val="003F4457"/>
    <w:rsid w:val="003F5C60"/>
    <w:rsid w:val="003F645E"/>
    <w:rsid w:val="003F7AC3"/>
    <w:rsid w:val="003F7C8C"/>
    <w:rsid w:val="00400275"/>
    <w:rsid w:val="004023A7"/>
    <w:rsid w:val="00402E4A"/>
    <w:rsid w:val="004032FE"/>
    <w:rsid w:val="0040348F"/>
    <w:rsid w:val="004035ED"/>
    <w:rsid w:val="00403AB2"/>
    <w:rsid w:val="00403CC6"/>
    <w:rsid w:val="00403D1F"/>
    <w:rsid w:val="004040D6"/>
    <w:rsid w:val="00404506"/>
    <w:rsid w:val="00404E65"/>
    <w:rsid w:val="00404F1D"/>
    <w:rsid w:val="00405F41"/>
    <w:rsid w:val="004060AE"/>
    <w:rsid w:val="00411988"/>
    <w:rsid w:val="00412FDE"/>
    <w:rsid w:val="00413B06"/>
    <w:rsid w:val="00414EF5"/>
    <w:rsid w:val="00415749"/>
    <w:rsid w:val="00416AE8"/>
    <w:rsid w:val="00416E57"/>
    <w:rsid w:val="00420AA0"/>
    <w:rsid w:val="00422B64"/>
    <w:rsid w:val="00423AE8"/>
    <w:rsid w:val="00423FF3"/>
    <w:rsid w:val="00424667"/>
    <w:rsid w:val="00424F06"/>
    <w:rsid w:val="00425C16"/>
    <w:rsid w:val="004269AC"/>
    <w:rsid w:val="00426AC5"/>
    <w:rsid w:val="004274CF"/>
    <w:rsid w:val="00430FEA"/>
    <w:rsid w:val="004322E2"/>
    <w:rsid w:val="004323B2"/>
    <w:rsid w:val="004329AC"/>
    <w:rsid w:val="00433C06"/>
    <w:rsid w:val="00433C65"/>
    <w:rsid w:val="0043425F"/>
    <w:rsid w:val="00434E71"/>
    <w:rsid w:val="004352B4"/>
    <w:rsid w:val="00435D25"/>
    <w:rsid w:val="0043624F"/>
    <w:rsid w:val="00436C30"/>
    <w:rsid w:val="00437336"/>
    <w:rsid w:val="004403B8"/>
    <w:rsid w:val="0044346B"/>
    <w:rsid w:val="00444871"/>
    <w:rsid w:val="004449DA"/>
    <w:rsid w:val="0045000C"/>
    <w:rsid w:val="00451A5B"/>
    <w:rsid w:val="004529A2"/>
    <w:rsid w:val="00452BD9"/>
    <w:rsid w:val="00453FF0"/>
    <w:rsid w:val="00454189"/>
    <w:rsid w:val="004543B9"/>
    <w:rsid w:val="00456108"/>
    <w:rsid w:val="00456B79"/>
    <w:rsid w:val="00456D31"/>
    <w:rsid w:val="004573D0"/>
    <w:rsid w:val="004600EB"/>
    <w:rsid w:val="00460FCB"/>
    <w:rsid w:val="00461F66"/>
    <w:rsid w:val="00462F71"/>
    <w:rsid w:val="00463552"/>
    <w:rsid w:val="00463688"/>
    <w:rsid w:val="00463ABA"/>
    <w:rsid w:val="00463F48"/>
    <w:rsid w:val="00464AF6"/>
    <w:rsid w:val="00465253"/>
    <w:rsid w:val="004662BB"/>
    <w:rsid w:val="004676E8"/>
    <w:rsid w:val="00467FA7"/>
    <w:rsid w:val="00471699"/>
    <w:rsid w:val="004716C2"/>
    <w:rsid w:val="00473AE0"/>
    <w:rsid w:val="00473F95"/>
    <w:rsid w:val="00474AA2"/>
    <w:rsid w:val="00475243"/>
    <w:rsid w:val="00476493"/>
    <w:rsid w:val="00480502"/>
    <w:rsid w:val="00483239"/>
    <w:rsid w:val="00484F23"/>
    <w:rsid w:val="00485BBB"/>
    <w:rsid w:val="00485DC6"/>
    <w:rsid w:val="0048643D"/>
    <w:rsid w:val="004864B2"/>
    <w:rsid w:val="004865CC"/>
    <w:rsid w:val="00486EA3"/>
    <w:rsid w:val="00487229"/>
    <w:rsid w:val="00487D97"/>
    <w:rsid w:val="00490000"/>
    <w:rsid w:val="004900DE"/>
    <w:rsid w:val="00490BAD"/>
    <w:rsid w:val="00492D42"/>
    <w:rsid w:val="00492E67"/>
    <w:rsid w:val="0049370D"/>
    <w:rsid w:val="0049447B"/>
    <w:rsid w:val="00494711"/>
    <w:rsid w:val="004948EA"/>
    <w:rsid w:val="00494B5F"/>
    <w:rsid w:val="004950A9"/>
    <w:rsid w:val="0049540C"/>
    <w:rsid w:val="00495DD4"/>
    <w:rsid w:val="00496BF5"/>
    <w:rsid w:val="004A01C5"/>
    <w:rsid w:val="004A1183"/>
    <w:rsid w:val="004A14ED"/>
    <w:rsid w:val="004A1CD2"/>
    <w:rsid w:val="004A20F1"/>
    <w:rsid w:val="004A5535"/>
    <w:rsid w:val="004A6467"/>
    <w:rsid w:val="004A6588"/>
    <w:rsid w:val="004A65B7"/>
    <w:rsid w:val="004A6652"/>
    <w:rsid w:val="004A75F0"/>
    <w:rsid w:val="004A772D"/>
    <w:rsid w:val="004B039F"/>
    <w:rsid w:val="004B091C"/>
    <w:rsid w:val="004B3BC9"/>
    <w:rsid w:val="004B442E"/>
    <w:rsid w:val="004B4608"/>
    <w:rsid w:val="004B4BFB"/>
    <w:rsid w:val="004B4C05"/>
    <w:rsid w:val="004B65DD"/>
    <w:rsid w:val="004C10EE"/>
    <w:rsid w:val="004C14FC"/>
    <w:rsid w:val="004C1DA1"/>
    <w:rsid w:val="004C3A87"/>
    <w:rsid w:val="004C4299"/>
    <w:rsid w:val="004C4998"/>
    <w:rsid w:val="004C5322"/>
    <w:rsid w:val="004C553F"/>
    <w:rsid w:val="004C56D4"/>
    <w:rsid w:val="004C6C19"/>
    <w:rsid w:val="004C7123"/>
    <w:rsid w:val="004D1624"/>
    <w:rsid w:val="004D1A57"/>
    <w:rsid w:val="004D1FCB"/>
    <w:rsid w:val="004D404C"/>
    <w:rsid w:val="004D4561"/>
    <w:rsid w:val="004D49E0"/>
    <w:rsid w:val="004D58DE"/>
    <w:rsid w:val="004D609F"/>
    <w:rsid w:val="004D683D"/>
    <w:rsid w:val="004D6CD7"/>
    <w:rsid w:val="004E027F"/>
    <w:rsid w:val="004E07D6"/>
    <w:rsid w:val="004E0A28"/>
    <w:rsid w:val="004E1819"/>
    <w:rsid w:val="004E1D85"/>
    <w:rsid w:val="004E2F18"/>
    <w:rsid w:val="004E3037"/>
    <w:rsid w:val="004E4DD6"/>
    <w:rsid w:val="004E6112"/>
    <w:rsid w:val="004E78A8"/>
    <w:rsid w:val="004E79FF"/>
    <w:rsid w:val="004F1676"/>
    <w:rsid w:val="004F3130"/>
    <w:rsid w:val="004F3567"/>
    <w:rsid w:val="004F4FB3"/>
    <w:rsid w:val="004F53D8"/>
    <w:rsid w:val="004F6048"/>
    <w:rsid w:val="004F6788"/>
    <w:rsid w:val="00500554"/>
    <w:rsid w:val="005020FE"/>
    <w:rsid w:val="005062B0"/>
    <w:rsid w:val="005064D4"/>
    <w:rsid w:val="00506882"/>
    <w:rsid w:val="0050735F"/>
    <w:rsid w:val="00507D67"/>
    <w:rsid w:val="00507D87"/>
    <w:rsid w:val="00507FF0"/>
    <w:rsid w:val="00511EF4"/>
    <w:rsid w:val="005123EE"/>
    <w:rsid w:val="00512BF5"/>
    <w:rsid w:val="00513563"/>
    <w:rsid w:val="005137B6"/>
    <w:rsid w:val="00514307"/>
    <w:rsid w:val="005150B7"/>
    <w:rsid w:val="00516635"/>
    <w:rsid w:val="00517048"/>
    <w:rsid w:val="00517615"/>
    <w:rsid w:val="00520067"/>
    <w:rsid w:val="00522C0E"/>
    <w:rsid w:val="00523B36"/>
    <w:rsid w:val="0052405C"/>
    <w:rsid w:val="00524903"/>
    <w:rsid w:val="00524F73"/>
    <w:rsid w:val="00525F8F"/>
    <w:rsid w:val="005270EF"/>
    <w:rsid w:val="00530B1C"/>
    <w:rsid w:val="00532A8D"/>
    <w:rsid w:val="00533887"/>
    <w:rsid w:val="005338FF"/>
    <w:rsid w:val="00534926"/>
    <w:rsid w:val="00536AA7"/>
    <w:rsid w:val="00536E09"/>
    <w:rsid w:val="005370D1"/>
    <w:rsid w:val="0053738B"/>
    <w:rsid w:val="005379BF"/>
    <w:rsid w:val="00537E8C"/>
    <w:rsid w:val="00540455"/>
    <w:rsid w:val="005405FA"/>
    <w:rsid w:val="0054115F"/>
    <w:rsid w:val="00541218"/>
    <w:rsid w:val="00541AB4"/>
    <w:rsid w:val="00542377"/>
    <w:rsid w:val="00542623"/>
    <w:rsid w:val="005427FB"/>
    <w:rsid w:val="0054314C"/>
    <w:rsid w:val="00543329"/>
    <w:rsid w:val="0054344B"/>
    <w:rsid w:val="005435BA"/>
    <w:rsid w:val="00543D1E"/>
    <w:rsid w:val="005443CE"/>
    <w:rsid w:val="00544726"/>
    <w:rsid w:val="00545D30"/>
    <w:rsid w:val="005468B5"/>
    <w:rsid w:val="005476FF"/>
    <w:rsid w:val="00547880"/>
    <w:rsid w:val="00547964"/>
    <w:rsid w:val="00547A82"/>
    <w:rsid w:val="00547B18"/>
    <w:rsid w:val="005512ED"/>
    <w:rsid w:val="00551CDF"/>
    <w:rsid w:val="005527CA"/>
    <w:rsid w:val="00552A77"/>
    <w:rsid w:val="00552F2A"/>
    <w:rsid w:val="005539A4"/>
    <w:rsid w:val="00553E0B"/>
    <w:rsid w:val="00554259"/>
    <w:rsid w:val="005547CD"/>
    <w:rsid w:val="00555062"/>
    <w:rsid w:val="00555DF7"/>
    <w:rsid w:val="005561E2"/>
    <w:rsid w:val="0055752D"/>
    <w:rsid w:val="005579EC"/>
    <w:rsid w:val="005604D7"/>
    <w:rsid w:val="00561A9F"/>
    <w:rsid w:val="00561C3C"/>
    <w:rsid w:val="00561C6C"/>
    <w:rsid w:val="00561D50"/>
    <w:rsid w:val="005620F9"/>
    <w:rsid w:val="00563441"/>
    <w:rsid w:val="00565423"/>
    <w:rsid w:val="00565482"/>
    <w:rsid w:val="00565795"/>
    <w:rsid w:val="00566534"/>
    <w:rsid w:val="00567347"/>
    <w:rsid w:val="00567663"/>
    <w:rsid w:val="00570461"/>
    <w:rsid w:val="00571852"/>
    <w:rsid w:val="00571F6D"/>
    <w:rsid w:val="005721C2"/>
    <w:rsid w:val="005726EC"/>
    <w:rsid w:val="005726FC"/>
    <w:rsid w:val="00573ABB"/>
    <w:rsid w:val="00575375"/>
    <w:rsid w:val="005755C5"/>
    <w:rsid w:val="005758C3"/>
    <w:rsid w:val="0057668A"/>
    <w:rsid w:val="005767BD"/>
    <w:rsid w:val="00576E8A"/>
    <w:rsid w:val="0057706D"/>
    <w:rsid w:val="005772DB"/>
    <w:rsid w:val="00580316"/>
    <w:rsid w:val="0058144E"/>
    <w:rsid w:val="00581AC2"/>
    <w:rsid w:val="005823EC"/>
    <w:rsid w:val="00582808"/>
    <w:rsid w:val="00583987"/>
    <w:rsid w:val="0058597A"/>
    <w:rsid w:val="00585E61"/>
    <w:rsid w:val="005867A6"/>
    <w:rsid w:val="005877E2"/>
    <w:rsid w:val="00590FE9"/>
    <w:rsid w:val="005912CC"/>
    <w:rsid w:val="00591985"/>
    <w:rsid w:val="00592896"/>
    <w:rsid w:val="005928E8"/>
    <w:rsid w:val="005931FB"/>
    <w:rsid w:val="00593646"/>
    <w:rsid w:val="00593824"/>
    <w:rsid w:val="0059397E"/>
    <w:rsid w:val="00593ADE"/>
    <w:rsid w:val="0059408D"/>
    <w:rsid w:val="0059467E"/>
    <w:rsid w:val="005958B4"/>
    <w:rsid w:val="00595D6F"/>
    <w:rsid w:val="00597031"/>
    <w:rsid w:val="005A0B78"/>
    <w:rsid w:val="005A278B"/>
    <w:rsid w:val="005A2E15"/>
    <w:rsid w:val="005A33FA"/>
    <w:rsid w:val="005A39C7"/>
    <w:rsid w:val="005A3A21"/>
    <w:rsid w:val="005A3A2F"/>
    <w:rsid w:val="005A3EB8"/>
    <w:rsid w:val="005A4D43"/>
    <w:rsid w:val="005A4D53"/>
    <w:rsid w:val="005A5002"/>
    <w:rsid w:val="005A640B"/>
    <w:rsid w:val="005A6789"/>
    <w:rsid w:val="005A755A"/>
    <w:rsid w:val="005A7689"/>
    <w:rsid w:val="005B0CBA"/>
    <w:rsid w:val="005B170D"/>
    <w:rsid w:val="005B3D46"/>
    <w:rsid w:val="005B3E44"/>
    <w:rsid w:val="005B474D"/>
    <w:rsid w:val="005B48A0"/>
    <w:rsid w:val="005B5040"/>
    <w:rsid w:val="005B51B9"/>
    <w:rsid w:val="005B5A58"/>
    <w:rsid w:val="005B5E35"/>
    <w:rsid w:val="005B5FAD"/>
    <w:rsid w:val="005B6DB6"/>
    <w:rsid w:val="005C105C"/>
    <w:rsid w:val="005C190F"/>
    <w:rsid w:val="005C1CFB"/>
    <w:rsid w:val="005C205C"/>
    <w:rsid w:val="005C2B89"/>
    <w:rsid w:val="005C35C0"/>
    <w:rsid w:val="005C4ADF"/>
    <w:rsid w:val="005C4CF8"/>
    <w:rsid w:val="005C4CFB"/>
    <w:rsid w:val="005C53DA"/>
    <w:rsid w:val="005C5592"/>
    <w:rsid w:val="005C624D"/>
    <w:rsid w:val="005C62E5"/>
    <w:rsid w:val="005C65C9"/>
    <w:rsid w:val="005D07E9"/>
    <w:rsid w:val="005D3F57"/>
    <w:rsid w:val="005D626D"/>
    <w:rsid w:val="005D6435"/>
    <w:rsid w:val="005D6A05"/>
    <w:rsid w:val="005D7630"/>
    <w:rsid w:val="005D7889"/>
    <w:rsid w:val="005E0E03"/>
    <w:rsid w:val="005E1FDC"/>
    <w:rsid w:val="005E2FFD"/>
    <w:rsid w:val="005E3321"/>
    <w:rsid w:val="005E4EE3"/>
    <w:rsid w:val="005E53B7"/>
    <w:rsid w:val="005E6863"/>
    <w:rsid w:val="005E73E4"/>
    <w:rsid w:val="005F053C"/>
    <w:rsid w:val="005F076A"/>
    <w:rsid w:val="005F1061"/>
    <w:rsid w:val="005F1478"/>
    <w:rsid w:val="005F1787"/>
    <w:rsid w:val="005F1E0C"/>
    <w:rsid w:val="005F210E"/>
    <w:rsid w:val="005F2733"/>
    <w:rsid w:val="005F31A0"/>
    <w:rsid w:val="005F3601"/>
    <w:rsid w:val="005F4906"/>
    <w:rsid w:val="005F4C8F"/>
    <w:rsid w:val="005F4DCE"/>
    <w:rsid w:val="005F51EB"/>
    <w:rsid w:val="005F555F"/>
    <w:rsid w:val="005F58EB"/>
    <w:rsid w:val="005F5A75"/>
    <w:rsid w:val="005F60F0"/>
    <w:rsid w:val="005F6D34"/>
    <w:rsid w:val="006016D0"/>
    <w:rsid w:val="006019AF"/>
    <w:rsid w:val="006019B1"/>
    <w:rsid w:val="00601D73"/>
    <w:rsid w:val="006023E5"/>
    <w:rsid w:val="00602B8C"/>
    <w:rsid w:val="00603A5D"/>
    <w:rsid w:val="00603C7A"/>
    <w:rsid w:val="006041B1"/>
    <w:rsid w:val="00605542"/>
    <w:rsid w:val="00605DAA"/>
    <w:rsid w:val="00605EB2"/>
    <w:rsid w:val="006060F6"/>
    <w:rsid w:val="00606E3F"/>
    <w:rsid w:val="006072D0"/>
    <w:rsid w:val="00610E0F"/>
    <w:rsid w:val="00610FE3"/>
    <w:rsid w:val="006112B0"/>
    <w:rsid w:val="00612B2F"/>
    <w:rsid w:val="00612C5A"/>
    <w:rsid w:val="00613D8D"/>
    <w:rsid w:val="00614446"/>
    <w:rsid w:val="00615770"/>
    <w:rsid w:val="00615B13"/>
    <w:rsid w:val="00616C8E"/>
    <w:rsid w:val="00616EFC"/>
    <w:rsid w:val="00617E01"/>
    <w:rsid w:val="00620FA2"/>
    <w:rsid w:val="00620FE9"/>
    <w:rsid w:val="00621831"/>
    <w:rsid w:val="00621AAC"/>
    <w:rsid w:val="00621CF1"/>
    <w:rsid w:val="00623971"/>
    <w:rsid w:val="00624703"/>
    <w:rsid w:val="00625B07"/>
    <w:rsid w:val="00625DFC"/>
    <w:rsid w:val="006272DC"/>
    <w:rsid w:val="00627491"/>
    <w:rsid w:val="006276E3"/>
    <w:rsid w:val="00630031"/>
    <w:rsid w:val="00630D01"/>
    <w:rsid w:val="00630E76"/>
    <w:rsid w:val="00631C9F"/>
    <w:rsid w:val="0063236B"/>
    <w:rsid w:val="00632C2C"/>
    <w:rsid w:val="00633C1F"/>
    <w:rsid w:val="00633F13"/>
    <w:rsid w:val="00634086"/>
    <w:rsid w:val="00634A9C"/>
    <w:rsid w:val="006351D9"/>
    <w:rsid w:val="00635621"/>
    <w:rsid w:val="00636211"/>
    <w:rsid w:val="00636F77"/>
    <w:rsid w:val="00636FD5"/>
    <w:rsid w:val="00640D20"/>
    <w:rsid w:val="00640E40"/>
    <w:rsid w:val="00640EF9"/>
    <w:rsid w:val="00641571"/>
    <w:rsid w:val="00641C20"/>
    <w:rsid w:val="00642192"/>
    <w:rsid w:val="0064276D"/>
    <w:rsid w:val="00643005"/>
    <w:rsid w:val="00643A61"/>
    <w:rsid w:val="006440FB"/>
    <w:rsid w:val="00644889"/>
    <w:rsid w:val="0064579E"/>
    <w:rsid w:val="0064651B"/>
    <w:rsid w:val="006501E7"/>
    <w:rsid w:val="0065029F"/>
    <w:rsid w:val="0065053E"/>
    <w:rsid w:val="00650756"/>
    <w:rsid w:val="006513A9"/>
    <w:rsid w:val="006521CF"/>
    <w:rsid w:val="00652A78"/>
    <w:rsid w:val="006532B3"/>
    <w:rsid w:val="00653D14"/>
    <w:rsid w:val="00654527"/>
    <w:rsid w:val="00655D2F"/>
    <w:rsid w:val="0065602F"/>
    <w:rsid w:val="0065686B"/>
    <w:rsid w:val="006614BE"/>
    <w:rsid w:val="00662DF4"/>
    <w:rsid w:val="00662E14"/>
    <w:rsid w:val="0066354B"/>
    <w:rsid w:val="00663904"/>
    <w:rsid w:val="00664C56"/>
    <w:rsid w:val="00667BA1"/>
    <w:rsid w:val="006706AC"/>
    <w:rsid w:val="0067170C"/>
    <w:rsid w:val="00671C63"/>
    <w:rsid w:val="006720A8"/>
    <w:rsid w:val="00673737"/>
    <w:rsid w:val="00673D5F"/>
    <w:rsid w:val="006757AF"/>
    <w:rsid w:val="006757EA"/>
    <w:rsid w:val="00675D12"/>
    <w:rsid w:val="00675F85"/>
    <w:rsid w:val="006765E2"/>
    <w:rsid w:val="00676894"/>
    <w:rsid w:val="00676DC8"/>
    <w:rsid w:val="00676E61"/>
    <w:rsid w:val="00677AFB"/>
    <w:rsid w:val="00677EEE"/>
    <w:rsid w:val="0068116C"/>
    <w:rsid w:val="0068123D"/>
    <w:rsid w:val="0068131B"/>
    <w:rsid w:val="00681883"/>
    <w:rsid w:val="00681D6A"/>
    <w:rsid w:val="006834BB"/>
    <w:rsid w:val="006843A4"/>
    <w:rsid w:val="00684D4D"/>
    <w:rsid w:val="00685CA7"/>
    <w:rsid w:val="00685EE8"/>
    <w:rsid w:val="00686474"/>
    <w:rsid w:val="00687C4F"/>
    <w:rsid w:val="006909F4"/>
    <w:rsid w:val="0069107E"/>
    <w:rsid w:val="00691B52"/>
    <w:rsid w:val="00693428"/>
    <w:rsid w:val="006956E7"/>
    <w:rsid w:val="00696960"/>
    <w:rsid w:val="00697277"/>
    <w:rsid w:val="00697667"/>
    <w:rsid w:val="006A0989"/>
    <w:rsid w:val="006A11A9"/>
    <w:rsid w:val="006A261E"/>
    <w:rsid w:val="006A4940"/>
    <w:rsid w:val="006A5BC2"/>
    <w:rsid w:val="006A5D9C"/>
    <w:rsid w:val="006A6F4E"/>
    <w:rsid w:val="006A7C61"/>
    <w:rsid w:val="006B0268"/>
    <w:rsid w:val="006B0429"/>
    <w:rsid w:val="006B058E"/>
    <w:rsid w:val="006B0B09"/>
    <w:rsid w:val="006B16E8"/>
    <w:rsid w:val="006B1841"/>
    <w:rsid w:val="006B1C22"/>
    <w:rsid w:val="006B3C86"/>
    <w:rsid w:val="006B5C55"/>
    <w:rsid w:val="006B6048"/>
    <w:rsid w:val="006B67D5"/>
    <w:rsid w:val="006B6802"/>
    <w:rsid w:val="006B6A91"/>
    <w:rsid w:val="006B7F7E"/>
    <w:rsid w:val="006C042A"/>
    <w:rsid w:val="006C0BBF"/>
    <w:rsid w:val="006C0FD3"/>
    <w:rsid w:val="006C17EE"/>
    <w:rsid w:val="006C274D"/>
    <w:rsid w:val="006C3504"/>
    <w:rsid w:val="006C362F"/>
    <w:rsid w:val="006C535C"/>
    <w:rsid w:val="006C6473"/>
    <w:rsid w:val="006C64EC"/>
    <w:rsid w:val="006C73F9"/>
    <w:rsid w:val="006C7A0B"/>
    <w:rsid w:val="006D0485"/>
    <w:rsid w:val="006D236A"/>
    <w:rsid w:val="006D23F3"/>
    <w:rsid w:val="006D2BF3"/>
    <w:rsid w:val="006D3142"/>
    <w:rsid w:val="006D3B7A"/>
    <w:rsid w:val="006D4B31"/>
    <w:rsid w:val="006D4F65"/>
    <w:rsid w:val="006D5630"/>
    <w:rsid w:val="006D5B1D"/>
    <w:rsid w:val="006D5C32"/>
    <w:rsid w:val="006D652B"/>
    <w:rsid w:val="006D6765"/>
    <w:rsid w:val="006D7FAB"/>
    <w:rsid w:val="006E056D"/>
    <w:rsid w:val="006E0B3A"/>
    <w:rsid w:val="006E17E1"/>
    <w:rsid w:val="006E2BC8"/>
    <w:rsid w:val="006E2F77"/>
    <w:rsid w:val="006E3A11"/>
    <w:rsid w:val="006E7AEC"/>
    <w:rsid w:val="006F0089"/>
    <w:rsid w:val="006F0237"/>
    <w:rsid w:val="006F0BB4"/>
    <w:rsid w:val="006F0CC5"/>
    <w:rsid w:val="006F0D4A"/>
    <w:rsid w:val="006F0D55"/>
    <w:rsid w:val="006F155D"/>
    <w:rsid w:val="006F29C7"/>
    <w:rsid w:val="006F32E4"/>
    <w:rsid w:val="006F38E7"/>
    <w:rsid w:val="006F3B4B"/>
    <w:rsid w:val="006F4A67"/>
    <w:rsid w:val="006F61AF"/>
    <w:rsid w:val="007009BE"/>
    <w:rsid w:val="00701AD5"/>
    <w:rsid w:val="00701FD2"/>
    <w:rsid w:val="00702F55"/>
    <w:rsid w:val="00702F70"/>
    <w:rsid w:val="00704DDC"/>
    <w:rsid w:val="00704E22"/>
    <w:rsid w:val="0070633C"/>
    <w:rsid w:val="00706D2D"/>
    <w:rsid w:val="00707ADE"/>
    <w:rsid w:val="00710733"/>
    <w:rsid w:val="00710CB5"/>
    <w:rsid w:val="00710D00"/>
    <w:rsid w:val="007122C2"/>
    <w:rsid w:val="007166E2"/>
    <w:rsid w:val="007171B1"/>
    <w:rsid w:val="0071728E"/>
    <w:rsid w:val="00721259"/>
    <w:rsid w:val="00721D21"/>
    <w:rsid w:val="00721D91"/>
    <w:rsid w:val="007226B9"/>
    <w:rsid w:val="00722CE1"/>
    <w:rsid w:val="00724A9A"/>
    <w:rsid w:val="007260EB"/>
    <w:rsid w:val="007266F7"/>
    <w:rsid w:val="00730821"/>
    <w:rsid w:val="0073156C"/>
    <w:rsid w:val="00732C8E"/>
    <w:rsid w:val="007331FF"/>
    <w:rsid w:val="0073348A"/>
    <w:rsid w:val="00734460"/>
    <w:rsid w:val="007352EB"/>
    <w:rsid w:val="007354D4"/>
    <w:rsid w:val="00740054"/>
    <w:rsid w:val="007411D1"/>
    <w:rsid w:val="00742FC4"/>
    <w:rsid w:val="007441BC"/>
    <w:rsid w:val="0074452B"/>
    <w:rsid w:val="00745793"/>
    <w:rsid w:val="0074579E"/>
    <w:rsid w:val="00745F44"/>
    <w:rsid w:val="007468D1"/>
    <w:rsid w:val="0075018B"/>
    <w:rsid w:val="00750470"/>
    <w:rsid w:val="00750B7A"/>
    <w:rsid w:val="007517DA"/>
    <w:rsid w:val="00752FBB"/>
    <w:rsid w:val="0075339F"/>
    <w:rsid w:val="007536F1"/>
    <w:rsid w:val="00753A0B"/>
    <w:rsid w:val="00753C0F"/>
    <w:rsid w:val="00754149"/>
    <w:rsid w:val="00754533"/>
    <w:rsid w:val="00754D29"/>
    <w:rsid w:val="007554B2"/>
    <w:rsid w:val="007558DF"/>
    <w:rsid w:val="007572A8"/>
    <w:rsid w:val="0075771D"/>
    <w:rsid w:val="00757ED9"/>
    <w:rsid w:val="00761BB2"/>
    <w:rsid w:val="0076276B"/>
    <w:rsid w:val="00763AF6"/>
    <w:rsid w:val="00763BE0"/>
    <w:rsid w:val="00766019"/>
    <w:rsid w:val="00766167"/>
    <w:rsid w:val="007667E9"/>
    <w:rsid w:val="00766989"/>
    <w:rsid w:val="00770694"/>
    <w:rsid w:val="007711FC"/>
    <w:rsid w:val="007722BB"/>
    <w:rsid w:val="00772A3E"/>
    <w:rsid w:val="00774F36"/>
    <w:rsid w:val="0078132A"/>
    <w:rsid w:val="00781FCE"/>
    <w:rsid w:val="0078257E"/>
    <w:rsid w:val="00783B40"/>
    <w:rsid w:val="007845F5"/>
    <w:rsid w:val="00785071"/>
    <w:rsid w:val="00785386"/>
    <w:rsid w:val="00785D6E"/>
    <w:rsid w:val="00785EBF"/>
    <w:rsid w:val="007869F7"/>
    <w:rsid w:val="007877EB"/>
    <w:rsid w:val="00791A1B"/>
    <w:rsid w:val="0079264C"/>
    <w:rsid w:val="00793B96"/>
    <w:rsid w:val="00794437"/>
    <w:rsid w:val="007945F5"/>
    <w:rsid w:val="00796418"/>
    <w:rsid w:val="0079694C"/>
    <w:rsid w:val="00797E18"/>
    <w:rsid w:val="00797E3A"/>
    <w:rsid w:val="007A059B"/>
    <w:rsid w:val="007A2697"/>
    <w:rsid w:val="007A28B7"/>
    <w:rsid w:val="007A5070"/>
    <w:rsid w:val="007A5B24"/>
    <w:rsid w:val="007A6C3B"/>
    <w:rsid w:val="007A6E00"/>
    <w:rsid w:val="007A73D9"/>
    <w:rsid w:val="007A73E5"/>
    <w:rsid w:val="007B000F"/>
    <w:rsid w:val="007B0063"/>
    <w:rsid w:val="007B0D7B"/>
    <w:rsid w:val="007B1EC6"/>
    <w:rsid w:val="007B2519"/>
    <w:rsid w:val="007B2BB3"/>
    <w:rsid w:val="007B2F44"/>
    <w:rsid w:val="007B33A0"/>
    <w:rsid w:val="007B4518"/>
    <w:rsid w:val="007B4589"/>
    <w:rsid w:val="007B68D7"/>
    <w:rsid w:val="007B7032"/>
    <w:rsid w:val="007B73E6"/>
    <w:rsid w:val="007B740F"/>
    <w:rsid w:val="007C015B"/>
    <w:rsid w:val="007C0738"/>
    <w:rsid w:val="007C0925"/>
    <w:rsid w:val="007C0E2E"/>
    <w:rsid w:val="007C1029"/>
    <w:rsid w:val="007C1FDE"/>
    <w:rsid w:val="007C222C"/>
    <w:rsid w:val="007C22FF"/>
    <w:rsid w:val="007C2756"/>
    <w:rsid w:val="007C4688"/>
    <w:rsid w:val="007C67DE"/>
    <w:rsid w:val="007C6D8D"/>
    <w:rsid w:val="007C74CB"/>
    <w:rsid w:val="007C768C"/>
    <w:rsid w:val="007D023F"/>
    <w:rsid w:val="007D0716"/>
    <w:rsid w:val="007D0AE0"/>
    <w:rsid w:val="007D0CCA"/>
    <w:rsid w:val="007D12A4"/>
    <w:rsid w:val="007D1A89"/>
    <w:rsid w:val="007D1F57"/>
    <w:rsid w:val="007D2C05"/>
    <w:rsid w:val="007D2F0F"/>
    <w:rsid w:val="007D4433"/>
    <w:rsid w:val="007D4688"/>
    <w:rsid w:val="007D6516"/>
    <w:rsid w:val="007D6CF6"/>
    <w:rsid w:val="007E07A8"/>
    <w:rsid w:val="007E1232"/>
    <w:rsid w:val="007E1416"/>
    <w:rsid w:val="007E1C33"/>
    <w:rsid w:val="007E5A21"/>
    <w:rsid w:val="007E5DB4"/>
    <w:rsid w:val="007E612D"/>
    <w:rsid w:val="007E6B0C"/>
    <w:rsid w:val="007E6E8C"/>
    <w:rsid w:val="007F1473"/>
    <w:rsid w:val="007F1F08"/>
    <w:rsid w:val="007F2A6F"/>
    <w:rsid w:val="007F3BBB"/>
    <w:rsid w:val="007F3F29"/>
    <w:rsid w:val="007F400C"/>
    <w:rsid w:val="007F4B61"/>
    <w:rsid w:val="007F7980"/>
    <w:rsid w:val="007F7C85"/>
    <w:rsid w:val="007F7EA9"/>
    <w:rsid w:val="0080191C"/>
    <w:rsid w:val="00801B70"/>
    <w:rsid w:val="008029A7"/>
    <w:rsid w:val="00803442"/>
    <w:rsid w:val="0080407B"/>
    <w:rsid w:val="00804493"/>
    <w:rsid w:val="00805591"/>
    <w:rsid w:val="00805E74"/>
    <w:rsid w:val="00807382"/>
    <w:rsid w:val="00807CA7"/>
    <w:rsid w:val="008104D8"/>
    <w:rsid w:val="00810927"/>
    <w:rsid w:val="00810A19"/>
    <w:rsid w:val="00811017"/>
    <w:rsid w:val="008113B9"/>
    <w:rsid w:val="008135E7"/>
    <w:rsid w:val="00813CD1"/>
    <w:rsid w:val="008147EC"/>
    <w:rsid w:val="00814AB9"/>
    <w:rsid w:val="00815840"/>
    <w:rsid w:val="00820749"/>
    <w:rsid w:val="0082125D"/>
    <w:rsid w:val="008218DF"/>
    <w:rsid w:val="00821BAC"/>
    <w:rsid w:val="00824EDD"/>
    <w:rsid w:val="008250DB"/>
    <w:rsid w:val="0082630C"/>
    <w:rsid w:val="00826376"/>
    <w:rsid w:val="008269B6"/>
    <w:rsid w:val="00826ABE"/>
    <w:rsid w:val="008278F6"/>
    <w:rsid w:val="008305F9"/>
    <w:rsid w:val="00831059"/>
    <w:rsid w:val="008315A9"/>
    <w:rsid w:val="00832BDF"/>
    <w:rsid w:val="00834368"/>
    <w:rsid w:val="008359D7"/>
    <w:rsid w:val="00836DF7"/>
    <w:rsid w:val="00837458"/>
    <w:rsid w:val="00837990"/>
    <w:rsid w:val="00841E9C"/>
    <w:rsid w:val="0084244A"/>
    <w:rsid w:val="0084289B"/>
    <w:rsid w:val="00842A5E"/>
    <w:rsid w:val="00842A7B"/>
    <w:rsid w:val="008430F3"/>
    <w:rsid w:val="00844980"/>
    <w:rsid w:val="00844B84"/>
    <w:rsid w:val="00845353"/>
    <w:rsid w:val="00846D90"/>
    <w:rsid w:val="00846FFD"/>
    <w:rsid w:val="0084728F"/>
    <w:rsid w:val="00847458"/>
    <w:rsid w:val="00847D55"/>
    <w:rsid w:val="00852DEB"/>
    <w:rsid w:val="00853A51"/>
    <w:rsid w:val="0085684F"/>
    <w:rsid w:val="00857232"/>
    <w:rsid w:val="00857FC6"/>
    <w:rsid w:val="00861215"/>
    <w:rsid w:val="00861501"/>
    <w:rsid w:val="00861F3C"/>
    <w:rsid w:val="00862166"/>
    <w:rsid w:val="008622A1"/>
    <w:rsid w:val="0086278D"/>
    <w:rsid w:val="00862A70"/>
    <w:rsid w:val="008643FB"/>
    <w:rsid w:val="0086710A"/>
    <w:rsid w:val="0086742B"/>
    <w:rsid w:val="00867453"/>
    <w:rsid w:val="008703C5"/>
    <w:rsid w:val="0087050E"/>
    <w:rsid w:val="0087184F"/>
    <w:rsid w:val="00872170"/>
    <w:rsid w:val="00872E83"/>
    <w:rsid w:val="0087384C"/>
    <w:rsid w:val="00873DF6"/>
    <w:rsid w:val="008751F7"/>
    <w:rsid w:val="008802C6"/>
    <w:rsid w:val="00882C35"/>
    <w:rsid w:val="008847FC"/>
    <w:rsid w:val="0088708E"/>
    <w:rsid w:val="00887A51"/>
    <w:rsid w:val="00887E79"/>
    <w:rsid w:val="008906E6"/>
    <w:rsid w:val="00890A06"/>
    <w:rsid w:val="008915F9"/>
    <w:rsid w:val="008919E3"/>
    <w:rsid w:val="0089215C"/>
    <w:rsid w:val="00892241"/>
    <w:rsid w:val="00892336"/>
    <w:rsid w:val="008923BB"/>
    <w:rsid w:val="00892ABD"/>
    <w:rsid w:val="00893294"/>
    <w:rsid w:val="00893FF3"/>
    <w:rsid w:val="008949BF"/>
    <w:rsid w:val="0089629F"/>
    <w:rsid w:val="0089770F"/>
    <w:rsid w:val="00897D7F"/>
    <w:rsid w:val="00897F6E"/>
    <w:rsid w:val="008A01C4"/>
    <w:rsid w:val="008A053C"/>
    <w:rsid w:val="008A169D"/>
    <w:rsid w:val="008A1707"/>
    <w:rsid w:val="008A206F"/>
    <w:rsid w:val="008A24DF"/>
    <w:rsid w:val="008A354D"/>
    <w:rsid w:val="008A369A"/>
    <w:rsid w:val="008A3F80"/>
    <w:rsid w:val="008A3FE5"/>
    <w:rsid w:val="008A44B9"/>
    <w:rsid w:val="008A5969"/>
    <w:rsid w:val="008A5F22"/>
    <w:rsid w:val="008A73AD"/>
    <w:rsid w:val="008B0C62"/>
    <w:rsid w:val="008B1DE4"/>
    <w:rsid w:val="008B3869"/>
    <w:rsid w:val="008B3DFB"/>
    <w:rsid w:val="008B4385"/>
    <w:rsid w:val="008B68CC"/>
    <w:rsid w:val="008B7DEC"/>
    <w:rsid w:val="008C233D"/>
    <w:rsid w:val="008C2D44"/>
    <w:rsid w:val="008C426F"/>
    <w:rsid w:val="008C4BEB"/>
    <w:rsid w:val="008C5EEC"/>
    <w:rsid w:val="008C61BF"/>
    <w:rsid w:val="008C64E9"/>
    <w:rsid w:val="008D0D64"/>
    <w:rsid w:val="008D1CEF"/>
    <w:rsid w:val="008D20DE"/>
    <w:rsid w:val="008D24A2"/>
    <w:rsid w:val="008D2B65"/>
    <w:rsid w:val="008D3412"/>
    <w:rsid w:val="008D4321"/>
    <w:rsid w:val="008D47E1"/>
    <w:rsid w:val="008D4B45"/>
    <w:rsid w:val="008D4B7F"/>
    <w:rsid w:val="008D525E"/>
    <w:rsid w:val="008D684C"/>
    <w:rsid w:val="008D6A70"/>
    <w:rsid w:val="008D7834"/>
    <w:rsid w:val="008D7C95"/>
    <w:rsid w:val="008E050C"/>
    <w:rsid w:val="008E15AC"/>
    <w:rsid w:val="008E19FA"/>
    <w:rsid w:val="008E219C"/>
    <w:rsid w:val="008E2B38"/>
    <w:rsid w:val="008E2C18"/>
    <w:rsid w:val="008E2D07"/>
    <w:rsid w:val="008E3175"/>
    <w:rsid w:val="008E366F"/>
    <w:rsid w:val="008E3707"/>
    <w:rsid w:val="008E3E87"/>
    <w:rsid w:val="008E3F38"/>
    <w:rsid w:val="008E404C"/>
    <w:rsid w:val="008E5DF6"/>
    <w:rsid w:val="008E6A93"/>
    <w:rsid w:val="008E7586"/>
    <w:rsid w:val="008E7A91"/>
    <w:rsid w:val="008E7AB2"/>
    <w:rsid w:val="008F0869"/>
    <w:rsid w:val="008F20CD"/>
    <w:rsid w:val="008F3A48"/>
    <w:rsid w:val="008F3E86"/>
    <w:rsid w:val="008F5E25"/>
    <w:rsid w:val="008F64A2"/>
    <w:rsid w:val="009005D6"/>
    <w:rsid w:val="009033AA"/>
    <w:rsid w:val="00907814"/>
    <w:rsid w:val="0091173E"/>
    <w:rsid w:val="009117EF"/>
    <w:rsid w:val="00911961"/>
    <w:rsid w:val="00911984"/>
    <w:rsid w:val="00912AA4"/>
    <w:rsid w:val="00912FC3"/>
    <w:rsid w:val="00913432"/>
    <w:rsid w:val="00913527"/>
    <w:rsid w:val="009150F6"/>
    <w:rsid w:val="00915C40"/>
    <w:rsid w:val="00916A47"/>
    <w:rsid w:val="00917819"/>
    <w:rsid w:val="00917C08"/>
    <w:rsid w:val="00917E66"/>
    <w:rsid w:val="00917F73"/>
    <w:rsid w:val="00920CF1"/>
    <w:rsid w:val="00921F7A"/>
    <w:rsid w:val="0092285D"/>
    <w:rsid w:val="00922920"/>
    <w:rsid w:val="00923BAA"/>
    <w:rsid w:val="00923E67"/>
    <w:rsid w:val="00925064"/>
    <w:rsid w:val="00925349"/>
    <w:rsid w:val="00925A7C"/>
    <w:rsid w:val="0092690A"/>
    <w:rsid w:val="00930423"/>
    <w:rsid w:val="00930761"/>
    <w:rsid w:val="00930DC7"/>
    <w:rsid w:val="00931177"/>
    <w:rsid w:val="00931B90"/>
    <w:rsid w:val="00931E68"/>
    <w:rsid w:val="00933336"/>
    <w:rsid w:val="00933609"/>
    <w:rsid w:val="00933C51"/>
    <w:rsid w:val="0093417A"/>
    <w:rsid w:val="009343C8"/>
    <w:rsid w:val="009351B4"/>
    <w:rsid w:val="009355D9"/>
    <w:rsid w:val="00936ADB"/>
    <w:rsid w:val="00936EB3"/>
    <w:rsid w:val="00941884"/>
    <w:rsid w:val="00941CFA"/>
    <w:rsid w:val="00942113"/>
    <w:rsid w:val="00942AE8"/>
    <w:rsid w:val="0094320B"/>
    <w:rsid w:val="00944771"/>
    <w:rsid w:val="00944D6D"/>
    <w:rsid w:val="00944F57"/>
    <w:rsid w:val="00945E78"/>
    <w:rsid w:val="00946760"/>
    <w:rsid w:val="00946BD0"/>
    <w:rsid w:val="00947366"/>
    <w:rsid w:val="00947BFB"/>
    <w:rsid w:val="00950991"/>
    <w:rsid w:val="00951A99"/>
    <w:rsid w:val="00952517"/>
    <w:rsid w:val="009545BA"/>
    <w:rsid w:val="00954EEC"/>
    <w:rsid w:val="0095553F"/>
    <w:rsid w:val="00955CCB"/>
    <w:rsid w:val="009568DD"/>
    <w:rsid w:val="00957928"/>
    <w:rsid w:val="009609A3"/>
    <w:rsid w:val="00960B35"/>
    <w:rsid w:val="00960C57"/>
    <w:rsid w:val="00961632"/>
    <w:rsid w:val="00962098"/>
    <w:rsid w:val="0096267E"/>
    <w:rsid w:val="00962C14"/>
    <w:rsid w:val="00963229"/>
    <w:rsid w:val="0096339F"/>
    <w:rsid w:val="00963D91"/>
    <w:rsid w:val="00963EA2"/>
    <w:rsid w:val="00964A15"/>
    <w:rsid w:val="00966E10"/>
    <w:rsid w:val="009673DA"/>
    <w:rsid w:val="009700CD"/>
    <w:rsid w:val="00970DA4"/>
    <w:rsid w:val="00972196"/>
    <w:rsid w:val="00972BAE"/>
    <w:rsid w:val="00973DD7"/>
    <w:rsid w:val="009744E3"/>
    <w:rsid w:val="00974569"/>
    <w:rsid w:val="00974D05"/>
    <w:rsid w:val="009752F4"/>
    <w:rsid w:val="00975BEA"/>
    <w:rsid w:val="00975D2C"/>
    <w:rsid w:val="00975DC2"/>
    <w:rsid w:val="0097761F"/>
    <w:rsid w:val="009778DA"/>
    <w:rsid w:val="00977B9F"/>
    <w:rsid w:val="0098157A"/>
    <w:rsid w:val="00982B2B"/>
    <w:rsid w:val="009839ED"/>
    <w:rsid w:val="00987C90"/>
    <w:rsid w:val="009903F0"/>
    <w:rsid w:val="009905F2"/>
    <w:rsid w:val="00990E48"/>
    <w:rsid w:val="00991E7B"/>
    <w:rsid w:val="00991EBF"/>
    <w:rsid w:val="009931FA"/>
    <w:rsid w:val="009938EA"/>
    <w:rsid w:val="00994972"/>
    <w:rsid w:val="00994B43"/>
    <w:rsid w:val="00995E73"/>
    <w:rsid w:val="009969EC"/>
    <w:rsid w:val="009A1739"/>
    <w:rsid w:val="009A188A"/>
    <w:rsid w:val="009A2846"/>
    <w:rsid w:val="009A2E00"/>
    <w:rsid w:val="009A31BF"/>
    <w:rsid w:val="009A3333"/>
    <w:rsid w:val="009A335F"/>
    <w:rsid w:val="009A3484"/>
    <w:rsid w:val="009A4F6F"/>
    <w:rsid w:val="009A7509"/>
    <w:rsid w:val="009A768A"/>
    <w:rsid w:val="009B0266"/>
    <w:rsid w:val="009B0689"/>
    <w:rsid w:val="009B23B4"/>
    <w:rsid w:val="009B30AB"/>
    <w:rsid w:val="009B4F96"/>
    <w:rsid w:val="009B5070"/>
    <w:rsid w:val="009B52D7"/>
    <w:rsid w:val="009B67F4"/>
    <w:rsid w:val="009B6EAC"/>
    <w:rsid w:val="009C0722"/>
    <w:rsid w:val="009C0845"/>
    <w:rsid w:val="009C0F16"/>
    <w:rsid w:val="009C155A"/>
    <w:rsid w:val="009C1B1B"/>
    <w:rsid w:val="009C1F82"/>
    <w:rsid w:val="009C2100"/>
    <w:rsid w:val="009C31CA"/>
    <w:rsid w:val="009C4C2C"/>
    <w:rsid w:val="009C592B"/>
    <w:rsid w:val="009C6510"/>
    <w:rsid w:val="009C7639"/>
    <w:rsid w:val="009D0459"/>
    <w:rsid w:val="009D11D5"/>
    <w:rsid w:val="009D34F2"/>
    <w:rsid w:val="009D4512"/>
    <w:rsid w:val="009D45F8"/>
    <w:rsid w:val="009D6BB6"/>
    <w:rsid w:val="009D7CB4"/>
    <w:rsid w:val="009E2DE6"/>
    <w:rsid w:val="009E3C91"/>
    <w:rsid w:val="009E3D68"/>
    <w:rsid w:val="009E471A"/>
    <w:rsid w:val="009E49E6"/>
    <w:rsid w:val="009E5D63"/>
    <w:rsid w:val="009E6B69"/>
    <w:rsid w:val="009E6FE0"/>
    <w:rsid w:val="009F2AF9"/>
    <w:rsid w:val="009F2E5E"/>
    <w:rsid w:val="009F33B6"/>
    <w:rsid w:val="009F347D"/>
    <w:rsid w:val="009F37B0"/>
    <w:rsid w:val="009F37F5"/>
    <w:rsid w:val="009F4B65"/>
    <w:rsid w:val="009F599C"/>
    <w:rsid w:val="009F654D"/>
    <w:rsid w:val="009F73FE"/>
    <w:rsid w:val="00A003ED"/>
    <w:rsid w:val="00A00AD9"/>
    <w:rsid w:val="00A00D98"/>
    <w:rsid w:val="00A035A5"/>
    <w:rsid w:val="00A035CE"/>
    <w:rsid w:val="00A036A3"/>
    <w:rsid w:val="00A03767"/>
    <w:rsid w:val="00A03907"/>
    <w:rsid w:val="00A03C00"/>
    <w:rsid w:val="00A03FD6"/>
    <w:rsid w:val="00A04899"/>
    <w:rsid w:val="00A04A6C"/>
    <w:rsid w:val="00A059D8"/>
    <w:rsid w:val="00A059FB"/>
    <w:rsid w:val="00A07511"/>
    <w:rsid w:val="00A07969"/>
    <w:rsid w:val="00A11573"/>
    <w:rsid w:val="00A1222D"/>
    <w:rsid w:val="00A13C30"/>
    <w:rsid w:val="00A1562B"/>
    <w:rsid w:val="00A200DA"/>
    <w:rsid w:val="00A20379"/>
    <w:rsid w:val="00A220DA"/>
    <w:rsid w:val="00A227A4"/>
    <w:rsid w:val="00A24D8D"/>
    <w:rsid w:val="00A24E8B"/>
    <w:rsid w:val="00A25BFB"/>
    <w:rsid w:val="00A266D1"/>
    <w:rsid w:val="00A276BE"/>
    <w:rsid w:val="00A310B8"/>
    <w:rsid w:val="00A341D2"/>
    <w:rsid w:val="00A34ACC"/>
    <w:rsid w:val="00A34C28"/>
    <w:rsid w:val="00A35315"/>
    <w:rsid w:val="00A3678C"/>
    <w:rsid w:val="00A36FB0"/>
    <w:rsid w:val="00A37BC0"/>
    <w:rsid w:val="00A37E41"/>
    <w:rsid w:val="00A402CB"/>
    <w:rsid w:val="00A41029"/>
    <w:rsid w:val="00A41A86"/>
    <w:rsid w:val="00A4213F"/>
    <w:rsid w:val="00A423EA"/>
    <w:rsid w:val="00A431D4"/>
    <w:rsid w:val="00A43AFE"/>
    <w:rsid w:val="00A45C4F"/>
    <w:rsid w:val="00A45E05"/>
    <w:rsid w:val="00A46FFD"/>
    <w:rsid w:val="00A4788C"/>
    <w:rsid w:val="00A47E12"/>
    <w:rsid w:val="00A50E56"/>
    <w:rsid w:val="00A51669"/>
    <w:rsid w:val="00A51EBF"/>
    <w:rsid w:val="00A53340"/>
    <w:rsid w:val="00A53366"/>
    <w:rsid w:val="00A53AE1"/>
    <w:rsid w:val="00A54EEF"/>
    <w:rsid w:val="00A54FF5"/>
    <w:rsid w:val="00A553AB"/>
    <w:rsid w:val="00A55F3C"/>
    <w:rsid w:val="00A605AD"/>
    <w:rsid w:val="00A60C7C"/>
    <w:rsid w:val="00A610A1"/>
    <w:rsid w:val="00A611DF"/>
    <w:rsid w:val="00A62F0B"/>
    <w:rsid w:val="00A64182"/>
    <w:rsid w:val="00A64AA2"/>
    <w:rsid w:val="00A657E7"/>
    <w:rsid w:val="00A65DCC"/>
    <w:rsid w:val="00A66E7A"/>
    <w:rsid w:val="00A67C93"/>
    <w:rsid w:val="00A67CFE"/>
    <w:rsid w:val="00A702EE"/>
    <w:rsid w:val="00A72257"/>
    <w:rsid w:val="00A72C61"/>
    <w:rsid w:val="00A72DD0"/>
    <w:rsid w:val="00A72E83"/>
    <w:rsid w:val="00A738D8"/>
    <w:rsid w:val="00A73D66"/>
    <w:rsid w:val="00A74106"/>
    <w:rsid w:val="00A75EA3"/>
    <w:rsid w:val="00A7643C"/>
    <w:rsid w:val="00A768F7"/>
    <w:rsid w:val="00A769D4"/>
    <w:rsid w:val="00A76A5F"/>
    <w:rsid w:val="00A76BD8"/>
    <w:rsid w:val="00A76FDD"/>
    <w:rsid w:val="00A77123"/>
    <w:rsid w:val="00A7782E"/>
    <w:rsid w:val="00A80136"/>
    <w:rsid w:val="00A80527"/>
    <w:rsid w:val="00A8173E"/>
    <w:rsid w:val="00A81A4D"/>
    <w:rsid w:val="00A81D34"/>
    <w:rsid w:val="00A84A5C"/>
    <w:rsid w:val="00A85478"/>
    <w:rsid w:val="00A85587"/>
    <w:rsid w:val="00A85E26"/>
    <w:rsid w:val="00A85FBD"/>
    <w:rsid w:val="00A86974"/>
    <w:rsid w:val="00A870C1"/>
    <w:rsid w:val="00A8736F"/>
    <w:rsid w:val="00A901A3"/>
    <w:rsid w:val="00A90897"/>
    <w:rsid w:val="00A915EF"/>
    <w:rsid w:val="00A93968"/>
    <w:rsid w:val="00A93A7D"/>
    <w:rsid w:val="00A93EC7"/>
    <w:rsid w:val="00A95A45"/>
    <w:rsid w:val="00A97717"/>
    <w:rsid w:val="00AA1B16"/>
    <w:rsid w:val="00AA1D1F"/>
    <w:rsid w:val="00AA2A01"/>
    <w:rsid w:val="00AA2BAB"/>
    <w:rsid w:val="00AA3AFA"/>
    <w:rsid w:val="00AA4805"/>
    <w:rsid w:val="00AA4888"/>
    <w:rsid w:val="00AA5CD8"/>
    <w:rsid w:val="00AA63DD"/>
    <w:rsid w:val="00AA660D"/>
    <w:rsid w:val="00AA7227"/>
    <w:rsid w:val="00AA7BD7"/>
    <w:rsid w:val="00AB039C"/>
    <w:rsid w:val="00AB09B1"/>
    <w:rsid w:val="00AB0D32"/>
    <w:rsid w:val="00AB0F2C"/>
    <w:rsid w:val="00AB3B19"/>
    <w:rsid w:val="00AB3D0A"/>
    <w:rsid w:val="00AB3DB5"/>
    <w:rsid w:val="00AB40AE"/>
    <w:rsid w:val="00AB5856"/>
    <w:rsid w:val="00AB7638"/>
    <w:rsid w:val="00AC0131"/>
    <w:rsid w:val="00AC1137"/>
    <w:rsid w:val="00AC129F"/>
    <w:rsid w:val="00AC1C85"/>
    <w:rsid w:val="00AC3F03"/>
    <w:rsid w:val="00AC4AD8"/>
    <w:rsid w:val="00AC4C55"/>
    <w:rsid w:val="00AC5097"/>
    <w:rsid w:val="00AC61C4"/>
    <w:rsid w:val="00AC6CD2"/>
    <w:rsid w:val="00AC7663"/>
    <w:rsid w:val="00AC78F7"/>
    <w:rsid w:val="00AC796B"/>
    <w:rsid w:val="00AC7F32"/>
    <w:rsid w:val="00AD0D2F"/>
    <w:rsid w:val="00AD19E6"/>
    <w:rsid w:val="00AD1B62"/>
    <w:rsid w:val="00AD1E1B"/>
    <w:rsid w:val="00AD28E7"/>
    <w:rsid w:val="00AD3216"/>
    <w:rsid w:val="00AD3DDA"/>
    <w:rsid w:val="00AD4628"/>
    <w:rsid w:val="00AD5A4D"/>
    <w:rsid w:val="00AD6110"/>
    <w:rsid w:val="00AD6A4F"/>
    <w:rsid w:val="00AE054E"/>
    <w:rsid w:val="00AE1198"/>
    <w:rsid w:val="00AE1732"/>
    <w:rsid w:val="00AE19AA"/>
    <w:rsid w:val="00AE2CBE"/>
    <w:rsid w:val="00AE2FFF"/>
    <w:rsid w:val="00AE3EDA"/>
    <w:rsid w:val="00AE4278"/>
    <w:rsid w:val="00AE5759"/>
    <w:rsid w:val="00AE5CFD"/>
    <w:rsid w:val="00AE5E1E"/>
    <w:rsid w:val="00AE5E97"/>
    <w:rsid w:val="00AE607F"/>
    <w:rsid w:val="00AE6190"/>
    <w:rsid w:val="00AE6B82"/>
    <w:rsid w:val="00AE6BF5"/>
    <w:rsid w:val="00AE7D54"/>
    <w:rsid w:val="00AE7F7C"/>
    <w:rsid w:val="00AF1BE2"/>
    <w:rsid w:val="00AF2D92"/>
    <w:rsid w:val="00AF35D4"/>
    <w:rsid w:val="00AF3932"/>
    <w:rsid w:val="00AF486F"/>
    <w:rsid w:val="00AF4A07"/>
    <w:rsid w:val="00AF52C5"/>
    <w:rsid w:val="00AF5EFA"/>
    <w:rsid w:val="00AF790A"/>
    <w:rsid w:val="00B0051D"/>
    <w:rsid w:val="00B007C7"/>
    <w:rsid w:val="00B023B1"/>
    <w:rsid w:val="00B02EE2"/>
    <w:rsid w:val="00B03EB7"/>
    <w:rsid w:val="00B040AA"/>
    <w:rsid w:val="00B048B3"/>
    <w:rsid w:val="00B0506C"/>
    <w:rsid w:val="00B05732"/>
    <w:rsid w:val="00B05BFF"/>
    <w:rsid w:val="00B069AB"/>
    <w:rsid w:val="00B075A1"/>
    <w:rsid w:val="00B07622"/>
    <w:rsid w:val="00B07AA0"/>
    <w:rsid w:val="00B07D08"/>
    <w:rsid w:val="00B1331C"/>
    <w:rsid w:val="00B13DAC"/>
    <w:rsid w:val="00B14F5D"/>
    <w:rsid w:val="00B14FCC"/>
    <w:rsid w:val="00B16FAC"/>
    <w:rsid w:val="00B20067"/>
    <w:rsid w:val="00B2133F"/>
    <w:rsid w:val="00B214B5"/>
    <w:rsid w:val="00B220D2"/>
    <w:rsid w:val="00B22446"/>
    <w:rsid w:val="00B22DB6"/>
    <w:rsid w:val="00B251CD"/>
    <w:rsid w:val="00B26142"/>
    <w:rsid w:val="00B262E2"/>
    <w:rsid w:val="00B27A1F"/>
    <w:rsid w:val="00B316A1"/>
    <w:rsid w:val="00B3174C"/>
    <w:rsid w:val="00B32153"/>
    <w:rsid w:val="00B33966"/>
    <w:rsid w:val="00B33B40"/>
    <w:rsid w:val="00B34324"/>
    <w:rsid w:val="00B34CFC"/>
    <w:rsid w:val="00B34D37"/>
    <w:rsid w:val="00B34EEA"/>
    <w:rsid w:val="00B34F01"/>
    <w:rsid w:val="00B35A7B"/>
    <w:rsid w:val="00B362D8"/>
    <w:rsid w:val="00B37DF2"/>
    <w:rsid w:val="00B40F62"/>
    <w:rsid w:val="00B42C97"/>
    <w:rsid w:val="00B43678"/>
    <w:rsid w:val="00B439A4"/>
    <w:rsid w:val="00B44E61"/>
    <w:rsid w:val="00B45573"/>
    <w:rsid w:val="00B4578B"/>
    <w:rsid w:val="00B46072"/>
    <w:rsid w:val="00B46263"/>
    <w:rsid w:val="00B46C8E"/>
    <w:rsid w:val="00B46D4D"/>
    <w:rsid w:val="00B4772F"/>
    <w:rsid w:val="00B5048F"/>
    <w:rsid w:val="00B50666"/>
    <w:rsid w:val="00B52BF2"/>
    <w:rsid w:val="00B53D16"/>
    <w:rsid w:val="00B55490"/>
    <w:rsid w:val="00B55B46"/>
    <w:rsid w:val="00B57818"/>
    <w:rsid w:val="00B60EC2"/>
    <w:rsid w:val="00B63FDE"/>
    <w:rsid w:val="00B65E90"/>
    <w:rsid w:val="00B67C82"/>
    <w:rsid w:val="00B7124B"/>
    <w:rsid w:val="00B717B6"/>
    <w:rsid w:val="00B72CD3"/>
    <w:rsid w:val="00B7308F"/>
    <w:rsid w:val="00B733E0"/>
    <w:rsid w:val="00B7370B"/>
    <w:rsid w:val="00B741ED"/>
    <w:rsid w:val="00B75AD3"/>
    <w:rsid w:val="00B7741A"/>
    <w:rsid w:val="00B774B1"/>
    <w:rsid w:val="00B7792B"/>
    <w:rsid w:val="00B8200E"/>
    <w:rsid w:val="00B821C6"/>
    <w:rsid w:val="00B829C9"/>
    <w:rsid w:val="00B83C13"/>
    <w:rsid w:val="00B84076"/>
    <w:rsid w:val="00B84D2D"/>
    <w:rsid w:val="00B85B52"/>
    <w:rsid w:val="00B8691B"/>
    <w:rsid w:val="00B902C0"/>
    <w:rsid w:val="00B92489"/>
    <w:rsid w:val="00B9323F"/>
    <w:rsid w:val="00B935C3"/>
    <w:rsid w:val="00B93729"/>
    <w:rsid w:val="00B943DD"/>
    <w:rsid w:val="00B945C1"/>
    <w:rsid w:val="00B94BE0"/>
    <w:rsid w:val="00B95C72"/>
    <w:rsid w:val="00B9743E"/>
    <w:rsid w:val="00B97836"/>
    <w:rsid w:val="00B97A09"/>
    <w:rsid w:val="00B97BBB"/>
    <w:rsid w:val="00B97F14"/>
    <w:rsid w:val="00BA0AC2"/>
    <w:rsid w:val="00BA0F83"/>
    <w:rsid w:val="00BA11F0"/>
    <w:rsid w:val="00BA38BE"/>
    <w:rsid w:val="00BA4571"/>
    <w:rsid w:val="00BA4AD6"/>
    <w:rsid w:val="00BA53B1"/>
    <w:rsid w:val="00BA53F7"/>
    <w:rsid w:val="00BA586C"/>
    <w:rsid w:val="00BA7401"/>
    <w:rsid w:val="00BA7D25"/>
    <w:rsid w:val="00BB091C"/>
    <w:rsid w:val="00BB3017"/>
    <w:rsid w:val="00BB30ED"/>
    <w:rsid w:val="00BB396B"/>
    <w:rsid w:val="00BB410F"/>
    <w:rsid w:val="00BB479D"/>
    <w:rsid w:val="00BB4DBC"/>
    <w:rsid w:val="00BB50BD"/>
    <w:rsid w:val="00BB5361"/>
    <w:rsid w:val="00BB5B90"/>
    <w:rsid w:val="00BB6C8C"/>
    <w:rsid w:val="00BB6CC4"/>
    <w:rsid w:val="00BB7006"/>
    <w:rsid w:val="00BC0663"/>
    <w:rsid w:val="00BC1481"/>
    <w:rsid w:val="00BC15AD"/>
    <w:rsid w:val="00BC22B5"/>
    <w:rsid w:val="00BC2372"/>
    <w:rsid w:val="00BC2845"/>
    <w:rsid w:val="00BC2B66"/>
    <w:rsid w:val="00BC2C9C"/>
    <w:rsid w:val="00BC57B3"/>
    <w:rsid w:val="00BC60D5"/>
    <w:rsid w:val="00BC6C5F"/>
    <w:rsid w:val="00BC72D1"/>
    <w:rsid w:val="00BC7E1C"/>
    <w:rsid w:val="00BD3122"/>
    <w:rsid w:val="00BD3B8A"/>
    <w:rsid w:val="00BD4617"/>
    <w:rsid w:val="00BD4DA2"/>
    <w:rsid w:val="00BD539C"/>
    <w:rsid w:val="00BD6362"/>
    <w:rsid w:val="00BD7A1B"/>
    <w:rsid w:val="00BD7F4B"/>
    <w:rsid w:val="00BE0059"/>
    <w:rsid w:val="00BE1DE2"/>
    <w:rsid w:val="00BE3562"/>
    <w:rsid w:val="00BE4D07"/>
    <w:rsid w:val="00BE559E"/>
    <w:rsid w:val="00BE5617"/>
    <w:rsid w:val="00BE6C11"/>
    <w:rsid w:val="00BE7634"/>
    <w:rsid w:val="00BE77D5"/>
    <w:rsid w:val="00BE7DB3"/>
    <w:rsid w:val="00BE7E46"/>
    <w:rsid w:val="00BF0A08"/>
    <w:rsid w:val="00BF2FAA"/>
    <w:rsid w:val="00BF3BFB"/>
    <w:rsid w:val="00BF43F2"/>
    <w:rsid w:val="00BF4779"/>
    <w:rsid w:val="00BF531F"/>
    <w:rsid w:val="00BF7ADD"/>
    <w:rsid w:val="00C00220"/>
    <w:rsid w:val="00C004BD"/>
    <w:rsid w:val="00C00960"/>
    <w:rsid w:val="00C00EAB"/>
    <w:rsid w:val="00C01BDB"/>
    <w:rsid w:val="00C01C55"/>
    <w:rsid w:val="00C02C18"/>
    <w:rsid w:val="00C048E8"/>
    <w:rsid w:val="00C04D09"/>
    <w:rsid w:val="00C04E97"/>
    <w:rsid w:val="00C0581C"/>
    <w:rsid w:val="00C05C4A"/>
    <w:rsid w:val="00C066D9"/>
    <w:rsid w:val="00C067C8"/>
    <w:rsid w:val="00C06BD4"/>
    <w:rsid w:val="00C07EF2"/>
    <w:rsid w:val="00C10248"/>
    <w:rsid w:val="00C11B2D"/>
    <w:rsid w:val="00C134F9"/>
    <w:rsid w:val="00C1741E"/>
    <w:rsid w:val="00C20F5A"/>
    <w:rsid w:val="00C21013"/>
    <w:rsid w:val="00C212F7"/>
    <w:rsid w:val="00C21A21"/>
    <w:rsid w:val="00C23BE3"/>
    <w:rsid w:val="00C23F94"/>
    <w:rsid w:val="00C242D6"/>
    <w:rsid w:val="00C25136"/>
    <w:rsid w:val="00C313D8"/>
    <w:rsid w:val="00C3168B"/>
    <w:rsid w:val="00C32BF4"/>
    <w:rsid w:val="00C32F3E"/>
    <w:rsid w:val="00C33A24"/>
    <w:rsid w:val="00C34F41"/>
    <w:rsid w:val="00C3633C"/>
    <w:rsid w:val="00C37309"/>
    <w:rsid w:val="00C40318"/>
    <w:rsid w:val="00C4186C"/>
    <w:rsid w:val="00C41B1A"/>
    <w:rsid w:val="00C42D21"/>
    <w:rsid w:val="00C45C90"/>
    <w:rsid w:val="00C45DFA"/>
    <w:rsid w:val="00C4623F"/>
    <w:rsid w:val="00C469CA"/>
    <w:rsid w:val="00C46CD6"/>
    <w:rsid w:val="00C47D2E"/>
    <w:rsid w:val="00C5083C"/>
    <w:rsid w:val="00C515DB"/>
    <w:rsid w:val="00C51CF1"/>
    <w:rsid w:val="00C51FA1"/>
    <w:rsid w:val="00C52945"/>
    <w:rsid w:val="00C53ECF"/>
    <w:rsid w:val="00C54438"/>
    <w:rsid w:val="00C54EBB"/>
    <w:rsid w:val="00C5591C"/>
    <w:rsid w:val="00C55A06"/>
    <w:rsid w:val="00C55AC3"/>
    <w:rsid w:val="00C56CAB"/>
    <w:rsid w:val="00C56DF5"/>
    <w:rsid w:val="00C57452"/>
    <w:rsid w:val="00C60B50"/>
    <w:rsid w:val="00C60B95"/>
    <w:rsid w:val="00C61F42"/>
    <w:rsid w:val="00C627D3"/>
    <w:rsid w:val="00C6323C"/>
    <w:rsid w:val="00C63677"/>
    <w:rsid w:val="00C63C2F"/>
    <w:rsid w:val="00C64375"/>
    <w:rsid w:val="00C6513F"/>
    <w:rsid w:val="00C6594D"/>
    <w:rsid w:val="00C6682C"/>
    <w:rsid w:val="00C67A21"/>
    <w:rsid w:val="00C67B7F"/>
    <w:rsid w:val="00C67F1C"/>
    <w:rsid w:val="00C71F40"/>
    <w:rsid w:val="00C720F9"/>
    <w:rsid w:val="00C73D73"/>
    <w:rsid w:val="00C74005"/>
    <w:rsid w:val="00C747BE"/>
    <w:rsid w:val="00C751DD"/>
    <w:rsid w:val="00C75AAA"/>
    <w:rsid w:val="00C7673F"/>
    <w:rsid w:val="00C779E8"/>
    <w:rsid w:val="00C802FF"/>
    <w:rsid w:val="00C80403"/>
    <w:rsid w:val="00C80730"/>
    <w:rsid w:val="00C823DC"/>
    <w:rsid w:val="00C8306D"/>
    <w:rsid w:val="00C84319"/>
    <w:rsid w:val="00C845A6"/>
    <w:rsid w:val="00C84907"/>
    <w:rsid w:val="00C84BAC"/>
    <w:rsid w:val="00C85458"/>
    <w:rsid w:val="00C860EE"/>
    <w:rsid w:val="00C868E9"/>
    <w:rsid w:val="00C86F86"/>
    <w:rsid w:val="00C8733B"/>
    <w:rsid w:val="00C908A1"/>
    <w:rsid w:val="00C93276"/>
    <w:rsid w:val="00C952EB"/>
    <w:rsid w:val="00C95886"/>
    <w:rsid w:val="00C95D9C"/>
    <w:rsid w:val="00C9779C"/>
    <w:rsid w:val="00C97ED6"/>
    <w:rsid w:val="00CA04E4"/>
    <w:rsid w:val="00CA5472"/>
    <w:rsid w:val="00CA5540"/>
    <w:rsid w:val="00CA5AC8"/>
    <w:rsid w:val="00CA6E13"/>
    <w:rsid w:val="00CA7401"/>
    <w:rsid w:val="00CA7B75"/>
    <w:rsid w:val="00CA7E4B"/>
    <w:rsid w:val="00CB092D"/>
    <w:rsid w:val="00CB219C"/>
    <w:rsid w:val="00CB292A"/>
    <w:rsid w:val="00CB2FCC"/>
    <w:rsid w:val="00CB3CCB"/>
    <w:rsid w:val="00CB4C30"/>
    <w:rsid w:val="00CB562B"/>
    <w:rsid w:val="00CB5A85"/>
    <w:rsid w:val="00CB5AB0"/>
    <w:rsid w:val="00CB765B"/>
    <w:rsid w:val="00CC1912"/>
    <w:rsid w:val="00CC22CF"/>
    <w:rsid w:val="00CC46A1"/>
    <w:rsid w:val="00CC4AA3"/>
    <w:rsid w:val="00CC53B4"/>
    <w:rsid w:val="00CC5A6F"/>
    <w:rsid w:val="00CC5CCB"/>
    <w:rsid w:val="00CC63B7"/>
    <w:rsid w:val="00CC70EC"/>
    <w:rsid w:val="00CC7114"/>
    <w:rsid w:val="00CC7D60"/>
    <w:rsid w:val="00CD14EC"/>
    <w:rsid w:val="00CD2416"/>
    <w:rsid w:val="00CD2652"/>
    <w:rsid w:val="00CD275D"/>
    <w:rsid w:val="00CD32D2"/>
    <w:rsid w:val="00CD65D6"/>
    <w:rsid w:val="00CD69BA"/>
    <w:rsid w:val="00CD7BB6"/>
    <w:rsid w:val="00CE156D"/>
    <w:rsid w:val="00CE185B"/>
    <w:rsid w:val="00CE2273"/>
    <w:rsid w:val="00CE2CF8"/>
    <w:rsid w:val="00CE3065"/>
    <w:rsid w:val="00CE33FE"/>
    <w:rsid w:val="00CE3A69"/>
    <w:rsid w:val="00CE3D7F"/>
    <w:rsid w:val="00CE3E4A"/>
    <w:rsid w:val="00CE4414"/>
    <w:rsid w:val="00CE5D9C"/>
    <w:rsid w:val="00CE699B"/>
    <w:rsid w:val="00CE7CE2"/>
    <w:rsid w:val="00CF1679"/>
    <w:rsid w:val="00CF1979"/>
    <w:rsid w:val="00CF1E93"/>
    <w:rsid w:val="00CF424E"/>
    <w:rsid w:val="00CF4916"/>
    <w:rsid w:val="00CF4CE3"/>
    <w:rsid w:val="00CF5021"/>
    <w:rsid w:val="00CF5D0B"/>
    <w:rsid w:val="00CF75EE"/>
    <w:rsid w:val="00D009F2"/>
    <w:rsid w:val="00D012AF"/>
    <w:rsid w:val="00D01B3E"/>
    <w:rsid w:val="00D0282A"/>
    <w:rsid w:val="00D03F4F"/>
    <w:rsid w:val="00D03F8C"/>
    <w:rsid w:val="00D04A54"/>
    <w:rsid w:val="00D04E04"/>
    <w:rsid w:val="00D05081"/>
    <w:rsid w:val="00D05435"/>
    <w:rsid w:val="00D05AEF"/>
    <w:rsid w:val="00D06DC1"/>
    <w:rsid w:val="00D105A1"/>
    <w:rsid w:val="00D10FE6"/>
    <w:rsid w:val="00D116FF"/>
    <w:rsid w:val="00D12D35"/>
    <w:rsid w:val="00D12E64"/>
    <w:rsid w:val="00D12F37"/>
    <w:rsid w:val="00D1467E"/>
    <w:rsid w:val="00D16346"/>
    <w:rsid w:val="00D16883"/>
    <w:rsid w:val="00D168C5"/>
    <w:rsid w:val="00D176D2"/>
    <w:rsid w:val="00D176F8"/>
    <w:rsid w:val="00D21003"/>
    <w:rsid w:val="00D21047"/>
    <w:rsid w:val="00D21DFE"/>
    <w:rsid w:val="00D21FEA"/>
    <w:rsid w:val="00D22C42"/>
    <w:rsid w:val="00D23192"/>
    <w:rsid w:val="00D2334E"/>
    <w:rsid w:val="00D25277"/>
    <w:rsid w:val="00D25C25"/>
    <w:rsid w:val="00D27227"/>
    <w:rsid w:val="00D27DD0"/>
    <w:rsid w:val="00D34280"/>
    <w:rsid w:val="00D352CD"/>
    <w:rsid w:val="00D355A2"/>
    <w:rsid w:val="00D35B64"/>
    <w:rsid w:val="00D3645F"/>
    <w:rsid w:val="00D366F5"/>
    <w:rsid w:val="00D36E06"/>
    <w:rsid w:val="00D36E56"/>
    <w:rsid w:val="00D376CA"/>
    <w:rsid w:val="00D40A0E"/>
    <w:rsid w:val="00D40CCF"/>
    <w:rsid w:val="00D40DE7"/>
    <w:rsid w:val="00D4128E"/>
    <w:rsid w:val="00D41772"/>
    <w:rsid w:val="00D42A9A"/>
    <w:rsid w:val="00D454D7"/>
    <w:rsid w:val="00D4692C"/>
    <w:rsid w:val="00D472A3"/>
    <w:rsid w:val="00D47411"/>
    <w:rsid w:val="00D50BF8"/>
    <w:rsid w:val="00D50D6B"/>
    <w:rsid w:val="00D51107"/>
    <w:rsid w:val="00D5362C"/>
    <w:rsid w:val="00D55B02"/>
    <w:rsid w:val="00D568E6"/>
    <w:rsid w:val="00D60018"/>
    <w:rsid w:val="00D60BE5"/>
    <w:rsid w:val="00D60DC6"/>
    <w:rsid w:val="00D666AD"/>
    <w:rsid w:val="00D670C7"/>
    <w:rsid w:val="00D6787B"/>
    <w:rsid w:val="00D705CB"/>
    <w:rsid w:val="00D719DA"/>
    <w:rsid w:val="00D7307C"/>
    <w:rsid w:val="00D7384F"/>
    <w:rsid w:val="00D7423E"/>
    <w:rsid w:val="00D75C8E"/>
    <w:rsid w:val="00D76362"/>
    <w:rsid w:val="00D77319"/>
    <w:rsid w:val="00D77455"/>
    <w:rsid w:val="00D7756C"/>
    <w:rsid w:val="00D80AB2"/>
    <w:rsid w:val="00D83840"/>
    <w:rsid w:val="00D84DDD"/>
    <w:rsid w:val="00D863C9"/>
    <w:rsid w:val="00D86A29"/>
    <w:rsid w:val="00D86D75"/>
    <w:rsid w:val="00D87418"/>
    <w:rsid w:val="00D87AEF"/>
    <w:rsid w:val="00D90229"/>
    <w:rsid w:val="00D902C0"/>
    <w:rsid w:val="00D908AF"/>
    <w:rsid w:val="00D90BA5"/>
    <w:rsid w:val="00D920ED"/>
    <w:rsid w:val="00D93B94"/>
    <w:rsid w:val="00D94BDB"/>
    <w:rsid w:val="00D95DC5"/>
    <w:rsid w:val="00D95F45"/>
    <w:rsid w:val="00D96F96"/>
    <w:rsid w:val="00D97419"/>
    <w:rsid w:val="00D97A49"/>
    <w:rsid w:val="00DA035C"/>
    <w:rsid w:val="00DA1C2D"/>
    <w:rsid w:val="00DA39CD"/>
    <w:rsid w:val="00DA5E0B"/>
    <w:rsid w:val="00DA6104"/>
    <w:rsid w:val="00DA6AB7"/>
    <w:rsid w:val="00DA6FE8"/>
    <w:rsid w:val="00DA7DA8"/>
    <w:rsid w:val="00DB07A0"/>
    <w:rsid w:val="00DB090D"/>
    <w:rsid w:val="00DB127E"/>
    <w:rsid w:val="00DB154D"/>
    <w:rsid w:val="00DB1F7D"/>
    <w:rsid w:val="00DB642E"/>
    <w:rsid w:val="00DB6985"/>
    <w:rsid w:val="00DB6CAC"/>
    <w:rsid w:val="00DB73EB"/>
    <w:rsid w:val="00DC04ED"/>
    <w:rsid w:val="00DC1071"/>
    <w:rsid w:val="00DC2846"/>
    <w:rsid w:val="00DC2C78"/>
    <w:rsid w:val="00DC2D73"/>
    <w:rsid w:val="00DC38BA"/>
    <w:rsid w:val="00DC4CDB"/>
    <w:rsid w:val="00DC5292"/>
    <w:rsid w:val="00DC5A20"/>
    <w:rsid w:val="00DC5B31"/>
    <w:rsid w:val="00DC62F5"/>
    <w:rsid w:val="00DC7650"/>
    <w:rsid w:val="00DD0491"/>
    <w:rsid w:val="00DD25B7"/>
    <w:rsid w:val="00DD53E2"/>
    <w:rsid w:val="00DD5685"/>
    <w:rsid w:val="00DD595E"/>
    <w:rsid w:val="00DD5EB4"/>
    <w:rsid w:val="00DD6B96"/>
    <w:rsid w:val="00DD7613"/>
    <w:rsid w:val="00DD762B"/>
    <w:rsid w:val="00DE0AFE"/>
    <w:rsid w:val="00DE1732"/>
    <w:rsid w:val="00DE2952"/>
    <w:rsid w:val="00DE2B90"/>
    <w:rsid w:val="00DE34BE"/>
    <w:rsid w:val="00DE4170"/>
    <w:rsid w:val="00DE442C"/>
    <w:rsid w:val="00DE4F2D"/>
    <w:rsid w:val="00DE51C0"/>
    <w:rsid w:val="00DE60D5"/>
    <w:rsid w:val="00DE63BF"/>
    <w:rsid w:val="00DE7D9C"/>
    <w:rsid w:val="00DF0CCB"/>
    <w:rsid w:val="00DF0EF5"/>
    <w:rsid w:val="00DF1940"/>
    <w:rsid w:val="00DF285F"/>
    <w:rsid w:val="00DF2AB3"/>
    <w:rsid w:val="00DF5FBD"/>
    <w:rsid w:val="00DF62B8"/>
    <w:rsid w:val="00DF652D"/>
    <w:rsid w:val="00DF671A"/>
    <w:rsid w:val="00DF71AD"/>
    <w:rsid w:val="00DF73AC"/>
    <w:rsid w:val="00DF767E"/>
    <w:rsid w:val="00E00189"/>
    <w:rsid w:val="00E001B8"/>
    <w:rsid w:val="00E01332"/>
    <w:rsid w:val="00E02893"/>
    <w:rsid w:val="00E03283"/>
    <w:rsid w:val="00E041B1"/>
    <w:rsid w:val="00E066FE"/>
    <w:rsid w:val="00E06EDF"/>
    <w:rsid w:val="00E077E7"/>
    <w:rsid w:val="00E0793C"/>
    <w:rsid w:val="00E1345D"/>
    <w:rsid w:val="00E14389"/>
    <w:rsid w:val="00E14445"/>
    <w:rsid w:val="00E14F0F"/>
    <w:rsid w:val="00E168A4"/>
    <w:rsid w:val="00E17626"/>
    <w:rsid w:val="00E2130A"/>
    <w:rsid w:val="00E218A1"/>
    <w:rsid w:val="00E21F7B"/>
    <w:rsid w:val="00E2251A"/>
    <w:rsid w:val="00E235D5"/>
    <w:rsid w:val="00E2420C"/>
    <w:rsid w:val="00E26713"/>
    <w:rsid w:val="00E275E4"/>
    <w:rsid w:val="00E27C44"/>
    <w:rsid w:val="00E27EC2"/>
    <w:rsid w:val="00E30F2F"/>
    <w:rsid w:val="00E33E62"/>
    <w:rsid w:val="00E3445A"/>
    <w:rsid w:val="00E35DF3"/>
    <w:rsid w:val="00E36581"/>
    <w:rsid w:val="00E37952"/>
    <w:rsid w:val="00E40540"/>
    <w:rsid w:val="00E40549"/>
    <w:rsid w:val="00E41CB7"/>
    <w:rsid w:val="00E4423D"/>
    <w:rsid w:val="00E44619"/>
    <w:rsid w:val="00E44818"/>
    <w:rsid w:val="00E44CD7"/>
    <w:rsid w:val="00E45227"/>
    <w:rsid w:val="00E45858"/>
    <w:rsid w:val="00E45F5F"/>
    <w:rsid w:val="00E46B9D"/>
    <w:rsid w:val="00E472E7"/>
    <w:rsid w:val="00E47417"/>
    <w:rsid w:val="00E47845"/>
    <w:rsid w:val="00E50E71"/>
    <w:rsid w:val="00E51C40"/>
    <w:rsid w:val="00E51EDD"/>
    <w:rsid w:val="00E52514"/>
    <w:rsid w:val="00E52B53"/>
    <w:rsid w:val="00E53478"/>
    <w:rsid w:val="00E54EF6"/>
    <w:rsid w:val="00E55EB4"/>
    <w:rsid w:val="00E565BC"/>
    <w:rsid w:val="00E5662B"/>
    <w:rsid w:val="00E56F65"/>
    <w:rsid w:val="00E606CC"/>
    <w:rsid w:val="00E60973"/>
    <w:rsid w:val="00E60A12"/>
    <w:rsid w:val="00E6140C"/>
    <w:rsid w:val="00E6464F"/>
    <w:rsid w:val="00E65693"/>
    <w:rsid w:val="00E6608D"/>
    <w:rsid w:val="00E7080B"/>
    <w:rsid w:val="00E70C06"/>
    <w:rsid w:val="00E70F60"/>
    <w:rsid w:val="00E715A7"/>
    <w:rsid w:val="00E71F3E"/>
    <w:rsid w:val="00E7335B"/>
    <w:rsid w:val="00E736A7"/>
    <w:rsid w:val="00E740A6"/>
    <w:rsid w:val="00E74300"/>
    <w:rsid w:val="00E74A6F"/>
    <w:rsid w:val="00E80176"/>
    <w:rsid w:val="00E809B7"/>
    <w:rsid w:val="00E8154F"/>
    <w:rsid w:val="00E8278B"/>
    <w:rsid w:val="00E82914"/>
    <w:rsid w:val="00E83ED9"/>
    <w:rsid w:val="00E8495F"/>
    <w:rsid w:val="00E85232"/>
    <w:rsid w:val="00E85270"/>
    <w:rsid w:val="00E8536C"/>
    <w:rsid w:val="00E858A9"/>
    <w:rsid w:val="00E86FEB"/>
    <w:rsid w:val="00E87B4A"/>
    <w:rsid w:val="00E87E91"/>
    <w:rsid w:val="00E90622"/>
    <w:rsid w:val="00E90AE7"/>
    <w:rsid w:val="00E91C46"/>
    <w:rsid w:val="00E91F4B"/>
    <w:rsid w:val="00E92281"/>
    <w:rsid w:val="00E9294D"/>
    <w:rsid w:val="00E92A35"/>
    <w:rsid w:val="00E92DCB"/>
    <w:rsid w:val="00E9371B"/>
    <w:rsid w:val="00E9385F"/>
    <w:rsid w:val="00E93F27"/>
    <w:rsid w:val="00E9580B"/>
    <w:rsid w:val="00E95B54"/>
    <w:rsid w:val="00E961DA"/>
    <w:rsid w:val="00E96BD4"/>
    <w:rsid w:val="00E96D4F"/>
    <w:rsid w:val="00E974A0"/>
    <w:rsid w:val="00EA0446"/>
    <w:rsid w:val="00EA10D2"/>
    <w:rsid w:val="00EA3842"/>
    <w:rsid w:val="00EA4037"/>
    <w:rsid w:val="00EA4156"/>
    <w:rsid w:val="00EA48CD"/>
    <w:rsid w:val="00EA4A2E"/>
    <w:rsid w:val="00EA5B7F"/>
    <w:rsid w:val="00EA7336"/>
    <w:rsid w:val="00EA7791"/>
    <w:rsid w:val="00EB024C"/>
    <w:rsid w:val="00EB024F"/>
    <w:rsid w:val="00EB05DD"/>
    <w:rsid w:val="00EB0B4C"/>
    <w:rsid w:val="00EB0F56"/>
    <w:rsid w:val="00EB0F8E"/>
    <w:rsid w:val="00EB1D67"/>
    <w:rsid w:val="00EB2152"/>
    <w:rsid w:val="00EB2724"/>
    <w:rsid w:val="00EB3771"/>
    <w:rsid w:val="00EB63D2"/>
    <w:rsid w:val="00EB724C"/>
    <w:rsid w:val="00EB7402"/>
    <w:rsid w:val="00EB7CC4"/>
    <w:rsid w:val="00EC0414"/>
    <w:rsid w:val="00EC2633"/>
    <w:rsid w:val="00EC3F83"/>
    <w:rsid w:val="00EC4211"/>
    <w:rsid w:val="00EC7D63"/>
    <w:rsid w:val="00ED01EB"/>
    <w:rsid w:val="00ED270F"/>
    <w:rsid w:val="00ED3BD0"/>
    <w:rsid w:val="00ED3BE4"/>
    <w:rsid w:val="00ED3F9A"/>
    <w:rsid w:val="00ED569A"/>
    <w:rsid w:val="00ED5B81"/>
    <w:rsid w:val="00ED5F30"/>
    <w:rsid w:val="00ED680C"/>
    <w:rsid w:val="00EE1820"/>
    <w:rsid w:val="00EE1FC4"/>
    <w:rsid w:val="00EE2365"/>
    <w:rsid w:val="00EE4114"/>
    <w:rsid w:val="00EE4733"/>
    <w:rsid w:val="00EE5AC4"/>
    <w:rsid w:val="00EE6138"/>
    <w:rsid w:val="00EE6A2B"/>
    <w:rsid w:val="00EE717B"/>
    <w:rsid w:val="00EE7A1A"/>
    <w:rsid w:val="00EF0B86"/>
    <w:rsid w:val="00EF149E"/>
    <w:rsid w:val="00EF2008"/>
    <w:rsid w:val="00EF230D"/>
    <w:rsid w:val="00EF2546"/>
    <w:rsid w:val="00EF4D8F"/>
    <w:rsid w:val="00EF5092"/>
    <w:rsid w:val="00EF697F"/>
    <w:rsid w:val="00EF7127"/>
    <w:rsid w:val="00EF7E5D"/>
    <w:rsid w:val="00F015B8"/>
    <w:rsid w:val="00F02B03"/>
    <w:rsid w:val="00F02EF4"/>
    <w:rsid w:val="00F032FA"/>
    <w:rsid w:val="00F0365F"/>
    <w:rsid w:val="00F03833"/>
    <w:rsid w:val="00F05661"/>
    <w:rsid w:val="00F07092"/>
    <w:rsid w:val="00F0717A"/>
    <w:rsid w:val="00F1057D"/>
    <w:rsid w:val="00F10644"/>
    <w:rsid w:val="00F11729"/>
    <w:rsid w:val="00F11878"/>
    <w:rsid w:val="00F11A29"/>
    <w:rsid w:val="00F11CB5"/>
    <w:rsid w:val="00F13053"/>
    <w:rsid w:val="00F13EDB"/>
    <w:rsid w:val="00F14CF4"/>
    <w:rsid w:val="00F15C58"/>
    <w:rsid w:val="00F15D79"/>
    <w:rsid w:val="00F1619B"/>
    <w:rsid w:val="00F22D71"/>
    <w:rsid w:val="00F2450F"/>
    <w:rsid w:val="00F24E79"/>
    <w:rsid w:val="00F2595E"/>
    <w:rsid w:val="00F25F2B"/>
    <w:rsid w:val="00F26293"/>
    <w:rsid w:val="00F26F24"/>
    <w:rsid w:val="00F27CB6"/>
    <w:rsid w:val="00F30050"/>
    <w:rsid w:val="00F31222"/>
    <w:rsid w:val="00F316E5"/>
    <w:rsid w:val="00F33666"/>
    <w:rsid w:val="00F34433"/>
    <w:rsid w:val="00F35A68"/>
    <w:rsid w:val="00F35B85"/>
    <w:rsid w:val="00F36636"/>
    <w:rsid w:val="00F37EB1"/>
    <w:rsid w:val="00F407D3"/>
    <w:rsid w:val="00F40971"/>
    <w:rsid w:val="00F40D6E"/>
    <w:rsid w:val="00F40F16"/>
    <w:rsid w:val="00F41783"/>
    <w:rsid w:val="00F41A65"/>
    <w:rsid w:val="00F42935"/>
    <w:rsid w:val="00F42F9D"/>
    <w:rsid w:val="00F4311F"/>
    <w:rsid w:val="00F43517"/>
    <w:rsid w:val="00F45879"/>
    <w:rsid w:val="00F5039D"/>
    <w:rsid w:val="00F506CC"/>
    <w:rsid w:val="00F5405D"/>
    <w:rsid w:val="00F5493E"/>
    <w:rsid w:val="00F55CA3"/>
    <w:rsid w:val="00F57213"/>
    <w:rsid w:val="00F574E0"/>
    <w:rsid w:val="00F57D05"/>
    <w:rsid w:val="00F613FE"/>
    <w:rsid w:val="00F61BD4"/>
    <w:rsid w:val="00F643FA"/>
    <w:rsid w:val="00F659E3"/>
    <w:rsid w:val="00F70B9A"/>
    <w:rsid w:val="00F712E8"/>
    <w:rsid w:val="00F71878"/>
    <w:rsid w:val="00F71ACC"/>
    <w:rsid w:val="00F7204C"/>
    <w:rsid w:val="00F721DF"/>
    <w:rsid w:val="00F72B80"/>
    <w:rsid w:val="00F7414D"/>
    <w:rsid w:val="00F75579"/>
    <w:rsid w:val="00F75D32"/>
    <w:rsid w:val="00F77607"/>
    <w:rsid w:val="00F8018E"/>
    <w:rsid w:val="00F8120B"/>
    <w:rsid w:val="00F81BE1"/>
    <w:rsid w:val="00F81FE3"/>
    <w:rsid w:val="00F8238F"/>
    <w:rsid w:val="00F83B7D"/>
    <w:rsid w:val="00F84629"/>
    <w:rsid w:val="00F87027"/>
    <w:rsid w:val="00F873C8"/>
    <w:rsid w:val="00F90F6F"/>
    <w:rsid w:val="00F91288"/>
    <w:rsid w:val="00F919B4"/>
    <w:rsid w:val="00F91F4C"/>
    <w:rsid w:val="00F93866"/>
    <w:rsid w:val="00F94225"/>
    <w:rsid w:val="00F951D4"/>
    <w:rsid w:val="00F957A6"/>
    <w:rsid w:val="00F967F9"/>
    <w:rsid w:val="00F97310"/>
    <w:rsid w:val="00F977A8"/>
    <w:rsid w:val="00F97E60"/>
    <w:rsid w:val="00FA094C"/>
    <w:rsid w:val="00FA100E"/>
    <w:rsid w:val="00FA1DA9"/>
    <w:rsid w:val="00FA2024"/>
    <w:rsid w:val="00FA2E4E"/>
    <w:rsid w:val="00FA2F48"/>
    <w:rsid w:val="00FA375E"/>
    <w:rsid w:val="00FA590A"/>
    <w:rsid w:val="00FA5921"/>
    <w:rsid w:val="00FB0C87"/>
    <w:rsid w:val="00FB0FC3"/>
    <w:rsid w:val="00FB10E9"/>
    <w:rsid w:val="00FB17BA"/>
    <w:rsid w:val="00FB2FE1"/>
    <w:rsid w:val="00FB3142"/>
    <w:rsid w:val="00FB3300"/>
    <w:rsid w:val="00FB3397"/>
    <w:rsid w:val="00FB3D27"/>
    <w:rsid w:val="00FB4539"/>
    <w:rsid w:val="00FB4730"/>
    <w:rsid w:val="00FB4B21"/>
    <w:rsid w:val="00FB5C54"/>
    <w:rsid w:val="00FB7C19"/>
    <w:rsid w:val="00FB7EF0"/>
    <w:rsid w:val="00FC06DA"/>
    <w:rsid w:val="00FC4DD2"/>
    <w:rsid w:val="00FC64EB"/>
    <w:rsid w:val="00FC6756"/>
    <w:rsid w:val="00FC6C7D"/>
    <w:rsid w:val="00FC75F6"/>
    <w:rsid w:val="00FD1640"/>
    <w:rsid w:val="00FD19DB"/>
    <w:rsid w:val="00FD4B6F"/>
    <w:rsid w:val="00FD5723"/>
    <w:rsid w:val="00FD61CF"/>
    <w:rsid w:val="00FD7A2B"/>
    <w:rsid w:val="00FD7B11"/>
    <w:rsid w:val="00FE012D"/>
    <w:rsid w:val="00FE0BD9"/>
    <w:rsid w:val="00FE1226"/>
    <w:rsid w:val="00FE31BB"/>
    <w:rsid w:val="00FE3D3F"/>
    <w:rsid w:val="00FE3D61"/>
    <w:rsid w:val="00FE4C45"/>
    <w:rsid w:val="00FE50F2"/>
    <w:rsid w:val="00FE6CD3"/>
    <w:rsid w:val="00FF02AC"/>
    <w:rsid w:val="00FF02F0"/>
    <w:rsid w:val="00FF0598"/>
    <w:rsid w:val="00FF0F27"/>
    <w:rsid w:val="00FF0F8F"/>
    <w:rsid w:val="00FF261F"/>
    <w:rsid w:val="00FF2BDD"/>
    <w:rsid w:val="00FF3A0F"/>
    <w:rsid w:val="00FF3E91"/>
    <w:rsid w:val="00FF3ECB"/>
    <w:rsid w:val="00FF5023"/>
    <w:rsid w:val="00FF5380"/>
    <w:rsid w:val="00FF5B1D"/>
    <w:rsid w:val="00FF5F0F"/>
    <w:rsid w:val="00FF6B8C"/>
    <w:rsid w:val="00FF6D76"/>
    <w:rsid w:val="00FF6F98"/>
    <w:rsid w:val="00FF7666"/>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1BAA15"/>
  <w15:chartTrackingRefBased/>
  <w15:docId w15:val="{B1757304-CDB8-4CB4-9E74-A3217118B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3300"/>
    <w:rPr>
      <w:rFonts w:ascii="Times" w:hAnsi="Times" w:cs="Times"/>
      <w:sz w:val="24"/>
      <w:szCs w:val="24"/>
    </w:rPr>
  </w:style>
  <w:style w:type="paragraph" w:styleId="Heading1">
    <w:name w:val="heading 1"/>
    <w:basedOn w:val="Body"/>
    <w:link w:val="Heading1Char"/>
    <w:uiPriority w:val="9"/>
    <w:qFormat/>
    <w:rsid w:val="00DE2B90"/>
    <w:pPr>
      <w:outlineLvl w:val="0"/>
    </w:pPr>
    <w:rPr>
      <w:b/>
      <w:bCs/>
    </w:rPr>
  </w:style>
  <w:style w:type="paragraph" w:styleId="Heading2">
    <w:name w:val="heading 2"/>
    <w:basedOn w:val="Normal"/>
    <w:next w:val="Normal"/>
    <w:link w:val="Heading2Char"/>
    <w:uiPriority w:val="9"/>
    <w:unhideWhenUsed/>
    <w:qFormat/>
    <w:rsid w:val="00DE2B90"/>
    <w:pPr>
      <w:keepNext/>
      <w:keepLines/>
      <w:spacing w:before="360" w:after="120" w:line="276" w:lineRule="auto"/>
      <w:contextualSpacing/>
      <w:outlineLvl w:val="1"/>
    </w:pPr>
    <w:rPr>
      <w:b/>
      <w:i/>
      <w:iCs/>
    </w:rPr>
  </w:style>
  <w:style w:type="paragraph" w:styleId="Heading3">
    <w:name w:val="heading 3"/>
    <w:basedOn w:val="Normal"/>
    <w:next w:val="Normal"/>
    <w:link w:val="Heading3Char"/>
    <w:uiPriority w:val="9"/>
    <w:unhideWhenUsed/>
    <w:qFormat/>
    <w:rsid w:val="0019164D"/>
    <w:pPr>
      <w:keepNext/>
      <w:keepLines/>
      <w:spacing w:before="360" w:after="0"/>
      <w:outlineLvl w:val="2"/>
    </w:pPr>
    <w:rPr>
      <w:bCs/>
      <w:i/>
      <w:iCs/>
    </w:rPr>
  </w:style>
  <w:style w:type="paragraph" w:styleId="Heading4">
    <w:name w:val="heading 4"/>
    <w:basedOn w:val="Heading1"/>
    <w:next w:val="Normal"/>
    <w:link w:val="Heading4Char"/>
    <w:uiPriority w:val="9"/>
    <w:unhideWhenUsed/>
    <w:qFormat/>
    <w:rsid w:val="005B5040"/>
    <w:pPr>
      <w:pBdr>
        <w:top w:val="single" w:sz="4" w:space="1" w:color="auto"/>
        <w:left w:val="single" w:sz="4" w:space="4" w:color="auto"/>
        <w:bottom w:val="single" w:sz="4" w:space="1" w:color="auto"/>
        <w:right w:val="single" w:sz="4" w:space="4" w:color="auto"/>
      </w:pBdr>
      <w:jc w:val="center"/>
      <w:outlineLvl w:val="3"/>
    </w:pPr>
    <w:rPr>
      <w:b w:val="0"/>
      <w:bCs w:val="0"/>
    </w:rPr>
  </w:style>
  <w:style w:type="paragraph" w:styleId="Heading5">
    <w:name w:val="heading 5"/>
    <w:basedOn w:val="Normal"/>
    <w:next w:val="Normal"/>
    <w:link w:val="Heading5Char"/>
    <w:uiPriority w:val="9"/>
    <w:semiHidden/>
    <w:unhideWhenUsed/>
    <w:qFormat/>
    <w:rsid w:val="00653D14"/>
    <w:pPr>
      <w:keepNext/>
      <w:keepLines/>
      <w:numPr>
        <w:ilvl w:val="4"/>
        <w:numId w:val="3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653D14"/>
    <w:pPr>
      <w:keepNext/>
      <w:keepLines/>
      <w:numPr>
        <w:ilvl w:val="5"/>
        <w:numId w:val="3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653D14"/>
    <w:pPr>
      <w:keepNext/>
      <w:keepLines/>
      <w:numPr>
        <w:ilvl w:val="6"/>
        <w:numId w:val="3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653D14"/>
    <w:pPr>
      <w:keepNext/>
      <w:keepLines/>
      <w:numPr>
        <w:ilvl w:val="7"/>
        <w:numId w:val="3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53D14"/>
    <w:pPr>
      <w:keepNext/>
      <w:keepLines/>
      <w:numPr>
        <w:ilvl w:val="8"/>
        <w:numId w:val="3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Bulleted"/>
    <w:basedOn w:val="Normal"/>
    <w:link w:val="ListParagraphChar"/>
    <w:uiPriority w:val="34"/>
    <w:qFormat/>
    <w:rsid w:val="00E46B9D"/>
    <w:pPr>
      <w:ind w:left="720"/>
      <w:contextualSpacing/>
    </w:pPr>
  </w:style>
  <w:style w:type="character" w:customStyle="1" w:styleId="Heading1Char">
    <w:name w:val="Heading 1 Char"/>
    <w:basedOn w:val="DefaultParagraphFont"/>
    <w:link w:val="Heading1"/>
    <w:uiPriority w:val="9"/>
    <w:rsid w:val="00DE2B90"/>
    <w:rPr>
      <w:rFonts w:ascii="Times" w:hAnsi="Times" w:cs="Times"/>
      <w:b/>
      <w:bCs/>
      <w:sz w:val="24"/>
      <w:szCs w:val="24"/>
    </w:rPr>
  </w:style>
  <w:style w:type="character" w:customStyle="1" w:styleId="Heading2Char">
    <w:name w:val="Heading 2 Char"/>
    <w:basedOn w:val="DefaultParagraphFont"/>
    <w:link w:val="Heading2"/>
    <w:uiPriority w:val="9"/>
    <w:rsid w:val="00DE2B90"/>
    <w:rPr>
      <w:rFonts w:ascii="Times" w:hAnsi="Times" w:cs="Times"/>
      <w:b/>
      <w:i/>
      <w:iCs/>
      <w:sz w:val="24"/>
      <w:szCs w:val="24"/>
    </w:rPr>
  </w:style>
  <w:style w:type="character" w:customStyle="1" w:styleId="Heading3Char">
    <w:name w:val="Heading 3 Char"/>
    <w:basedOn w:val="DefaultParagraphFont"/>
    <w:link w:val="Heading3"/>
    <w:uiPriority w:val="9"/>
    <w:rsid w:val="0019164D"/>
    <w:rPr>
      <w:rFonts w:ascii="Times" w:hAnsi="Times" w:cs="Times"/>
      <w:bCs/>
      <w:i/>
      <w:iCs/>
      <w:sz w:val="24"/>
      <w:szCs w:val="24"/>
    </w:rPr>
  </w:style>
  <w:style w:type="character" w:styleId="Hyperlink">
    <w:name w:val="Hyperlink"/>
    <w:basedOn w:val="DefaultParagraphFont"/>
    <w:uiPriority w:val="99"/>
    <w:unhideWhenUsed/>
    <w:rsid w:val="00FE31BB"/>
    <w:rPr>
      <w:color w:val="0563C1" w:themeColor="hyperlink"/>
      <w:u w:val="single"/>
    </w:rPr>
  </w:style>
  <w:style w:type="paragraph" w:styleId="Header">
    <w:name w:val="header"/>
    <w:basedOn w:val="Normal"/>
    <w:link w:val="HeaderChar"/>
    <w:uiPriority w:val="99"/>
    <w:unhideWhenUsed/>
    <w:rsid w:val="00FB3300"/>
    <w:pPr>
      <w:tabs>
        <w:tab w:val="center" w:pos="4513"/>
        <w:tab w:val="right" w:pos="9026"/>
      </w:tabs>
      <w:spacing w:after="240" w:line="360" w:lineRule="auto"/>
      <w:jc w:val="both"/>
    </w:pPr>
    <w:rPr>
      <w:rFonts w:ascii="Calibri" w:eastAsia="Times New Roman" w:hAnsi="Calibri" w:cs="Calibri"/>
      <w:bCs/>
      <w:lang w:eastAsia="zh-CN"/>
    </w:rPr>
  </w:style>
  <w:style w:type="character" w:customStyle="1" w:styleId="HeaderChar">
    <w:name w:val="Header Char"/>
    <w:basedOn w:val="DefaultParagraphFont"/>
    <w:link w:val="Header"/>
    <w:uiPriority w:val="99"/>
    <w:rsid w:val="00FE31BB"/>
    <w:rPr>
      <w:rFonts w:ascii="Calibri" w:eastAsia="Times New Roman" w:hAnsi="Calibri" w:cs="Calibri"/>
      <w:bCs/>
      <w:sz w:val="24"/>
      <w:szCs w:val="24"/>
      <w:lang w:eastAsia="zh-CN"/>
    </w:rPr>
  </w:style>
  <w:style w:type="paragraph" w:styleId="Footer">
    <w:name w:val="footer"/>
    <w:basedOn w:val="Normal"/>
    <w:link w:val="FooterChar"/>
    <w:uiPriority w:val="99"/>
    <w:unhideWhenUsed/>
    <w:rsid w:val="00FB3300"/>
    <w:pPr>
      <w:tabs>
        <w:tab w:val="center" w:pos="4513"/>
        <w:tab w:val="right" w:pos="9026"/>
      </w:tabs>
      <w:spacing w:after="240" w:line="360" w:lineRule="auto"/>
      <w:jc w:val="both"/>
    </w:pPr>
    <w:rPr>
      <w:rFonts w:ascii="Calibri" w:eastAsia="Times New Roman" w:hAnsi="Calibri" w:cs="Calibri"/>
      <w:bCs/>
      <w:lang w:eastAsia="zh-CN"/>
    </w:rPr>
  </w:style>
  <w:style w:type="character" w:customStyle="1" w:styleId="FooterChar">
    <w:name w:val="Footer Char"/>
    <w:basedOn w:val="DefaultParagraphFont"/>
    <w:link w:val="Footer"/>
    <w:uiPriority w:val="99"/>
    <w:rsid w:val="00FE31BB"/>
    <w:rPr>
      <w:rFonts w:ascii="Calibri" w:eastAsia="Times New Roman" w:hAnsi="Calibri" w:cs="Calibri"/>
      <w:bCs/>
      <w:sz w:val="24"/>
      <w:szCs w:val="24"/>
      <w:lang w:eastAsia="zh-CN"/>
    </w:rPr>
  </w:style>
  <w:style w:type="paragraph" w:customStyle="1" w:styleId="EndNoteBibliography">
    <w:name w:val="EndNote Bibliography"/>
    <w:basedOn w:val="Normal"/>
    <w:link w:val="EndNoteBibliographyChar"/>
    <w:rsid w:val="00FB3300"/>
    <w:pPr>
      <w:spacing w:after="240" w:line="240" w:lineRule="auto"/>
      <w:jc w:val="both"/>
    </w:pPr>
    <w:rPr>
      <w:rFonts w:eastAsia="Times New Roman"/>
      <w:bCs/>
      <w:noProof/>
      <w:lang w:val="en-US" w:eastAsia="zh-CN"/>
    </w:rPr>
  </w:style>
  <w:style w:type="character" w:customStyle="1" w:styleId="EndNoteBibliographyChar">
    <w:name w:val="EndNote Bibliography Char"/>
    <w:basedOn w:val="DefaultParagraphFont"/>
    <w:link w:val="EndNoteBibliography"/>
    <w:rsid w:val="00FE31BB"/>
    <w:rPr>
      <w:rFonts w:ascii="Times" w:eastAsia="Times New Roman" w:hAnsi="Times" w:cs="Times"/>
      <w:bCs/>
      <w:noProof/>
      <w:sz w:val="24"/>
      <w:szCs w:val="24"/>
      <w:lang w:val="en-US" w:eastAsia="zh-CN"/>
    </w:rPr>
  </w:style>
  <w:style w:type="character" w:customStyle="1" w:styleId="ListParagraphChar">
    <w:name w:val="List Paragraph Char"/>
    <w:aliases w:val="List Bulleted Char"/>
    <w:basedOn w:val="DefaultParagraphFont"/>
    <w:link w:val="ListParagraph"/>
    <w:uiPriority w:val="34"/>
    <w:locked/>
    <w:rsid w:val="00FE31BB"/>
  </w:style>
  <w:style w:type="table" w:styleId="TableGrid">
    <w:name w:val="Table Grid"/>
    <w:basedOn w:val="TableNormal"/>
    <w:uiPriority w:val="59"/>
    <w:rsid w:val="00FE31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link w:val="TableTextChar"/>
    <w:qFormat/>
    <w:rsid w:val="00FB3300"/>
    <w:pPr>
      <w:spacing w:before="60" w:after="60" w:line="240" w:lineRule="auto"/>
      <w:jc w:val="both"/>
    </w:pPr>
    <w:rPr>
      <w:rFonts w:eastAsia="Times New Roman" w:cstheme="minorHAnsi"/>
      <w:bCs/>
      <w:lang w:val="en-US" w:eastAsia="zh-CN"/>
    </w:rPr>
  </w:style>
  <w:style w:type="character" w:customStyle="1" w:styleId="TableTextChar">
    <w:name w:val="Table Text Char"/>
    <w:basedOn w:val="DefaultParagraphFont"/>
    <w:link w:val="TableText"/>
    <w:rsid w:val="00FE31BB"/>
    <w:rPr>
      <w:rFonts w:ascii="Times" w:eastAsia="Times New Roman" w:hAnsi="Times" w:cstheme="minorHAnsi"/>
      <w:bCs/>
      <w:sz w:val="24"/>
      <w:szCs w:val="24"/>
      <w:lang w:val="en-US" w:eastAsia="zh-CN"/>
    </w:rPr>
  </w:style>
  <w:style w:type="paragraph" w:customStyle="1" w:styleId="Listdash">
    <w:name w:val="List dash"/>
    <w:basedOn w:val="ListParagraph"/>
    <w:qFormat/>
    <w:rsid w:val="00FB3300"/>
    <w:pPr>
      <w:numPr>
        <w:numId w:val="3"/>
      </w:numPr>
      <w:spacing w:after="240" w:line="360" w:lineRule="auto"/>
      <w:jc w:val="both"/>
    </w:pPr>
    <w:rPr>
      <w:rFonts w:eastAsia="Times New Roman" w:cstheme="minorHAnsi"/>
      <w:bCs/>
      <w:lang w:eastAsia="zh-CN"/>
    </w:rPr>
  </w:style>
  <w:style w:type="character" w:styleId="LineNumber">
    <w:name w:val="line number"/>
    <w:basedOn w:val="DefaultParagraphFont"/>
    <w:uiPriority w:val="99"/>
    <w:semiHidden/>
    <w:unhideWhenUsed/>
    <w:rsid w:val="00FE31BB"/>
  </w:style>
  <w:style w:type="paragraph" w:customStyle="1" w:styleId="Default">
    <w:name w:val="Default"/>
    <w:link w:val="DefaultChar"/>
    <w:rsid w:val="000078CA"/>
    <w:pPr>
      <w:autoSpaceDE w:val="0"/>
      <w:autoSpaceDN w:val="0"/>
      <w:adjustRightInd w:val="0"/>
      <w:spacing w:after="0" w:line="240" w:lineRule="auto"/>
    </w:pPr>
    <w:rPr>
      <w:rFonts w:ascii="Bebas Neue Bold" w:hAnsi="Bebas Neue Bold" w:cs="Bebas Neue Bold"/>
      <w:color w:val="000000"/>
      <w:sz w:val="24"/>
      <w:szCs w:val="24"/>
    </w:rPr>
  </w:style>
  <w:style w:type="paragraph" w:styleId="BalloonText">
    <w:name w:val="Balloon Text"/>
    <w:basedOn w:val="Normal"/>
    <w:link w:val="BalloonTextChar"/>
    <w:uiPriority w:val="99"/>
    <w:semiHidden/>
    <w:unhideWhenUsed/>
    <w:rsid w:val="00032D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2D19"/>
    <w:rPr>
      <w:rFonts w:ascii="Segoe UI" w:hAnsi="Segoe UI" w:cs="Segoe UI"/>
      <w:sz w:val="18"/>
      <w:szCs w:val="18"/>
    </w:rPr>
  </w:style>
  <w:style w:type="character" w:styleId="UnresolvedMention">
    <w:name w:val="Unresolved Mention"/>
    <w:basedOn w:val="DefaultParagraphFont"/>
    <w:uiPriority w:val="99"/>
    <w:semiHidden/>
    <w:unhideWhenUsed/>
    <w:rsid w:val="00C63677"/>
    <w:rPr>
      <w:color w:val="605E5C"/>
      <w:shd w:val="clear" w:color="auto" w:fill="E1DFDD"/>
    </w:rPr>
  </w:style>
  <w:style w:type="paragraph" w:customStyle="1" w:styleId="Pa2">
    <w:name w:val="Pa2"/>
    <w:basedOn w:val="Default"/>
    <w:next w:val="Default"/>
    <w:uiPriority w:val="99"/>
    <w:rsid w:val="00340149"/>
    <w:pPr>
      <w:spacing w:line="241" w:lineRule="atLeast"/>
    </w:pPr>
    <w:rPr>
      <w:rFonts w:ascii="Helvetica 45 Light" w:hAnsi="Helvetica 45 Light" w:cstheme="minorBidi"/>
      <w:color w:val="auto"/>
    </w:rPr>
  </w:style>
  <w:style w:type="paragraph" w:styleId="NormalWeb">
    <w:name w:val="Normal (Web)"/>
    <w:basedOn w:val="Normal"/>
    <w:uiPriority w:val="99"/>
    <w:unhideWhenUsed/>
    <w:rsid w:val="00FB3300"/>
    <w:rPr>
      <w:rFonts w:ascii="Times New Roman" w:hAnsi="Times New Roman" w:cs="Times New Roman"/>
    </w:rPr>
  </w:style>
  <w:style w:type="character" w:styleId="FollowedHyperlink">
    <w:name w:val="FollowedHyperlink"/>
    <w:basedOn w:val="DefaultParagraphFont"/>
    <w:uiPriority w:val="99"/>
    <w:semiHidden/>
    <w:unhideWhenUsed/>
    <w:rsid w:val="00616C8E"/>
    <w:rPr>
      <w:color w:val="954F72" w:themeColor="followedHyperlink"/>
      <w:u w:val="single"/>
    </w:rPr>
  </w:style>
  <w:style w:type="character" w:styleId="CommentReference">
    <w:name w:val="annotation reference"/>
    <w:basedOn w:val="DefaultParagraphFont"/>
    <w:uiPriority w:val="99"/>
    <w:semiHidden/>
    <w:unhideWhenUsed/>
    <w:rsid w:val="00DC62F5"/>
    <w:rPr>
      <w:sz w:val="16"/>
      <w:szCs w:val="16"/>
    </w:rPr>
  </w:style>
  <w:style w:type="paragraph" w:styleId="CommentText">
    <w:name w:val="annotation text"/>
    <w:basedOn w:val="Normal"/>
    <w:link w:val="CommentTextChar"/>
    <w:uiPriority w:val="99"/>
    <w:unhideWhenUsed/>
    <w:rsid w:val="00DC62F5"/>
    <w:pPr>
      <w:spacing w:line="240" w:lineRule="auto"/>
    </w:pPr>
    <w:rPr>
      <w:sz w:val="20"/>
      <w:szCs w:val="20"/>
    </w:rPr>
  </w:style>
  <w:style w:type="character" w:customStyle="1" w:styleId="CommentTextChar">
    <w:name w:val="Comment Text Char"/>
    <w:basedOn w:val="DefaultParagraphFont"/>
    <w:link w:val="CommentText"/>
    <w:uiPriority w:val="99"/>
    <w:rsid w:val="00DC62F5"/>
    <w:rPr>
      <w:sz w:val="20"/>
      <w:szCs w:val="20"/>
    </w:rPr>
  </w:style>
  <w:style w:type="paragraph" w:styleId="CommentSubject">
    <w:name w:val="annotation subject"/>
    <w:basedOn w:val="CommentText"/>
    <w:next w:val="CommentText"/>
    <w:link w:val="CommentSubjectChar"/>
    <w:uiPriority w:val="99"/>
    <w:semiHidden/>
    <w:unhideWhenUsed/>
    <w:rsid w:val="00DC62F5"/>
    <w:rPr>
      <w:b/>
      <w:bCs/>
    </w:rPr>
  </w:style>
  <w:style w:type="character" w:customStyle="1" w:styleId="CommentSubjectChar">
    <w:name w:val="Comment Subject Char"/>
    <w:basedOn w:val="CommentTextChar"/>
    <w:link w:val="CommentSubject"/>
    <w:uiPriority w:val="99"/>
    <w:semiHidden/>
    <w:rsid w:val="00DC62F5"/>
    <w:rPr>
      <w:b/>
      <w:bCs/>
      <w:sz w:val="20"/>
      <w:szCs w:val="20"/>
    </w:rPr>
  </w:style>
  <w:style w:type="character" w:customStyle="1" w:styleId="A9">
    <w:name w:val="A9"/>
    <w:uiPriority w:val="99"/>
    <w:rsid w:val="002D1CBE"/>
    <w:rPr>
      <w:rFonts w:cs="ITC Slimbach Std"/>
      <w:color w:val="000000"/>
      <w:sz w:val="10"/>
      <w:szCs w:val="10"/>
    </w:rPr>
  </w:style>
  <w:style w:type="paragraph" w:styleId="Revision">
    <w:name w:val="Revision"/>
    <w:hidden/>
    <w:uiPriority w:val="99"/>
    <w:semiHidden/>
    <w:rsid w:val="00D93B94"/>
    <w:pPr>
      <w:spacing w:after="0" w:line="240" w:lineRule="auto"/>
    </w:pPr>
  </w:style>
  <w:style w:type="character" w:styleId="PageNumber">
    <w:name w:val="page number"/>
    <w:basedOn w:val="DefaultParagraphFont"/>
    <w:uiPriority w:val="99"/>
    <w:semiHidden/>
    <w:unhideWhenUsed/>
    <w:rsid w:val="00C20F5A"/>
  </w:style>
  <w:style w:type="paragraph" w:styleId="TOC2">
    <w:name w:val="toc 2"/>
    <w:basedOn w:val="Normal"/>
    <w:next w:val="Normal"/>
    <w:autoRedefine/>
    <w:uiPriority w:val="39"/>
    <w:unhideWhenUsed/>
    <w:rsid w:val="00F72B80"/>
    <w:pPr>
      <w:tabs>
        <w:tab w:val="right" w:leader="dot" w:pos="9016"/>
      </w:tabs>
      <w:spacing w:after="100"/>
      <w:ind w:left="238"/>
    </w:pPr>
  </w:style>
  <w:style w:type="paragraph" w:styleId="TOC3">
    <w:name w:val="toc 3"/>
    <w:basedOn w:val="Normal"/>
    <w:next w:val="Normal"/>
    <w:autoRedefine/>
    <w:uiPriority w:val="39"/>
    <w:unhideWhenUsed/>
    <w:rsid w:val="00F72B80"/>
    <w:pPr>
      <w:tabs>
        <w:tab w:val="left" w:pos="1440"/>
        <w:tab w:val="right" w:leader="dot" w:pos="9016"/>
      </w:tabs>
      <w:spacing w:after="100"/>
      <w:ind w:left="480"/>
    </w:pPr>
  </w:style>
  <w:style w:type="table" w:styleId="TableGridLight">
    <w:name w:val="Grid Table Light"/>
    <w:basedOn w:val="TableNormal"/>
    <w:uiPriority w:val="40"/>
    <w:rsid w:val="008A170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4Char">
    <w:name w:val="Heading 4 Char"/>
    <w:basedOn w:val="DefaultParagraphFont"/>
    <w:link w:val="Heading4"/>
    <w:uiPriority w:val="9"/>
    <w:rsid w:val="005B5040"/>
    <w:rPr>
      <w:rFonts w:ascii="Times" w:hAnsi="Times" w:cs="Times"/>
      <w:sz w:val="24"/>
      <w:szCs w:val="24"/>
    </w:rPr>
  </w:style>
  <w:style w:type="paragraph" w:styleId="TOC4">
    <w:name w:val="toc 4"/>
    <w:basedOn w:val="Normal"/>
    <w:next w:val="Normal"/>
    <w:autoRedefine/>
    <w:uiPriority w:val="39"/>
    <w:unhideWhenUsed/>
    <w:rsid w:val="006521CF"/>
    <w:pPr>
      <w:tabs>
        <w:tab w:val="right" w:leader="dot" w:pos="9016"/>
      </w:tabs>
      <w:spacing w:after="100"/>
      <w:ind w:left="720"/>
    </w:pPr>
  </w:style>
  <w:style w:type="paragraph" w:styleId="Bibliography">
    <w:name w:val="Bibliography"/>
    <w:basedOn w:val="Normal"/>
    <w:next w:val="Normal"/>
    <w:uiPriority w:val="37"/>
    <w:unhideWhenUsed/>
    <w:rsid w:val="00913527"/>
    <w:pPr>
      <w:tabs>
        <w:tab w:val="left" w:pos="380"/>
        <w:tab w:val="left" w:pos="500"/>
      </w:tabs>
      <w:spacing w:after="240" w:line="240" w:lineRule="auto"/>
      <w:ind w:left="384" w:hanging="384"/>
    </w:pPr>
  </w:style>
  <w:style w:type="paragraph" w:styleId="TOC1">
    <w:name w:val="toc 1"/>
    <w:basedOn w:val="Normal"/>
    <w:next w:val="Normal"/>
    <w:autoRedefine/>
    <w:uiPriority w:val="39"/>
    <w:unhideWhenUsed/>
    <w:rsid w:val="00E45858"/>
    <w:pPr>
      <w:tabs>
        <w:tab w:val="right" w:leader="dot" w:pos="9016"/>
      </w:tabs>
      <w:spacing w:after="100"/>
    </w:pPr>
  </w:style>
  <w:style w:type="paragraph" w:customStyle="1" w:styleId="c-article-referencestext">
    <w:name w:val="c-article-references__text"/>
    <w:basedOn w:val="Normal"/>
    <w:rsid w:val="001C179F"/>
    <w:pPr>
      <w:spacing w:before="100" w:beforeAutospacing="1" w:after="100" w:afterAutospacing="1" w:line="240" w:lineRule="auto"/>
    </w:pPr>
    <w:rPr>
      <w:rFonts w:ascii="Times New Roman" w:eastAsia="Times New Roman" w:hAnsi="Times New Roman" w:cs="Times New Roman"/>
      <w:lang w:eastAsia="en-AU"/>
    </w:rPr>
  </w:style>
  <w:style w:type="character" w:customStyle="1" w:styleId="author">
    <w:name w:val="author"/>
    <w:basedOn w:val="DefaultParagraphFont"/>
    <w:rsid w:val="00FF7666"/>
  </w:style>
  <w:style w:type="character" w:customStyle="1" w:styleId="articletitle">
    <w:name w:val="articletitle"/>
    <w:basedOn w:val="DefaultParagraphFont"/>
    <w:rsid w:val="00FF7666"/>
  </w:style>
  <w:style w:type="character" w:customStyle="1" w:styleId="pubyear">
    <w:name w:val="pubyear"/>
    <w:basedOn w:val="DefaultParagraphFont"/>
    <w:rsid w:val="00FF7666"/>
  </w:style>
  <w:style w:type="character" w:customStyle="1" w:styleId="vol">
    <w:name w:val="vol"/>
    <w:basedOn w:val="DefaultParagraphFont"/>
    <w:rsid w:val="00FF7666"/>
  </w:style>
  <w:style w:type="character" w:customStyle="1" w:styleId="pagefirst">
    <w:name w:val="pagefirst"/>
    <w:basedOn w:val="DefaultParagraphFont"/>
    <w:rsid w:val="00FF7666"/>
  </w:style>
  <w:style w:type="character" w:customStyle="1" w:styleId="pagelast">
    <w:name w:val="pagelast"/>
    <w:basedOn w:val="DefaultParagraphFont"/>
    <w:rsid w:val="00FF7666"/>
  </w:style>
  <w:style w:type="paragraph" w:customStyle="1" w:styleId="EndNoteBibliographyTitle">
    <w:name w:val="EndNote Bibliography Title"/>
    <w:basedOn w:val="Normal"/>
    <w:link w:val="EndNoteBibliographyTitleChar"/>
    <w:rsid w:val="004403B8"/>
    <w:pPr>
      <w:spacing w:after="0"/>
      <w:jc w:val="center"/>
    </w:pPr>
    <w:rPr>
      <w:noProof/>
      <w:lang w:val="en-US"/>
    </w:rPr>
  </w:style>
  <w:style w:type="character" w:customStyle="1" w:styleId="DefaultChar">
    <w:name w:val="Default Char"/>
    <w:basedOn w:val="DefaultParagraphFont"/>
    <w:link w:val="Default"/>
    <w:rsid w:val="004403B8"/>
    <w:rPr>
      <w:rFonts w:ascii="Bebas Neue Bold" w:hAnsi="Bebas Neue Bold" w:cs="Bebas Neue Bold"/>
      <w:color w:val="000000"/>
      <w:sz w:val="24"/>
      <w:szCs w:val="24"/>
    </w:rPr>
  </w:style>
  <w:style w:type="character" w:customStyle="1" w:styleId="EndNoteBibliographyTitleChar">
    <w:name w:val="EndNote Bibliography Title Char"/>
    <w:basedOn w:val="DefaultChar"/>
    <w:link w:val="EndNoteBibliographyTitle"/>
    <w:rsid w:val="004403B8"/>
    <w:rPr>
      <w:rFonts w:ascii="Times" w:hAnsi="Times" w:cs="Times"/>
      <w:noProof/>
      <w:color w:val="000000"/>
      <w:sz w:val="24"/>
      <w:szCs w:val="24"/>
      <w:lang w:val="en-US"/>
    </w:rPr>
  </w:style>
  <w:style w:type="character" w:styleId="SubtleEmphasis">
    <w:name w:val="Subtle Emphasis"/>
    <w:basedOn w:val="DefaultParagraphFont"/>
    <w:uiPriority w:val="19"/>
    <w:qFormat/>
    <w:rsid w:val="00753C0F"/>
    <w:rPr>
      <w:i/>
      <w:iCs/>
      <w:color w:val="404040" w:themeColor="text1" w:themeTint="BF"/>
    </w:rPr>
  </w:style>
  <w:style w:type="character" w:customStyle="1" w:styleId="title-text">
    <w:name w:val="title-text"/>
    <w:basedOn w:val="DefaultParagraphFont"/>
    <w:rsid w:val="00B220D2"/>
  </w:style>
  <w:style w:type="character" w:customStyle="1" w:styleId="sr-only">
    <w:name w:val="sr-only"/>
    <w:basedOn w:val="DefaultParagraphFont"/>
    <w:rsid w:val="00B220D2"/>
  </w:style>
  <w:style w:type="character" w:customStyle="1" w:styleId="text">
    <w:name w:val="text"/>
    <w:basedOn w:val="DefaultParagraphFont"/>
    <w:rsid w:val="00B220D2"/>
  </w:style>
  <w:style w:type="character" w:customStyle="1" w:styleId="author-ref">
    <w:name w:val="author-ref"/>
    <w:basedOn w:val="DefaultParagraphFont"/>
    <w:rsid w:val="00B220D2"/>
  </w:style>
  <w:style w:type="character" w:customStyle="1" w:styleId="button-text">
    <w:name w:val="button-text"/>
    <w:basedOn w:val="DefaultParagraphFont"/>
    <w:rsid w:val="00B220D2"/>
  </w:style>
  <w:style w:type="character" w:customStyle="1" w:styleId="button-link-text">
    <w:name w:val="button-link-text"/>
    <w:basedOn w:val="DefaultParagraphFont"/>
    <w:rsid w:val="00B220D2"/>
  </w:style>
  <w:style w:type="numbering" w:customStyle="1" w:styleId="CurrentList1">
    <w:name w:val="Current List1"/>
    <w:uiPriority w:val="99"/>
    <w:rsid w:val="00653D14"/>
    <w:pPr>
      <w:numPr>
        <w:numId w:val="23"/>
      </w:numPr>
    </w:pPr>
  </w:style>
  <w:style w:type="character" w:customStyle="1" w:styleId="Heading5Char">
    <w:name w:val="Heading 5 Char"/>
    <w:basedOn w:val="DefaultParagraphFont"/>
    <w:link w:val="Heading5"/>
    <w:uiPriority w:val="9"/>
    <w:semiHidden/>
    <w:rsid w:val="00653D14"/>
    <w:rPr>
      <w:rFonts w:asciiTheme="majorHAnsi" w:eastAsiaTheme="majorEastAsia" w:hAnsiTheme="majorHAnsi" w:cstheme="majorBidi"/>
      <w:color w:val="2F5496" w:themeColor="accent1" w:themeShade="BF"/>
      <w:sz w:val="24"/>
      <w:szCs w:val="24"/>
    </w:rPr>
  </w:style>
  <w:style w:type="character" w:customStyle="1" w:styleId="Heading6Char">
    <w:name w:val="Heading 6 Char"/>
    <w:basedOn w:val="DefaultParagraphFont"/>
    <w:link w:val="Heading6"/>
    <w:uiPriority w:val="9"/>
    <w:semiHidden/>
    <w:rsid w:val="00653D14"/>
    <w:rPr>
      <w:rFonts w:asciiTheme="majorHAnsi" w:eastAsiaTheme="majorEastAsia" w:hAnsiTheme="majorHAnsi" w:cstheme="majorBidi"/>
      <w:color w:val="1F3763" w:themeColor="accent1" w:themeShade="7F"/>
      <w:sz w:val="24"/>
      <w:szCs w:val="24"/>
    </w:rPr>
  </w:style>
  <w:style w:type="character" w:customStyle="1" w:styleId="Heading7Char">
    <w:name w:val="Heading 7 Char"/>
    <w:basedOn w:val="DefaultParagraphFont"/>
    <w:link w:val="Heading7"/>
    <w:uiPriority w:val="9"/>
    <w:semiHidden/>
    <w:rsid w:val="00653D14"/>
    <w:rPr>
      <w:rFonts w:asciiTheme="majorHAnsi" w:eastAsiaTheme="majorEastAsia" w:hAnsiTheme="majorHAnsi" w:cstheme="majorBidi"/>
      <w:i/>
      <w:iCs/>
      <w:color w:val="1F3763" w:themeColor="accent1" w:themeShade="7F"/>
      <w:sz w:val="24"/>
      <w:szCs w:val="24"/>
    </w:rPr>
  </w:style>
  <w:style w:type="character" w:customStyle="1" w:styleId="Heading8Char">
    <w:name w:val="Heading 8 Char"/>
    <w:basedOn w:val="DefaultParagraphFont"/>
    <w:link w:val="Heading8"/>
    <w:uiPriority w:val="9"/>
    <w:semiHidden/>
    <w:rsid w:val="00653D1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53D14"/>
    <w:rPr>
      <w:rFonts w:asciiTheme="majorHAnsi" w:eastAsiaTheme="majorEastAsia" w:hAnsiTheme="majorHAnsi" w:cstheme="majorBidi"/>
      <w:i/>
      <w:iCs/>
      <w:color w:val="272727" w:themeColor="text1" w:themeTint="D8"/>
      <w:sz w:val="21"/>
      <w:szCs w:val="21"/>
    </w:rPr>
  </w:style>
  <w:style w:type="numbering" w:customStyle="1" w:styleId="CurrentList2">
    <w:name w:val="Current List2"/>
    <w:uiPriority w:val="99"/>
    <w:rsid w:val="0080407B"/>
    <w:pPr>
      <w:numPr>
        <w:numId w:val="28"/>
      </w:numPr>
    </w:pPr>
  </w:style>
  <w:style w:type="numbering" w:customStyle="1" w:styleId="CurrentList3">
    <w:name w:val="Current List3"/>
    <w:uiPriority w:val="99"/>
    <w:rsid w:val="0080407B"/>
    <w:pPr>
      <w:numPr>
        <w:numId w:val="29"/>
      </w:numPr>
    </w:pPr>
  </w:style>
  <w:style w:type="paragraph" w:customStyle="1" w:styleId="Body">
    <w:name w:val="Body"/>
    <w:basedOn w:val="Normal"/>
    <w:qFormat/>
    <w:rsid w:val="0079694C"/>
    <w:pPr>
      <w:spacing w:after="180" w:line="300" w:lineRule="auto"/>
      <w:jc w:val="both"/>
    </w:pPr>
  </w:style>
  <w:style w:type="paragraph" w:customStyle="1" w:styleId="Figurecaption">
    <w:name w:val="Figure caption"/>
    <w:basedOn w:val="Normal"/>
    <w:qFormat/>
    <w:rsid w:val="00CC1912"/>
    <w:rPr>
      <w:rFonts w:ascii="Times New Roman" w:hAnsi="Times New Roman"/>
      <w:sz w:val="18"/>
      <w:szCs w:val="18"/>
    </w:rPr>
  </w:style>
  <w:style w:type="paragraph" w:customStyle="1" w:styleId="xmsonormal">
    <w:name w:val="x_msonormal"/>
    <w:basedOn w:val="Normal"/>
    <w:rsid w:val="006B7F7E"/>
    <w:pPr>
      <w:spacing w:before="100" w:beforeAutospacing="1" w:after="100" w:afterAutospacing="1" w:line="240" w:lineRule="auto"/>
    </w:pPr>
    <w:rPr>
      <w:rFonts w:ascii="Times New Roman" w:eastAsia="Times New Roman" w:hAnsi="Times New Roman" w:cs="Times New Roman"/>
      <w:lang w:eastAsia="en-AU"/>
    </w:rPr>
  </w:style>
  <w:style w:type="paragraph" w:customStyle="1" w:styleId="f-body">
    <w:name w:val="f-body"/>
    <w:basedOn w:val="Normal"/>
    <w:rsid w:val="006B7F7E"/>
    <w:pPr>
      <w:spacing w:before="100" w:beforeAutospacing="1" w:after="100" w:afterAutospacing="1" w:line="240" w:lineRule="auto"/>
    </w:pPr>
    <w:rPr>
      <w:rFonts w:ascii="Times New Roman" w:eastAsia="Times New Roman" w:hAnsi="Times New Roman" w:cs="Times New Roman"/>
      <w:lang w:eastAsia="en-AU"/>
    </w:rPr>
  </w:style>
  <w:style w:type="character" w:styleId="Mention">
    <w:name w:val="Mention"/>
    <w:basedOn w:val="DefaultParagraphFont"/>
    <w:uiPriority w:val="99"/>
    <w:unhideWhenUsed/>
    <w:rsid w:val="002F33E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85051">
      <w:bodyDiv w:val="1"/>
      <w:marLeft w:val="0"/>
      <w:marRight w:val="0"/>
      <w:marTop w:val="0"/>
      <w:marBottom w:val="0"/>
      <w:divBdr>
        <w:top w:val="none" w:sz="0" w:space="0" w:color="auto"/>
        <w:left w:val="none" w:sz="0" w:space="0" w:color="auto"/>
        <w:bottom w:val="none" w:sz="0" w:space="0" w:color="auto"/>
        <w:right w:val="none" w:sz="0" w:space="0" w:color="auto"/>
      </w:divBdr>
      <w:divsChild>
        <w:div w:id="34741043">
          <w:marLeft w:val="0"/>
          <w:marRight w:val="0"/>
          <w:marTop w:val="0"/>
          <w:marBottom w:val="0"/>
          <w:divBdr>
            <w:top w:val="none" w:sz="0" w:space="0" w:color="auto"/>
            <w:left w:val="none" w:sz="0" w:space="0" w:color="auto"/>
            <w:bottom w:val="none" w:sz="0" w:space="0" w:color="auto"/>
            <w:right w:val="none" w:sz="0" w:space="0" w:color="auto"/>
          </w:divBdr>
          <w:divsChild>
            <w:div w:id="247811831">
              <w:marLeft w:val="0"/>
              <w:marRight w:val="0"/>
              <w:marTop w:val="0"/>
              <w:marBottom w:val="0"/>
              <w:divBdr>
                <w:top w:val="none" w:sz="0" w:space="0" w:color="auto"/>
                <w:left w:val="none" w:sz="0" w:space="0" w:color="auto"/>
                <w:bottom w:val="none" w:sz="0" w:space="0" w:color="auto"/>
                <w:right w:val="none" w:sz="0" w:space="0" w:color="auto"/>
              </w:divBdr>
              <w:divsChild>
                <w:div w:id="211458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23742">
      <w:bodyDiv w:val="1"/>
      <w:marLeft w:val="0"/>
      <w:marRight w:val="0"/>
      <w:marTop w:val="0"/>
      <w:marBottom w:val="0"/>
      <w:divBdr>
        <w:top w:val="none" w:sz="0" w:space="0" w:color="auto"/>
        <w:left w:val="none" w:sz="0" w:space="0" w:color="auto"/>
        <w:bottom w:val="none" w:sz="0" w:space="0" w:color="auto"/>
        <w:right w:val="none" w:sz="0" w:space="0" w:color="auto"/>
      </w:divBdr>
      <w:divsChild>
        <w:div w:id="1284312492">
          <w:marLeft w:val="0"/>
          <w:marRight w:val="0"/>
          <w:marTop w:val="0"/>
          <w:marBottom w:val="0"/>
          <w:divBdr>
            <w:top w:val="none" w:sz="0" w:space="0" w:color="auto"/>
            <w:left w:val="none" w:sz="0" w:space="0" w:color="auto"/>
            <w:bottom w:val="none" w:sz="0" w:space="0" w:color="auto"/>
            <w:right w:val="none" w:sz="0" w:space="0" w:color="auto"/>
          </w:divBdr>
        </w:div>
      </w:divsChild>
    </w:div>
    <w:div w:id="148640469">
      <w:bodyDiv w:val="1"/>
      <w:marLeft w:val="0"/>
      <w:marRight w:val="0"/>
      <w:marTop w:val="0"/>
      <w:marBottom w:val="0"/>
      <w:divBdr>
        <w:top w:val="none" w:sz="0" w:space="0" w:color="auto"/>
        <w:left w:val="none" w:sz="0" w:space="0" w:color="auto"/>
        <w:bottom w:val="none" w:sz="0" w:space="0" w:color="auto"/>
        <w:right w:val="none" w:sz="0" w:space="0" w:color="auto"/>
      </w:divBdr>
      <w:divsChild>
        <w:div w:id="1281378489">
          <w:marLeft w:val="0"/>
          <w:marRight w:val="0"/>
          <w:marTop w:val="0"/>
          <w:marBottom w:val="0"/>
          <w:divBdr>
            <w:top w:val="none" w:sz="0" w:space="0" w:color="auto"/>
            <w:left w:val="none" w:sz="0" w:space="0" w:color="auto"/>
            <w:bottom w:val="none" w:sz="0" w:space="0" w:color="auto"/>
            <w:right w:val="none" w:sz="0" w:space="0" w:color="auto"/>
          </w:divBdr>
        </w:div>
      </w:divsChild>
    </w:div>
    <w:div w:id="165441971">
      <w:bodyDiv w:val="1"/>
      <w:marLeft w:val="0"/>
      <w:marRight w:val="0"/>
      <w:marTop w:val="0"/>
      <w:marBottom w:val="0"/>
      <w:divBdr>
        <w:top w:val="none" w:sz="0" w:space="0" w:color="auto"/>
        <w:left w:val="none" w:sz="0" w:space="0" w:color="auto"/>
        <w:bottom w:val="none" w:sz="0" w:space="0" w:color="auto"/>
        <w:right w:val="none" w:sz="0" w:space="0" w:color="auto"/>
      </w:divBdr>
    </w:div>
    <w:div w:id="198322209">
      <w:bodyDiv w:val="1"/>
      <w:marLeft w:val="0"/>
      <w:marRight w:val="0"/>
      <w:marTop w:val="0"/>
      <w:marBottom w:val="0"/>
      <w:divBdr>
        <w:top w:val="none" w:sz="0" w:space="0" w:color="auto"/>
        <w:left w:val="none" w:sz="0" w:space="0" w:color="auto"/>
        <w:bottom w:val="none" w:sz="0" w:space="0" w:color="auto"/>
        <w:right w:val="none" w:sz="0" w:space="0" w:color="auto"/>
      </w:divBdr>
    </w:div>
    <w:div w:id="225184617">
      <w:bodyDiv w:val="1"/>
      <w:marLeft w:val="0"/>
      <w:marRight w:val="0"/>
      <w:marTop w:val="0"/>
      <w:marBottom w:val="0"/>
      <w:divBdr>
        <w:top w:val="none" w:sz="0" w:space="0" w:color="auto"/>
        <w:left w:val="none" w:sz="0" w:space="0" w:color="auto"/>
        <w:bottom w:val="none" w:sz="0" w:space="0" w:color="auto"/>
        <w:right w:val="none" w:sz="0" w:space="0" w:color="auto"/>
      </w:divBdr>
      <w:divsChild>
        <w:div w:id="627976257">
          <w:marLeft w:val="0"/>
          <w:marRight w:val="0"/>
          <w:marTop w:val="0"/>
          <w:marBottom w:val="150"/>
          <w:divBdr>
            <w:top w:val="none" w:sz="0" w:space="0" w:color="auto"/>
            <w:left w:val="none" w:sz="0" w:space="0" w:color="auto"/>
            <w:bottom w:val="none" w:sz="0" w:space="0" w:color="auto"/>
            <w:right w:val="none" w:sz="0" w:space="0" w:color="auto"/>
          </w:divBdr>
          <w:divsChild>
            <w:div w:id="1706325241">
              <w:marLeft w:val="0"/>
              <w:marRight w:val="0"/>
              <w:marTop w:val="0"/>
              <w:marBottom w:val="0"/>
              <w:divBdr>
                <w:top w:val="none" w:sz="0" w:space="0" w:color="auto"/>
                <w:left w:val="none" w:sz="0" w:space="0" w:color="auto"/>
                <w:bottom w:val="none" w:sz="0" w:space="0" w:color="auto"/>
                <w:right w:val="none" w:sz="0" w:space="0" w:color="auto"/>
              </w:divBdr>
              <w:divsChild>
                <w:div w:id="271472795">
                  <w:marLeft w:val="0"/>
                  <w:marRight w:val="0"/>
                  <w:marTop w:val="0"/>
                  <w:marBottom w:val="0"/>
                  <w:divBdr>
                    <w:top w:val="none" w:sz="0" w:space="0" w:color="auto"/>
                    <w:left w:val="none" w:sz="0" w:space="0" w:color="auto"/>
                    <w:bottom w:val="none" w:sz="0" w:space="0" w:color="auto"/>
                    <w:right w:val="none" w:sz="0" w:space="0" w:color="auto"/>
                  </w:divBdr>
                  <w:divsChild>
                    <w:div w:id="24033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841470">
          <w:marLeft w:val="0"/>
          <w:marRight w:val="0"/>
          <w:marTop w:val="30"/>
          <w:marBottom w:val="60"/>
          <w:divBdr>
            <w:top w:val="none" w:sz="0" w:space="0" w:color="auto"/>
            <w:left w:val="none" w:sz="0" w:space="0" w:color="auto"/>
            <w:bottom w:val="none" w:sz="0" w:space="0" w:color="auto"/>
            <w:right w:val="none" w:sz="0" w:space="0" w:color="auto"/>
          </w:divBdr>
          <w:divsChild>
            <w:div w:id="465204151">
              <w:marLeft w:val="0"/>
              <w:marRight w:val="0"/>
              <w:marTop w:val="0"/>
              <w:marBottom w:val="0"/>
              <w:divBdr>
                <w:top w:val="none" w:sz="0" w:space="0" w:color="auto"/>
                <w:left w:val="none" w:sz="0" w:space="0" w:color="auto"/>
                <w:bottom w:val="none" w:sz="0" w:space="0" w:color="auto"/>
                <w:right w:val="none" w:sz="0" w:space="0" w:color="auto"/>
              </w:divBdr>
              <w:divsChild>
                <w:div w:id="507671310">
                  <w:marLeft w:val="0"/>
                  <w:marRight w:val="0"/>
                  <w:marTop w:val="0"/>
                  <w:marBottom w:val="0"/>
                  <w:divBdr>
                    <w:top w:val="none" w:sz="0" w:space="0" w:color="auto"/>
                    <w:left w:val="none" w:sz="0" w:space="0" w:color="auto"/>
                    <w:bottom w:val="none" w:sz="0" w:space="0" w:color="auto"/>
                    <w:right w:val="none" w:sz="0" w:space="0" w:color="auto"/>
                  </w:divBdr>
                  <w:divsChild>
                    <w:div w:id="710228193">
                      <w:marLeft w:val="0"/>
                      <w:marRight w:val="0"/>
                      <w:marTop w:val="0"/>
                      <w:marBottom w:val="0"/>
                      <w:divBdr>
                        <w:top w:val="none" w:sz="0" w:space="0" w:color="auto"/>
                        <w:left w:val="none" w:sz="0" w:space="0" w:color="auto"/>
                        <w:bottom w:val="none" w:sz="0" w:space="0" w:color="auto"/>
                        <w:right w:val="none" w:sz="0" w:space="0" w:color="auto"/>
                      </w:divBdr>
                      <w:divsChild>
                        <w:div w:id="170329010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2128504339">
          <w:marLeft w:val="0"/>
          <w:marRight w:val="0"/>
          <w:marTop w:val="0"/>
          <w:marBottom w:val="0"/>
          <w:divBdr>
            <w:top w:val="none" w:sz="0" w:space="0" w:color="auto"/>
            <w:left w:val="none" w:sz="0" w:space="0" w:color="auto"/>
            <w:bottom w:val="none" w:sz="0" w:space="0" w:color="auto"/>
            <w:right w:val="none" w:sz="0" w:space="0" w:color="auto"/>
          </w:divBdr>
          <w:divsChild>
            <w:div w:id="186694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710429">
      <w:bodyDiv w:val="1"/>
      <w:marLeft w:val="0"/>
      <w:marRight w:val="0"/>
      <w:marTop w:val="0"/>
      <w:marBottom w:val="0"/>
      <w:divBdr>
        <w:top w:val="none" w:sz="0" w:space="0" w:color="auto"/>
        <w:left w:val="none" w:sz="0" w:space="0" w:color="auto"/>
        <w:bottom w:val="none" w:sz="0" w:space="0" w:color="auto"/>
        <w:right w:val="none" w:sz="0" w:space="0" w:color="auto"/>
      </w:divBdr>
      <w:divsChild>
        <w:div w:id="241255998">
          <w:marLeft w:val="0"/>
          <w:marRight w:val="0"/>
          <w:marTop w:val="0"/>
          <w:marBottom w:val="0"/>
          <w:divBdr>
            <w:top w:val="none" w:sz="0" w:space="0" w:color="auto"/>
            <w:left w:val="none" w:sz="0" w:space="0" w:color="auto"/>
            <w:bottom w:val="none" w:sz="0" w:space="0" w:color="auto"/>
            <w:right w:val="none" w:sz="0" w:space="0" w:color="auto"/>
          </w:divBdr>
          <w:divsChild>
            <w:div w:id="25566277">
              <w:marLeft w:val="0"/>
              <w:marRight w:val="0"/>
              <w:marTop w:val="0"/>
              <w:marBottom w:val="0"/>
              <w:divBdr>
                <w:top w:val="none" w:sz="0" w:space="0" w:color="auto"/>
                <w:left w:val="none" w:sz="0" w:space="0" w:color="auto"/>
                <w:bottom w:val="none" w:sz="0" w:space="0" w:color="auto"/>
                <w:right w:val="none" w:sz="0" w:space="0" w:color="auto"/>
              </w:divBdr>
              <w:divsChild>
                <w:div w:id="299463908">
                  <w:marLeft w:val="0"/>
                  <w:marRight w:val="0"/>
                  <w:marTop w:val="0"/>
                  <w:marBottom w:val="0"/>
                  <w:divBdr>
                    <w:top w:val="none" w:sz="0" w:space="0" w:color="auto"/>
                    <w:left w:val="none" w:sz="0" w:space="0" w:color="auto"/>
                    <w:bottom w:val="none" w:sz="0" w:space="0" w:color="auto"/>
                    <w:right w:val="none" w:sz="0" w:space="0" w:color="auto"/>
                  </w:divBdr>
                  <w:divsChild>
                    <w:div w:id="183162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281673">
          <w:marLeft w:val="0"/>
          <w:marRight w:val="0"/>
          <w:marTop w:val="0"/>
          <w:marBottom w:val="0"/>
          <w:divBdr>
            <w:top w:val="none" w:sz="0" w:space="0" w:color="auto"/>
            <w:left w:val="none" w:sz="0" w:space="0" w:color="auto"/>
            <w:bottom w:val="none" w:sz="0" w:space="0" w:color="auto"/>
            <w:right w:val="none" w:sz="0" w:space="0" w:color="auto"/>
          </w:divBdr>
          <w:divsChild>
            <w:div w:id="686567216">
              <w:marLeft w:val="0"/>
              <w:marRight w:val="0"/>
              <w:marTop w:val="0"/>
              <w:marBottom w:val="0"/>
              <w:divBdr>
                <w:top w:val="none" w:sz="0" w:space="0" w:color="auto"/>
                <w:left w:val="none" w:sz="0" w:space="0" w:color="auto"/>
                <w:bottom w:val="none" w:sz="0" w:space="0" w:color="auto"/>
                <w:right w:val="none" w:sz="0" w:space="0" w:color="auto"/>
              </w:divBdr>
              <w:divsChild>
                <w:div w:id="126060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922476">
      <w:bodyDiv w:val="1"/>
      <w:marLeft w:val="0"/>
      <w:marRight w:val="0"/>
      <w:marTop w:val="0"/>
      <w:marBottom w:val="0"/>
      <w:divBdr>
        <w:top w:val="none" w:sz="0" w:space="0" w:color="auto"/>
        <w:left w:val="none" w:sz="0" w:space="0" w:color="auto"/>
        <w:bottom w:val="none" w:sz="0" w:space="0" w:color="auto"/>
        <w:right w:val="none" w:sz="0" w:space="0" w:color="auto"/>
      </w:divBdr>
      <w:divsChild>
        <w:div w:id="311836230">
          <w:marLeft w:val="0"/>
          <w:marRight w:val="0"/>
          <w:marTop w:val="75"/>
          <w:marBottom w:val="300"/>
          <w:divBdr>
            <w:top w:val="none" w:sz="0" w:space="0" w:color="auto"/>
            <w:left w:val="none" w:sz="0" w:space="0" w:color="auto"/>
            <w:bottom w:val="none" w:sz="0" w:space="0" w:color="auto"/>
            <w:right w:val="none" w:sz="0" w:space="0" w:color="auto"/>
          </w:divBdr>
        </w:div>
        <w:div w:id="1618559298">
          <w:marLeft w:val="0"/>
          <w:marRight w:val="0"/>
          <w:marTop w:val="75"/>
          <w:marBottom w:val="0"/>
          <w:divBdr>
            <w:top w:val="none" w:sz="0" w:space="0" w:color="auto"/>
            <w:left w:val="none" w:sz="0" w:space="0" w:color="auto"/>
            <w:bottom w:val="none" w:sz="0" w:space="0" w:color="auto"/>
            <w:right w:val="none" w:sz="0" w:space="0" w:color="auto"/>
          </w:divBdr>
        </w:div>
      </w:divsChild>
    </w:div>
    <w:div w:id="288123800">
      <w:bodyDiv w:val="1"/>
      <w:marLeft w:val="0"/>
      <w:marRight w:val="0"/>
      <w:marTop w:val="0"/>
      <w:marBottom w:val="0"/>
      <w:divBdr>
        <w:top w:val="none" w:sz="0" w:space="0" w:color="auto"/>
        <w:left w:val="none" w:sz="0" w:space="0" w:color="auto"/>
        <w:bottom w:val="none" w:sz="0" w:space="0" w:color="auto"/>
        <w:right w:val="none" w:sz="0" w:space="0" w:color="auto"/>
      </w:divBdr>
      <w:divsChild>
        <w:div w:id="393311487">
          <w:marLeft w:val="0"/>
          <w:marRight w:val="0"/>
          <w:marTop w:val="0"/>
          <w:marBottom w:val="0"/>
          <w:divBdr>
            <w:top w:val="none" w:sz="0" w:space="0" w:color="auto"/>
            <w:left w:val="none" w:sz="0" w:space="0" w:color="auto"/>
            <w:bottom w:val="none" w:sz="0" w:space="0" w:color="auto"/>
            <w:right w:val="none" w:sz="0" w:space="0" w:color="auto"/>
          </w:divBdr>
        </w:div>
      </w:divsChild>
    </w:div>
    <w:div w:id="309603280">
      <w:bodyDiv w:val="1"/>
      <w:marLeft w:val="0"/>
      <w:marRight w:val="0"/>
      <w:marTop w:val="0"/>
      <w:marBottom w:val="0"/>
      <w:divBdr>
        <w:top w:val="none" w:sz="0" w:space="0" w:color="auto"/>
        <w:left w:val="none" w:sz="0" w:space="0" w:color="auto"/>
        <w:bottom w:val="none" w:sz="0" w:space="0" w:color="auto"/>
        <w:right w:val="none" w:sz="0" w:space="0" w:color="auto"/>
      </w:divBdr>
      <w:divsChild>
        <w:div w:id="991055888">
          <w:marLeft w:val="0"/>
          <w:marRight w:val="0"/>
          <w:marTop w:val="0"/>
          <w:marBottom w:val="0"/>
          <w:divBdr>
            <w:top w:val="none" w:sz="0" w:space="0" w:color="auto"/>
            <w:left w:val="none" w:sz="0" w:space="0" w:color="auto"/>
            <w:bottom w:val="none" w:sz="0" w:space="0" w:color="auto"/>
            <w:right w:val="none" w:sz="0" w:space="0" w:color="auto"/>
          </w:divBdr>
        </w:div>
      </w:divsChild>
    </w:div>
    <w:div w:id="334386470">
      <w:bodyDiv w:val="1"/>
      <w:marLeft w:val="0"/>
      <w:marRight w:val="0"/>
      <w:marTop w:val="0"/>
      <w:marBottom w:val="0"/>
      <w:divBdr>
        <w:top w:val="none" w:sz="0" w:space="0" w:color="auto"/>
        <w:left w:val="none" w:sz="0" w:space="0" w:color="auto"/>
        <w:bottom w:val="none" w:sz="0" w:space="0" w:color="auto"/>
        <w:right w:val="none" w:sz="0" w:space="0" w:color="auto"/>
      </w:divBdr>
    </w:div>
    <w:div w:id="367219143">
      <w:bodyDiv w:val="1"/>
      <w:marLeft w:val="0"/>
      <w:marRight w:val="0"/>
      <w:marTop w:val="0"/>
      <w:marBottom w:val="0"/>
      <w:divBdr>
        <w:top w:val="none" w:sz="0" w:space="0" w:color="auto"/>
        <w:left w:val="none" w:sz="0" w:space="0" w:color="auto"/>
        <w:bottom w:val="none" w:sz="0" w:space="0" w:color="auto"/>
        <w:right w:val="none" w:sz="0" w:space="0" w:color="auto"/>
      </w:divBdr>
    </w:div>
    <w:div w:id="387801220">
      <w:bodyDiv w:val="1"/>
      <w:marLeft w:val="0"/>
      <w:marRight w:val="0"/>
      <w:marTop w:val="0"/>
      <w:marBottom w:val="0"/>
      <w:divBdr>
        <w:top w:val="none" w:sz="0" w:space="0" w:color="auto"/>
        <w:left w:val="none" w:sz="0" w:space="0" w:color="auto"/>
        <w:bottom w:val="none" w:sz="0" w:space="0" w:color="auto"/>
        <w:right w:val="none" w:sz="0" w:space="0" w:color="auto"/>
      </w:divBdr>
      <w:divsChild>
        <w:div w:id="2009206826">
          <w:marLeft w:val="0"/>
          <w:marRight w:val="0"/>
          <w:marTop w:val="0"/>
          <w:marBottom w:val="0"/>
          <w:divBdr>
            <w:top w:val="none" w:sz="0" w:space="0" w:color="auto"/>
            <w:left w:val="none" w:sz="0" w:space="0" w:color="auto"/>
            <w:bottom w:val="none" w:sz="0" w:space="0" w:color="auto"/>
            <w:right w:val="none" w:sz="0" w:space="0" w:color="auto"/>
          </w:divBdr>
          <w:divsChild>
            <w:div w:id="1462724388">
              <w:marLeft w:val="0"/>
              <w:marRight w:val="0"/>
              <w:marTop w:val="0"/>
              <w:marBottom w:val="0"/>
              <w:divBdr>
                <w:top w:val="none" w:sz="0" w:space="0" w:color="auto"/>
                <w:left w:val="none" w:sz="0" w:space="0" w:color="auto"/>
                <w:bottom w:val="none" w:sz="0" w:space="0" w:color="auto"/>
                <w:right w:val="none" w:sz="0" w:space="0" w:color="auto"/>
              </w:divBdr>
              <w:divsChild>
                <w:div w:id="138687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4808480">
      <w:bodyDiv w:val="1"/>
      <w:marLeft w:val="0"/>
      <w:marRight w:val="0"/>
      <w:marTop w:val="0"/>
      <w:marBottom w:val="0"/>
      <w:divBdr>
        <w:top w:val="none" w:sz="0" w:space="0" w:color="auto"/>
        <w:left w:val="none" w:sz="0" w:space="0" w:color="auto"/>
        <w:bottom w:val="none" w:sz="0" w:space="0" w:color="auto"/>
        <w:right w:val="none" w:sz="0" w:space="0" w:color="auto"/>
      </w:divBdr>
    </w:div>
    <w:div w:id="543100465">
      <w:bodyDiv w:val="1"/>
      <w:marLeft w:val="0"/>
      <w:marRight w:val="0"/>
      <w:marTop w:val="0"/>
      <w:marBottom w:val="0"/>
      <w:divBdr>
        <w:top w:val="none" w:sz="0" w:space="0" w:color="auto"/>
        <w:left w:val="none" w:sz="0" w:space="0" w:color="auto"/>
        <w:bottom w:val="none" w:sz="0" w:space="0" w:color="auto"/>
        <w:right w:val="none" w:sz="0" w:space="0" w:color="auto"/>
      </w:divBdr>
      <w:divsChild>
        <w:div w:id="332925003">
          <w:marLeft w:val="0"/>
          <w:marRight w:val="0"/>
          <w:marTop w:val="0"/>
          <w:marBottom w:val="0"/>
          <w:divBdr>
            <w:top w:val="none" w:sz="0" w:space="0" w:color="auto"/>
            <w:left w:val="none" w:sz="0" w:space="0" w:color="auto"/>
            <w:bottom w:val="none" w:sz="0" w:space="0" w:color="auto"/>
            <w:right w:val="none" w:sz="0" w:space="0" w:color="auto"/>
          </w:divBdr>
        </w:div>
      </w:divsChild>
    </w:div>
    <w:div w:id="583338794">
      <w:bodyDiv w:val="1"/>
      <w:marLeft w:val="0"/>
      <w:marRight w:val="0"/>
      <w:marTop w:val="0"/>
      <w:marBottom w:val="0"/>
      <w:divBdr>
        <w:top w:val="none" w:sz="0" w:space="0" w:color="auto"/>
        <w:left w:val="none" w:sz="0" w:space="0" w:color="auto"/>
        <w:bottom w:val="none" w:sz="0" w:space="0" w:color="auto"/>
        <w:right w:val="none" w:sz="0" w:space="0" w:color="auto"/>
      </w:divBdr>
      <w:divsChild>
        <w:div w:id="2081638920">
          <w:marLeft w:val="0"/>
          <w:marRight w:val="0"/>
          <w:marTop w:val="0"/>
          <w:marBottom w:val="0"/>
          <w:divBdr>
            <w:top w:val="none" w:sz="0" w:space="0" w:color="auto"/>
            <w:left w:val="none" w:sz="0" w:space="0" w:color="auto"/>
            <w:bottom w:val="none" w:sz="0" w:space="0" w:color="auto"/>
            <w:right w:val="none" w:sz="0" w:space="0" w:color="auto"/>
          </w:divBdr>
        </w:div>
      </w:divsChild>
    </w:div>
    <w:div w:id="640618749">
      <w:bodyDiv w:val="1"/>
      <w:marLeft w:val="0"/>
      <w:marRight w:val="0"/>
      <w:marTop w:val="0"/>
      <w:marBottom w:val="0"/>
      <w:divBdr>
        <w:top w:val="none" w:sz="0" w:space="0" w:color="auto"/>
        <w:left w:val="none" w:sz="0" w:space="0" w:color="auto"/>
        <w:bottom w:val="none" w:sz="0" w:space="0" w:color="auto"/>
        <w:right w:val="none" w:sz="0" w:space="0" w:color="auto"/>
      </w:divBdr>
      <w:divsChild>
        <w:div w:id="411393638">
          <w:marLeft w:val="0"/>
          <w:marRight w:val="0"/>
          <w:marTop w:val="0"/>
          <w:marBottom w:val="0"/>
          <w:divBdr>
            <w:top w:val="none" w:sz="0" w:space="0" w:color="auto"/>
            <w:left w:val="none" w:sz="0" w:space="0" w:color="auto"/>
            <w:bottom w:val="none" w:sz="0" w:space="0" w:color="auto"/>
            <w:right w:val="none" w:sz="0" w:space="0" w:color="auto"/>
          </w:divBdr>
          <w:divsChild>
            <w:div w:id="116029125">
              <w:marLeft w:val="0"/>
              <w:marRight w:val="0"/>
              <w:marTop w:val="0"/>
              <w:marBottom w:val="0"/>
              <w:divBdr>
                <w:top w:val="none" w:sz="0" w:space="0" w:color="auto"/>
                <w:left w:val="none" w:sz="0" w:space="0" w:color="auto"/>
                <w:bottom w:val="none" w:sz="0" w:space="0" w:color="auto"/>
                <w:right w:val="none" w:sz="0" w:space="0" w:color="auto"/>
              </w:divBdr>
              <w:divsChild>
                <w:div w:id="3296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103509">
          <w:marLeft w:val="0"/>
          <w:marRight w:val="0"/>
          <w:marTop w:val="0"/>
          <w:marBottom w:val="0"/>
          <w:divBdr>
            <w:top w:val="none" w:sz="0" w:space="0" w:color="auto"/>
            <w:left w:val="none" w:sz="0" w:space="0" w:color="auto"/>
            <w:bottom w:val="none" w:sz="0" w:space="0" w:color="auto"/>
            <w:right w:val="none" w:sz="0" w:space="0" w:color="auto"/>
          </w:divBdr>
          <w:divsChild>
            <w:div w:id="106972266">
              <w:marLeft w:val="0"/>
              <w:marRight w:val="0"/>
              <w:marTop w:val="0"/>
              <w:marBottom w:val="0"/>
              <w:divBdr>
                <w:top w:val="none" w:sz="0" w:space="0" w:color="auto"/>
                <w:left w:val="none" w:sz="0" w:space="0" w:color="auto"/>
                <w:bottom w:val="none" w:sz="0" w:space="0" w:color="auto"/>
                <w:right w:val="none" w:sz="0" w:space="0" w:color="auto"/>
              </w:divBdr>
              <w:divsChild>
                <w:div w:id="968629774">
                  <w:marLeft w:val="0"/>
                  <w:marRight w:val="0"/>
                  <w:marTop w:val="0"/>
                  <w:marBottom w:val="0"/>
                  <w:divBdr>
                    <w:top w:val="none" w:sz="0" w:space="0" w:color="auto"/>
                    <w:left w:val="none" w:sz="0" w:space="0" w:color="auto"/>
                    <w:bottom w:val="none" w:sz="0" w:space="0" w:color="auto"/>
                    <w:right w:val="none" w:sz="0" w:space="0" w:color="auto"/>
                  </w:divBdr>
                  <w:divsChild>
                    <w:div w:id="69547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3856813">
      <w:bodyDiv w:val="1"/>
      <w:marLeft w:val="0"/>
      <w:marRight w:val="0"/>
      <w:marTop w:val="0"/>
      <w:marBottom w:val="0"/>
      <w:divBdr>
        <w:top w:val="none" w:sz="0" w:space="0" w:color="auto"/>
        <w:left w:val="none" w:sz="0" w:space="0" w:color="auto"/>
        <w:bottom w:val="none" w:sz="0" w:space="0" w:color="auto"/>
        <w:right w:val="none" w:sz="0" w:space="0" w:color="auto"/>
      </w:divBdr>
    </w:div>
    <w:div w:id="645743336">
      <w:bodyDiv w:val="1"/>
      <w:marLeft w:val="0"/>
      <w:marRight w:val="0"/>
      <w:marTop w:val="0"/>
      <w:marBottom w:val="0"/>
      <w:divBdr>
        <w:top w:val="none" w:sz="0" w:space="0" w:color="auto"/>
        <w:left w:val="none" w:sz="0" w:space="0" w:color="auto"/>
        <w:bottom w:val="none" w:sz="0" w:space="0" w:color="auto"/>
        <w:right w:val="none" w:sz="0" w:space="0" w:color="auto"/>
      </w:divBdr>
    </w:div>
    <w:div w:id="864827100">
      <w:bodyDiv w:val="1"/>
      <w:marLeft w:val="0"/>
      <w:marRight w:val="0"/>
      <w:marTop w:val="0"/>
      <w:marBottom w:val="0"/>
      <w:divBdr>
        <w:top w:val="none" w:sz="0" w:space="0" w:color="auto"/>
        <w:left w:val="none" w:sz="0" w:space="0" w:color="auto"/>
        <w:bottom w:val="none" w:sz="0" w:space="0" w:color="auto"/>
        <w:right w:val="none" w:sz="0" w:space="0" w:color="auto"/>
      </w:divBdr>
      <w:divsChild>
        <w:div w:id="1575356538">
          <w:marLeft w:val="0"/>
          <w:marRight w:val="0"/>
          <w:marTop w:val="0"/>
          <w:marBottom w:val="0"/>
          <w:divBdr>
            <w:top w:val="none" w:sz="0" w:space="0" w:color="auto"/>
            <w:left w:val="none" w:sz="0" w:space="0" w:color="auto"/>
            <w:bottom w:val="none" w:sz="0" w:space="0" w:color="auto"/>
            <w:right w:val="none" w:sz="0" w:space="0" w:color="auto"/>
          </w:divBdr>
          <w:divsChild>
            <w:div w:id="738554250">
              <w:marLeft w:val="0"/>
              <w:marRight w:val="0"/>
              <w:marTop w:val="0"/>
              <w:marBottom w:val="0"/>
              <w:divBdr>
                <w:top w:val="none" w:sz="0" w:space="0" w:color="auto"/>
                <w:left w:val="none" w:sz="0" w:space="0" w:color="auto"/>
                <w:bottom w:val="none" w:sz="0" w:space="0" w:color="auto"/>
                <w:right w:val="none" w:sz="0" w:space="0" w:color="auto"/>
              </w:divBdr>
              <w:divsChild>
                <w:div w:id="141092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228697">
          <w:marLeft w:val="0"/>
          <w:marRight w:val="0"/>
          <w:marTop w:val="0"/>
          <w:marBottom w:val="0"/>
          <w:divBdr>
            <w:top w:val="none" w:sz="0" w:space="0" w:color="auto"/>
            <w:left w:val="none" w:sz="0" w:space="0" w:color="auto"/>
            <w:bottom w:val="none" w:sz="0" w:space="0" w:color="auto"/>
            <w:right w:val="none" w:sz="0" w:space="0" w:color="auto"/>
          </w:divBdr>
          <w:divsChild>
            <w:div w:id="152454451">
              <w:marLeft w:val="0"/>
              <w:marRight w:val="0"/>
              <w:marTop w:val="0"/>
              <w:marBottom w:val="0"/>
              <w:divBdr>
                <w:top w:val="none" w:sz="0" w:space="0" w:color="auto"/>
                <w:left w:val="none" w:sz="0" w:space="0" w:color="auto"/>
                <w:bottom w:val="none" w:sz="0" w:space="0" w:color="auto"/>
                <w:right w:val="none" w:sz="0" w:space="0" w:color="auto"/>
              </w:divBdr>
              <w:divsChild>
                <w:div w:id="1349746527">
                  <w:marLeft w:val="0"/>
                  <w:marRight w:val="0"/>
                  <w:marTop w:val="0"/>
                  <w:marBottom w:val="0"/>
                  <w:divBdr>
                    <w:top w:val="none" w:sz="0" w:space="0" w:color="auto"/>
                    <w:left w:val="none" w:sz="0" w:space="0" w:color="auto"/>
                    <w:bottom w:val="none" w:sz="0" w:space="0" w:color="auto"/>
                    <w:right w:val="none" w:sz="0" w:space="0" w:color="auto"/>
                  </w:divBdr>
                  <w:divsChild>
                    <w:div w:id="1973632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1695855">
      <w:bodyDiv w:val="1"/>
      <w:marLeft w:val="0"/>
      <w:marRight w:val="0"/>
      <w:marTop w:val="0"/>
      <w:marBottom w:val="0"/>
      <w:divBdr>
        <w:top w:val="none" w:sz="0" w:space="0" w:color="auto"/>
        <w:left w:val="none" w:sz="0" w:space="0" w:color="auto"/>
        <w:bottom w:val="none" w:sz="0" w:space="0" w:color="auto"/>
        <w:right w:val="none" w:sz="0" w:space="0" w:color="auto"/>
      </w:divBdr>
      <w:divsChild>
        <w:div w:id="1975863245">
          <w:marLeft w:val="0"/>
          <w:marRight w:val="0"/>
          <w:marTop w:val="0"/>
          <w:marBottom w:val="0"/>
          <w:divBdr>
            <w:top w:val="none" w:sz="0" w:space="0" w:color="auto"/>
            <w:left w:val="none" w:sz="0" w:space="0" w:color="auto"/>
            <w:bottom w:val="none" w:sz="0" w:space="0" w:color="auto"/>
            <w:right w:val="none" w:sz="0" w:space="0" w:color="auto"/>
          </w:divBdr>
        </w:div>
      </w:divsChild>
    </w:div>
    <w:div w:id="872232455">
      <w:bodyDiv w:val="1"/>
      <w:marLeft w:val="0"/>
      <w:marRight w:val="0"/>
      <w:marTop w:val="0"/>
      <w:marBottom w:val="0"/>
      <w:divBdr>
        <w:top w:val="none" w:sz="0" w:space="0" w:color="auto"/>
        <w:left w:val="none" w:sz="0" w:space="0" w:color="auto"/>
        <w:bottom w:val="none" w:sz="0" w:space="0" w:color="auto"/>
        <w:right w:val="none" w:sz="0" w:space="0" w:color="auto"/>
      </w:divBdr>
      <w:divsChild>
        <w:div w:id="164978496">
          <w:marLeft w:val="0"/>
          <w:marRight w:val="0"/>
          <w:marTop w:val="0"/>
          <w:marBottom w:val="0"/>
          <w:divBdr>
            <w:top w:val="none" w:sz="0" w:space="0" w:color="auto"/>
            <w:left w:val="none" w:sz="0" w:space="0" w:color="auto"/>
            <w:bottom w:val="none" w:sz="0" w:space="0" w:color="auto"/>
            <w:right w:val="none" w:sz="0" w:space="0" w:color="auto"/>
          </w:divBdr>
        </w:div>
      </w:divsChild>
    </w:div>
    <w:div w:id="913394216">
      <w:bodyDiv w:val="1"/>
      <w:marLeft w:val="0"/>
      <w:marRight w:val="0"/>
      <w:marTop w:val="0"/>
      <w:marBottom w:val="0"/>
      <w:divBdr>
        <w:top w:val="none" w:sz="0" w:space="0" w:color="auto"/>
        <w:left w:val="none" w:sz="0" w:space="0" w:color="auto"/>
        <w:bottom w:val="none" w:sz="0" w:space="0" w:color="auto"/>
        <w:right w:val="none" w:sz="0" w:space="0" w:color="auto"/>
      </w:divBdr>
      <w:divsChild>
        <w:div w:id="469908512">
          <w:marLeft w:val="0"/>
          <w:marRight w:val="0"/>
          <w:marTop w:val="0"/>
          <w:marBottom w:val="0"/>
          <w:divBdr>
            <w:top w:val="none" w:sz="0" w:space="0" w:color="auto"/>
            <w:left w:val="none" w:sz="0" w:space="0" w:color="auto"/>
            <w:bottom w:val="none" w:sz="0" w:space="0" w:color="auto"/>
            <w:right w:val="none" w:sz="0" w:space="0" w:color="auto"/>
          </w:divBdr>
        </w:div>
      </w:divsChild>
    </w:div>
    <w:div w:id="932400501">
      <w:bodyDiv w:val="1"/>
      <w:marLeft w:val="0"/>
      <w:marRight w:val="0"/>
      <w:marTop w:val="0"/>
      <w:marBottom w:val="0"/>
      <w:divBdr>
        <w:top w:val="none" w:sz="0" w:space="0" w:color="auto"/>
        <w:left w:val="none" w:sz="0" w:space="0" w:color="auto"/>
        <w:bottom w:val="none" w:sz="0" w:space="0" w:color="auto"/>
        <w:right w:val="none" w:sz="0" w:space="0" w:color="auto"/>
      </w:divBdr>
      <w:divsChild>
        <w:div w:id="876549733">
          <w:marLeft w:val="105"/>
          <w:marRight w:val="105"/>
          <w:marTop w:val="0"/>
          <w:marBottom w:val="0"/>
          <w:divBdr>
            <w:top w:val="none" w:sz="0" w:space="0" w:color="auto"/>
            <w:left w:val="none" w:sz="0" w:space="0" w:color="auto"/>
            <w:bottom w:val="none" w:sz="0" w:space="0" w:color="auto"/>
            <w:right w:val="none" w:sz="0" w:space="0" w:color="auto"/>
          </w:divBdr>
          <w:divsChild>
            <w:div w:id="564678529">
              <w:marLeft w:val="0"/>
              <w:marRight w:val="0"/>
              <w:marTop w:val="0"/>
              <w:marBottom w:val="0"/>
              <w:divBdr>
                <w:top w:val="none" w:sz="0" w:space="0" w:color="auto"/>
                <w:left w:val="none" w:sz="0" w:space="0" w:color="auto"/>
                <w:bottom w:val="none" w:sz="0" w:space="0" w:color="auto"/>
                <w:right w:val="none" w:sz="0" w:space="0" w:color="auto"/>
              </w:divBdr>
              <w:divsChild>
                <w:div w:id="1207639073">
                  <w:marLeft w:val="0"/>
                  <w:marRight w:val="0"/>
                  <w:marTop w:val="120"/>
                  <w:marBottom w:val="0"/>
                  <w:divBdr>
                    <w:top w:val="none" w:sz="0" w:space="0" w:color="auto"/>
                    <w:left w:val="none" w:sz="0" w:space="0" w:color="auto"/>
                    <w:bottom w:val="none" w:sz="0" w:space="0" w:color="auto"/>
                    <w:right w:val="none" w:sz="0" w:space="0" w:color="auto"/>
                  </w:divBdr>
                  <w:divsChild>
                    <w:div w:id="601181228">
                      <w:marLeft w:val="0"/>
                      <w:marRight w:val="0"/>
                      <w:marTop w:val="0"/>
                      <w:marBottom w:val="150"/>
                      <w:divBdr>
                        <w:top w:val="none" w:sz="0" w:space="0" w:color="auto"/>
                        <w:left w:val="none" w:sz="0" w:space="0" w:color="auto"/>
                        <w:bottom w:val="none" w:sz="0" w:space="0" w:color="auto"/>
                        <w:right w:val="none" w:sz="0" w:space="0" w:color="auto"/>
                      </w:divBdr>
                    </w:div>
                    <w:div w:id="754938923">
                      <w:marLeft w:val="0"/>
                      <w:marRight w:val="0"/>
                      <w:marTop w:val="0"/>
                      <w:marBottom w:val="0"/>
                      <w:divBdr>
                        <w:top w:val="none" w:sz="0" w:space="0" w:color="auto"/>
                        <w:left w:val="none" w:sz="0" w:space="0" w:color="auto"/>
                        <w:bottom w:val="none" w:sz="0" w:space="0" w:color="auto"/>
                        <w:right w:val="none" w:sz="0" w:space="0" w:color="auto"/>
                      </w:divBdr>
                      <w:divsChild>
                        <w:div w:id="975254993">
                          <w:marLeft w:val="0"/>
                          <w:marRight w:val="0"/>
                          <w:marTop w:val="0"/>
                          <w:marBottom w:val="450"/>
                          <w:divBdr>
                            <w:top w:val="none" w:sz="0" w:space="0" w:color="auto"/>
                            <w:left w:val="none" w:sz="0" w:space="0" w:color="auto"/>
                            <w:bottom w:val="none" w:sz="0" w:space="0" w:color="auto"/>
                            <w:right w:val="none" w:sz="0" w:space="0" w:color="auto"/>
                          </w:divBdr>
                        </w:div>
                      </w:divsChild>
                    </w:div>
                    <w:div w:id="1082873456">
                      <w:marLeft w:val="0"/>
                      <w:marRight w:val="0"/>
                      <w:marTop w:val="0"/>
                      <w:marBottom w:val="300"/>
                      <w:divBdr>
                        <w:top w:val="none" w:sz="0" w:space="0" w:color="auto"/>
                        <w:left w:val="none" w:sz="0" w:space="0" w:color="auto"/>
                        <w:bottom w:val="none" w:sz="0" w:space="0" w:color="auto"/>
                        <w:right w:val="none" w:sz="0" w:space="0" w:color="auto"/>
                      </w:divBdr>
                      <w:divsChild>
                        <w:div w:id="824903645">
                          <w:marLeft w:val="0"/>
                          <w:marRight w:val="0"/>
                          <w:marTop w:val="0"/>
                          <w:marBottom w:val="0"/>
                          <w:divBdr>
                            <w:top w:val="none" w:sz="0" w:space="0" w:color="auto"/>
                            <w:left w:val="none" w:sz="0" w:space="0" w:color="auto"/>
                            <w:bottom w:val="none" w:sz="0" w:space="0" w:color="auto"/>
                            <w:right w:val="none" w:sz="0" w:space="0" w:color="auto"/>
                          </w:divBdr>
                          <w:divsChild>
                            <w:div w:id="106238302">
                              <w:marLeft w:val="-15"/>
                              <w:marRight w:val="-15"/>
                              <w:marTop w:val="0"/>
                              <w:marBottom w:val="0"/>
                              <w:divBdr>
                                <w:top w:val="none" w:sz="0" w:space="0" w:color="auto"/>
                                <w:left w:val="none" w:sz="0" w:space="0" w:color="auto"/>
                                <w:bottom w:val="none" w:sz="0" w:space="0" w:color="auto"/>
                                <w:right w:val="none" w:sz="0" w:space="0" w:color="auto"/>
                              </w:divBdr>
                            </w:div>
                            <w:div w:id="1367675488">
                              <w:marLeft w:val="-15"/>
                              <w:marRight w:val="-15"/>
                              <w:marTop w:val="0"/>
                              <w:marBottom w:val="0"/>
                              <w:divBdr>
                                <w:top w:val="none" w:sz="0" w:space="0" w:color="auto"/>
                                <w:left w:val="none" w:sz="0" w:space="0" w:color="auto"/>
                                <w:bottom w:val="none" w:sz="0" w:space="0" w:color="auto"/>
                                <w:right w:val="none" w:sz="0" w:space="0" w:color="auto"/>
                              </w:divBdr>
                            </w:div>
                            <w:div w:id="1534919429">
                              <w:marLeft w:val="-15"/>
                              <w:marRight w:val="-15"/>
                              <w:marTop w:val="0"/>
                              <w:marBottom w:val="0"/>
                              <w:divBdr>
                                <w:top w:val="none" w:sz="0" w:space="0" w:color="auto"/>
                                <w:left w:val="none" w:sz="0" w:space="0" w:color="auto"/>
                                <w:bottom w:val="none" w:sz="0" w:space="0" w:color="auto"/>
                                <w:right w:val="none" w:sz="0" w:space="0" w:color="auto"/>
                              </w:divBdr>
                            </w:div>
                            <w:div w:id="158776598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7002921">
          <w:marLeft w:val="0"/>
          <w:marRight w:val="0"/>
          <w:marTop w:val="0"/>
          <w:marBottom w:val="0"/>
          <w:divBdr>
            <w:top w:val="none" w:sz="0" w:space="0" w:color="auto"/>
            <w:left w:val="none" w:sz="0" w:space="0" w:color="auto"/>
            <w:bottom w:val="none" w:sz="0" w:space="0" w:color="auto"/>
            <w:right w:val="none" w:sz="0" w:space="0" w:color="auto"/>
          </w:divBdr>
          <w:divsChild>
            <w:div w:id="924605154">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991562695">
      <w:bodyDiv w:val="1"/>
      <w:marLeft w:val="0"/>
      <w:marRight w:val="0"/>
      <w:marTop w:val="0"/>
      <w:marBottom w:val="0"/>
      <w:divBdr>
        <w:top w:val="none" w:sz="0" w:space="0" w:color="auto"/>
        <w:left w:val="none" w:sz="0" w:space="0" w:color="auto"/>
        <w:bottom w:val="none" w:sz="0" w:space="0" w:color="auto"/>
        <w:right w:val="none" w:sz="0" w:space="0" w:color="auto"/>
      </w:divBdr>
      <w:divsChild>
        <w:div w:id="416556380">
          <w:marLeft w:val="0"/>
          <w:marRight w:val="0"/>
          <w:marTop w:val="0"/>
          <w:marBottom w:val="0"/>
          <w:divBdr>
            <w:top w:val="none" w:sz="0" w:space="0" w:color="auto"/>
            <w:left w:val="none" w:sz="0" w:space="0" w:color="auto"/>
            <w:bottom w:val="none" w:sz="0" w:space="0" w:color="auto"/>
            <w:right w:val="none" w:sz="0" w:space="0" w:color="auto"/>
          </w:divBdr>
        </w:div>
      </w:divsChild>
    </w:div>
    <w:div w:id="1012486032">
      <w:bodyDiv w:val="1"/>
      <w:marLeft w:val="0"/>
      <w:marRight w:val="0"/>
      <w:marTop w:val="0"/>
      <w:marBottom w:val="0"/>
      <w:divBdr>
        <w:top w:val="none" w:sz="0" w:space="0" w:color="auto"/>
        <w:left w:val="none" w:sz="0" w:space="0" w:color="auto"/>
        <w:bottom w:val="none" w:sz="0" w:space="0" w:color="auto"/>
        <w:right w:val="none" w:sz="0" w:space="0" w:color="auto"/>
      </w:divBdr>
      <w:divsChild>
        <w:div w:id="1758406140">
          <w:marLeft w:val="0"/>
          <w:marRight w:val="0"/>
          <w:marTop w:val="0"/>
          <w:marBottom w:val="0"/>
          <w:divBdr>
            <w:top w:val="none" w:sz="0" w:space="0" w:color="auto"/>
            <w:left w:val="none" w:sz="0" w:space="0" w:color="auto"/>
            <w:bottom w:val="none" w:sz="0" w:space="0" w:color="auto"/>
            <w:right w:val="none" w:sz="0" w:space="0" w:color="auto"/>
          </w:divBdr>
        </w:div>
      </w:divsChild>
    </w:div>
    <w:div w:id="1033770636">
      <w:bodyDiv w:val="1"/>
      <w:marLeft w:val="0"/>
      <w:marRight w:val="0"/>
      <w:marTop w:val="0"/>
      <w:marBottom w:val="0"/>
      <w:divBdr>
        <w:top w:val="none" w:sz="0" w:space="0" w:color="auto"/>
        <w:left w:val="none" w:sz="0" w:space="0" w:color="auto"/>
        <w:bottom w:val="none" w:sz="0" w:space="0" w:color="auto"/>
        <w:right w:val="none" w:sz="0" w:space="0" w:color="auto"/>
      </w:divBdr>
    </w:div>
    <w:div w:id="1042828979">
      <w:bodyDiv w:val="1"/>
      <w:marLeft w:val="0"/>
      <w:marRight w:val="0"/>
      <w:marTop w:val="0"/>
      <w:marBottom w:val="0"/>
      <w:divBdr>
        <w:top w:val="none" w:sz="0" w:space="0" w:color="auto"/>
        <w:left w:val="none" w:sz="0" w:space="0" w:color="auto"/>
        <w:bottom w:val="none" w:sz="0" w:space="0" w:color="auto"/>
        <w:right w:val="none" w:sz="0" w:space="0" w:color="auto"/>
      </w:divBdr>
      <w:divsChild>
        <w:div w:id="222955652">
          <w:marLeft w:val="0"/>
          <w:marRight w:val="0"/>
          <w:marTop w:val="0"/>
          <w:marBottom w:val="0"/>
          <w:divBdr>
            <w:top w:val="none" w:sz="0" w:space="0" w:color="auto"/>
            <w:left w:val="none" w:sz="0" w:space="0" w:color="auto"/>
            <w:bottom w:val="none" w:sz="0" w:space="0" w:color="auto"/>
            <w:right w:val="none" w:sz="0" w:space="0" w:color="auto"/>
          </w:divBdr>
        </w:div>
      </w:divsChild>
    </w:div>
    <w:div w:id="1082488470">
      <w:bodyDiv w:val="1"/>
      <w:marLeft w:val="0"/>
      <w:marRight w:val="0"/>
      <w:marTop w:val="0"/>
      <w:marBottom w:val="0"/>
      <w:divBdr>
        <w:top w:val="none" w:sz="0" w:space="0" w:color="auto"/>
        <w:left w:val="none" w:sz="0" w:space="0" w:color="auto"/>
        <w:bottom w:val="none" w:sz="0" w:space="0" w:color="auto"/>
        <w:right w:val="none" w:sz="0" w:space="0" w:color="auto"/>
      </w:divBdr>
    </w:div>
    <w:div w:id="1105034181">
      <w:bodyDiv w:val="1"/>
      <w:marLeft w:val="0"/>
      <w:marRight w:val="0"/>
      <w:marTop w:val="0"/>
      <w:marBottom w:val="0"/>
      <w:divBdr>
        <w:top w:val="none" w:sz="0" w:space="0" w:color="auto"/>
        <w:left w:val="none" w:sz="0" w:space="0" w:color="auto"/>
        <w:bottom w:val="none" w:sz="0" w:space="0" w:color="auto"/>
        <w:right w:val="none" w:sz="0" w:space="0" w:color="auto"/>
      </w:divBdr>
      <w:divsChild>
        <w:div w:id="2022000109">
          <w:marLeft w:val="0"/>
          <w:marRight w:val="0"/>
          <w:marTop w:val="0"/>
          <w:marBottom w:val="0"/>
          <w:divBdr>
            <w:top w:val="none" w:sz="0" w:space="0" w:color="auto"/>
            <w:left w:val="none" w:sz="0" w:space="0" w:color="auto"/>
            <w:bottom w:val="none" w:sz="0" w:space="0" w:color="auto"/>
            <w:right w:val="none" w:sz="0" w:space="0" w:color="auto"/>
          </w:divBdr>
        </w:div>
      </w:divsChild>
    </w:div>
    <w:div w:id="1168903770">
      <w:bodyDiv w:val="1"/>
      <w:marLeft w:val="0"/>
      <w:marRight w:val="0"/>
      <w:marTop w:val="0"/>
      <w:marBottom w:val="0"/>
      <w:divBdr>
        <w:top w:val="none" w:sz="0" w:space="0" w:color="auto"/>
        <w:left w:val="none" w:sz="0" w:space="0" w:color="auto"/>
        <w:bottom w:val="none" w:sz="0" w:space="0" w:color="auto"/>
        <w:right w:val="none" w:sz="0" w:space="0" w:color="auto"/>
      </w:divBdr>
      <w:divsChild>
        <w:div w:id="497111521">
          <w:marLeft w:val="0"/>
          <w:marRight w:val="0"/>
          <w:marTop w:val="0"/>
          <w:marBottom w:val="0"/>
          <w:divBdr>
            <w:top w:val="none" w:sz="0" w:space="0" w:color="auto"/>
            <w:left w:val="none" w:sz="0" w:space="0" w:color="auto"/>
            <w:bottom w:val="none" w:sz="0" w:space="0" w:color="auto"/>
            <w:right w:val="none" w:sz="0" w:space="0" w:color="auto"/>
          </w:divBdr>
          <w:divsChild>
            <w:div w:id="443766037">
              <w:marLeft w:val="0"/>
              <w:marRight w:val="0"/>
              <w:marTop w:val="0"/>
              <w:marBottom w:val="0"/>
              <w:divBdr>
                <w:top w:val="none" w:sz="0" w:space="0" w:color="auto"/>
                <w:left w:val="none" w:sz="0" w:space="0" w:color="auto"/>
                <w:bottom w:val="none" w:sz="0" w:space="0" w:color="auto"/>
                <w:right w:val="none" w:sz="0" w:space="0" w:color="auto"/>
              </w:divBdr>
            </w:div>
            <w:div w:id="950091262">
              <w:marLeft w:val="0"/>
              <w:marRight w:val="300"/>
              <w:marTop w:val="0"/>
              <w:marBottom w:val="0"/>
              <w:divBdr>
                <w:top w:val="none" w:sz="0" w:space="0" w:color="auto"/>
                <w:left w:val="none" w:sz="0" w:space="0" w:color="auto"/>
                <w:bottom w:val="none" w:sz="0" w:space="0" w:color="auto"/>
                <w:right w:val="none" w:sz="0" w:space="0" w:color="auto"/>
              </w:divBdr>
            </w:div>
            <w:div w:id="1386445663">
              <w:marLeft w:val="0"/>
              <w:marRight w:val="0"/>
              <w:marTop w:val="0"/>
              <w:marBottom w:val="0"/>
              <w:divBdr>
                <w:top w:val="none" w:sz="0" w:space="0" w:color="auto"/>
                <w:left w:val="none" w:sz="0" w:space="0" w:color="auto"/>
                <w:bottom w:val="none" w:sz="0" w:space="0" w:color="auto"/>
                <w:right w:val="none" w:sz="0" w:space="0" w:color="auto"/>
              </w:divBdr>
            </w:div>
          </w:divsChild>
        </w:div>
        <w:div w:id="1248147218">
          <w:marLeft w:val="0"/>
          <w:marRight w:val="0"/>
          <w:marTop w:val="0"/>
          <w:marBottom w:val="0"/>
          <w:divBdr>
            <w:top w:val="none" w:sz="0" w:space="0" w:color="auto"/>
            <w:left w:val="none" w:sz="0" w:space="0" w:color="auto"/>
            <w:bottom w:val="none" w:sz="0" w:space="0" w:color="auto"/>
            <w:right w:val="none" w:sz="0" w:space="0" w:color="auto"/>
          </w:divBdr>
          <w:divsChild>
            <w:div w:id="617496135">
              <w:marLeft w:val="0"/>
              <w:marRight w:val="0"/>
              <w:marTop w:val="0"/>
              <w:marBottom w:val="0"/>
              <w:divBdr>
                <w:top w:val="none" w:sz="0" w:space="0" w:color="auto"/>
                <w:left w:val="none" w:sz="0" w:space="0" w:color="auto"/>
                <w:bottom w:val="none" w:sz="0" w:space="0" w:color="auto"/>
                <w:right w:val="none" w:sz="0" w:space="0" w:color="auto"/>
              </w:divBdr>
              <w:divsChild>
                <w:div w:id="551575226">
                  <w:marLeft w:val="0"/>
                  <w:marRight w:val="0"/>
                  <w:marTop w:val="0"/>
                  <w:marBottom w:val="0"/>
                  <w:divBdr>
                    <w:top w:val="none" w:sz="0" w:space="0" w:color="auto"/>
                    <w:left w:val="none" w:sz="0" w:space="0" w:color="auto"/>
                    <w:bottom w:val="none" w:sz="0" w:space="0" w:color="auto"/>
                    <w:right w:val="none" w:sz="0" w:space="0" w:color="auto"/>
                  </w:divBdr>
                  <w:divsChild>
                    <w:div w:id="2038508981">
                      <w:marLeft w:val="0"/>
                      <w:marRight w:val="0"/>
                      <w:marTop w:val="210"/>
                      <w:marBottom w:val="120"/>
                      <w:divBdr>
                        <w:top w:val="none" w:sz="0" w:space="0" w:color="auto"/>
                        <w:left w:val="none" w:sz="0" w:space="0" w:color="auto"/>
                        <w:bottom w:val="none" w:sz="0" w:space="0" w:color="auto"/>
                        <w:right w:val="none" w:sz="0" w:space="0" w:color="auto"/>
                      </w:divBdr>
                      <w:divsChild>
                        <w:div w:id="373388743">
                          <w:marLeft w:val="0"/>
                          <w:marRight w:val="0"/>
                          <w:marTop w:val="0"/>
                          <w:marBottom w:val="0"/>
                          <w:divBdr>
                            <w:top w:val="none" w:sz="0" w:space="0" w:color="auto"/>
                            <w:left w:val="none" w:sz="0" w:space="0" w:color="auto"/>
                            <w:bottom w:val="none" w:sz="0" w:space="0" w:color="auto"/>
                            <w:right w:val="none" w:sz="0" w:space="0" w:color="auto"/>
                          </w:divBdr>
                          <w:divsChild>
                            <w:div w:id="316105859">
                              <w:marLeft w:val="0"/>
                              <w:marRight w:val="0"/>
                              <w:marTop w:val="0"/>
                              <w:marBottom w:val="150"/>
                              <w:divBdr>
                                <w:top w:val="none" w:sz="0" w:space="0" w:color="auto"/>
                                <w:left w:val="none" w:sz="0" w:space="0" w:color="auto"/>
                                <w:bottom w:val="none" w:sz="0" w:space="0" w:color="auto"/>
                                <w:right w:val="none" w:sz="0" w:space="0" w:color="auto"/>
                              </w:divBdr>
                            </w:div>
                          </w:divsChild>
                        </w:div>
                        <w:div w:id="407191794">
                          <w:marLeft w:val="0"/>
                          <w:marRight w:val="0"/>
                          <w:marTop w:val="0"/>
                          <w:marBottom w:val="0"/>
                          <w:divBdr>
                            <w:top w:val="none" w:sz="0" w:space="0" w:color="auto"/>
                            <w:left w:val="none" w:sz="0" w:space="0" w:color="auto"/>
                            <w:bottom w:val="none" w:sz="0" w:space="0" w:color="auto"/>
                            <w:right w:val="none" w:sz="0" w:space="0" w:color="auto"/>
                          </w:divBdr>
                          <w:divsChild>
                            <w:div w:id="1259019320">
                              <w:marLeft w:val="0"/>
                              <w:marRight w:val="0"/>
                              <w:marTop w:val="0"/>
                              <w:marBottom w:val="150"/>
                              <w:divBdr>
                                <w:top w:val="none" w:sz="0" w:space="0" w:color="auto"/>
                                <w:left w:val="none" w:sz="0" w:space="0" w:color="auto"/>
                                <w:bottom w:val="none" w:sz="0" w:space="0" w:color="auto"/>
                                <w:right w:val="none" w:sz="0" w:space="0" w:color="auto"/>
                              </w:divBdr>
                            </w:div>
                          </w:divsChild>
                        </w:div>
                        <w:div w:id="892084303">
                          <w:marLeft w:val="0"/>
                          <w:marRight w:val="0"/>
                          <w:marTop w:val="0"/>
                          <w:marBottom w:val="0"/>
                          <w:divBdr>
                            <w:top w:val="none" w:sz="0" w:space="0" w:color="auto"/>
                            <w:left w:val="none" w:sz="0" w:space="0" w:color="auto"/>
                            <w:bottom w:val="none" w:sz="0" w:space="0" w:color="auto"/>
                            <w:right w:val="none" w:sz="0" w:space="0" w:color="auto"/>
                          </w:divBdr>
                          <w:divsChild>
                            <w:div w:id="751317233">
                              <w:marLeft w:val="0"/>
                              <w:marRight w:val="0"/>
                              <w:marTop w:val="0"/>
                              <w:marBottom w:val="150"/>
                              <w:divBdr>
                                <w:top w:val="none" w:sz="0" w:space="0" w:color="auto"/>
                                <w:left w:val="none" w:sz="0" w:space="0" w:color="auto"/>
                                <w:bottom w:val="none" w:sz="0" w:space="0" w:color="auto"/>
                                <w:right w:val="none" w:sz="0" w:space="0" w:color="auto"/>
                              </w:divBdr>
                            </w:div>
                          </w:divsChild>
                        </w:div>
                        <w:div w:id="1205024850">
                          <w:marLeft w:val="0"/>
                          <w:marRight w:val="0"/>
                          <w:marTop w:val="0"/>
                          <w:marBottom w:val="0"/>
                          <w:divBdr>
                            <w:top w:val="none" w:sz="0" w:space="0" w:color="auto"/>
                            <w:left w:val="none" w:sz="0" w:space="0" w:color="auto"/>
                            <w:bottom w:val="none" w:sz="0" w:space="0" w:color="auto"/>
                            <w:right w:val="none" w:sz="0" w:space="0" w:color="auto"/>
                          </w:divBdr>
                          <w:divsChild>
                            <w:div w:id="24061326">
                              <w:marLeft w:val="0"/>
                              <w:marRight w:val="0"/>
                              <w:marTop w:val="0"/>
                              <w:marBottom w:val="150"/>
                              <w:divBdr>
                                <w:top w:val="none" w:sz="0" w:space="0" w:color="auto"/>
                                <w:left w:val="none" w:sz="0" w:space="0" w:color="auto"/>
                                <w:bottom w:val="none" w:sz="0" w:space="0" w:color="auto"/>
                                <w:right w:val="none" w:sz="0" w:space="0" w:color="auto"/>
                              </w:divBdr>
                            </w:div>
                          </w:divsChild>
                        </w:div>
                        <w:div w:id="1689864545">
                          <w:marLeft w:val="0"/>
                          <w:marRight w:val="0"/>
                          <w:marTop w:val="0"/>
                          <w:marBottom w:val="0"/>
                          <w:divBdr>
                            <w:top w:val="none" w:sz="0" w:space="0" w:color="auto"/>
                            <w:left w:val="none" w:sz="0" w:space="0" w:color="auto"/>
                            <w:bottom w:val="none" w:sz="0" w:space="0" w:color="auto"/>
                            <w:right w:val="none" w:sz="0" w:space="0" w:color="auto"/>
                          </w:divBdr>
                          <w:divsChild>
                            <w:div w:id="19044835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38860636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1204637563">
      <w:bodyDiv w:val="1"/>
      <w:marLeft w:val="0"/>
      <w:marRight w:val="0"/>
      <w:marTop w:val="0"/>
      <w:marBottom w:val="0"/>
      <w:divBdr>
        <w:top w:val="none" w:sz="0" w:space="0" w:color="auto"/>
        <w:left w:val="none" w:sz="0" w:space="0" w:color="auto"/>
        <w:bottom w:val="none" w:sz="0" w:space="0" w:color="auto"/>
        <w:right w:val="none" w:sz="0" w:space="0" w:color="auto"/>
      </w:divBdr>
      <w:divsChild>
        <w:div w:id="987171417">
          <w:marLeft w:val="0"/>
          <w:marRight w:val="0"/>
          <w:marTop w:val="0"/>
          <w:marBottom w:val="150"/>
          <w:divBdr>
            <w:top w:val="none" w:sz="0" w:space="0" w:color="auto"/>
            <w:left w:val="none" w:sz="0" w:space="0" w:color="auto"/>
            <w:bottom w:val="none" w:sz="0" w:space="0" w:color="auto"/>
            <w:right w:val="none" w:sz="0" w:space="0" w:color="auto"/>
          </w:divBdr>
          <w:divsChild>
            <w:div w:id="1579512828">
              <w:marLeft w:val="0"/>
              <w:marRight w:val="0"/>
              <w:marTop w:val="0"/>
              <w:marBottom w:val="0"/>
              <w:divBdr>
                <w:top w:val="none" w:sz="0" w:space="0" w:color="auto"/>
                <w:left w:val="none" w:sz="0" w:space="0" w:color="auto"/>
                <w:bottom w:val="none" w:sz="0" w:space="0" w:color="auto"/>
                <w:right w:val="none" w:sz="0" w:space="0" w:color="auto"/>
              </w:divBdr>
              <w:divsChild>
                <w:div w:id="276840768">
                  <w:marLeft w:val="0"/>
                  <w:marRight w:val="0"/>
                  <w:marTop w:val="0"/>
                  <w:marBottom w:val="0"/>
                  <w:divBdr>
                    <w:top w:val="none" w:sz="0" w:space="0" w:color="auto"/>
                    <w:left w:val="none" w:sz="0" w:space="0" w:color="auto"/>
                    <w:bottom w:val="none" w:sz="0" w:space="0" w:color="auto"/>
                    <w:right w:val="none" w:sz="0" w:space="0" w:color="auto"/>
                  </w:divBdr>
                  <w:divsChild>
                    <w:div w:id="117021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971419">
          <w:marLeft w:val="0"/>
          <w:marRight w:val="0"/>
          <w:marTop w:val="30"/>
          <w:marBottom w:val="60"/>
          <w:divBdr>
            <w:top w:val="none" w:sz="0" w:space="0" w:color="auto"/>
            <w:left w:val="none" w:sz="0" w:space="0" w:color="auto"/>
            <w:bottom w:val="none" w:sz="0" w:space="0" w:color="auto"/>
            <w:right w:val="none" w:sz="0" w:space="0" w:color="auto"/>
          </w:divBdr>
          <w:divsChild>
            <w:div w:id="1574195811">
              <w:marLeft w:val="0"/>
              <w:marRight w:val="0"/>
              <w:marTop w:val="0"/>
              <w:marBottom w:val="0"/>
              <w:divBdr>
                <w:top w:val="none" w:sz="0" w:space="0" w:color="auto"/>
                <w:left w:val="none" w:sz="0" w:space="0" w:color="auto"/>
                <w:bottom w:val="none" w:sz="0" w:space="0" w:color="auto"/>
                <w:right w:val="none" w:sz="0" w:space="0" w:color="auto"/>
              </w:divBdr>
              <w:divsChild>
                <w:div w:id="1291864138">
                  <w:marLeft w:val="0"/>
                  <w:marRight w:val="0"/>
                  <w:marTop w:val="0"/>
                  <w:marBottom w:val="0"/>
                  <w:divBdr>
                    <w:top w:val="none" w:sz="0" w:space="0" w:color="auto"/>
                    <w:left w:val="none" w:sz="0" w:space="0" w:color="auto"/>
                    <w:bottom w:val="none" w:sz="0" w:space="0" w:color="auto"/>
                    <w:right w:val="none" w:sz="0" w:space="0" w:color="auto"/>
                  </w:divBdr>
                  <w:divsChild>
                    <w:div w:id="65609398">
                      <w:marLeft w:val="0"/>
                      <w:marRight w:val="0"/>
                      <w:marTop w:val="0"/>
                      <w:marBottom w:val="0"/>
                      <w:divBdr>
                        <w:top w:val="none" w:sz="0" w:space="0" w:color="auto"/>
                        <w:left w:val="none" w:sz="0" w:space="0" w:color="auto"/>
                        <w:bottom w:val="none" w:sz="0" w:space="0" w:color="auto"/>
                        <w:right w:val="none" w:sz="0" w:space="0" w:color="auto"/>
                      </w:divBdr>
                      <w:divsChild>
                        <w:div w:id="1975406187">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347168794">
          <w:marLeft w:val="0"/>
          <w:marRight w:val="0"/>
          <w:marTop w:val="0"/>
          <w:marBottom w:val="0"/>
          <w:divBdr>
            <w:top w:val="none" w:sz="0" w:space="0" w:color="auto"/>
            <w:left w:val="none" w:sz="0" w:space="0" w:color="auto"/>
            <w:bottom w:val="none" w:sz="0" w:space="0" w:color="auto"/>
            <w:right w:val="none" w:sz="0" w:space="0" w:color="auto"/>
          </w:divBdr>
          <w:divsChild>
            <w:div w:id="149160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867225">
      <w:bodyDiv w:val="1"/>
      <w:marLeft w:val="0"/>
      <w:marRight w:val="0"/>
      <w:marTop w:val="0"/>
      <w:marBottom w:val="0"/>
      <w:divBdr>
        <w:top w:val="none" w:sz="0" w:space="0" w:color="auto"/>
        <w:left w:val="none" w:sz="0" w:space="0" w:color="auto"/>
        <w:bottom w:val="none" w:sz="0" w:space="0" w:color="auto"/>
        <w:right w:val="none" w:sz="0" w:space="0" w:color="auto"/>
      </w:divBdr>
      <w:divsChild>
        <w:div w:id="382559291">
          <w:marLeft w:val="0"/>
          <w:marRight w:val="0"/>
          <w:marTop w:val="0"/>
          <w:marBottom w:val="0"/>
          <w:divBdr>
            <w:top w:val="none" w:sz="0" w:space="0" w:color="auto"/>
            <w:left w:val="none" w:sz="0" w:space="0" w:color="auto"/>
            <w:bottom w:val="none" w:sz="0" w:space="0" w:color="auto"/>
            <w:right w:val="none" w:sz="0" w:space="0" w:color="auto"/>
          </w:divBdr>
        </w:div>
      </w:divsChild>
    </w:div>
    <w:div w:id="1310748454">
      <w:bodyDiv w:val="1"/>
      <w:marLeft w:val="0"/>
      <w:marRight w:val="0"/>
      <w:marTop w:val="0"/>
      <w:marBottom w:val="0"/>
      <w:divBdr>
        <w:top w:val="none" w:sz="0" w:space="0" w:color="auto"/>
        <w:left w:val="none" w:sz="0" w:space="0" w:color="auto"/>
        <w:bottom w:val="none" w:sz="0" w:space="0" w:color="auto"/>
        <w:right w:val="none" w:sz="0" w:space="0" w:color="auto"/>
      </w:divBdr>
      <w:divsChild>
        <w:div w:id="573003825">
          <w:marLeft w:val="0"/>
          <w:marRight w:val="0"/>
          <w:marTop w:val="0"/>
          <w:marBottom w:val="120"/>
          <w:divBdr>
            <w:top w:val="none" w:sz="0" w:space="0" w:color="auto"/>
            <w:left w:val="none" w:sz="0" w:space="0" w:color="auto"/>
            <w:bottom w:val="none" w:sz="0" w:space="0" w:color="auto"/>
            <w:right w:val="none" w:sz="0" w:space="0" w:color="auto"/>
          </w:divBdr>
          <w:divsChild>
            <w:div w:id="485434431">
              <w:marLeft w:val="0"/>
              <w:marRight w:val="0"/>
              <w:marTop w:val="0"/>
              <w:marBottom w:val="0"/>
              <w:divBdr>
                <w:top w:val="none" w:sz="0" w:space="0" w:color="auto"/>
                <w:left w:val="none" w:sz="0" w:space="0" w:color="auto"/>
                <w:bottom w:val="single" w:sz="6" w:space="0" w:color="000000"/>
                <w:right w:val="none" w:sz="0" w:space="0" w:color="auto"/>
              </w:divBdr>
              <w:divsChild>
                <w:div w:id="1533152251">
                  <w:marLeft w:val="0"/>
                  <w:marRight w:val="0"/>
                  <w:marTop w:val="0"/>
                  <w:marBottom w:val="0"/>
                  <w:divBdr>
                    <w:top w:val="none" w:sz="0" w:space="0" w:color="auto"/>
                    <w:left w:val="none" w:sz="0" w:space="0" w:color="auto"/>
                    <w:bottom w:val="none" w:sz="0" w:space="0" w:color="auto"/>
                    <w:right w:val="none" w:sz="0" w:space="0" w:color="auto"/>
                  </w:divBdr>
                  <w:divsChild>
                    <w:div w:id="48186772">
                      <w:marLeft w:val="0"/>
                      <w:marRight w:val="0"/>
                      <w:marTop w:val="0"/>
                      <w:marBottom w:val="0"/>
                      <w:divBdr>
                        <w:top w:val="none" w:sz="0" w:space="0" w:color="auto"/>
                        <w:left w:val="none" w:sz="0" w:space="0" w:color="auto"/>
                        <w:bottom w:val="none" w:sz="0" w:space="0" w:color="auto"/>
                        <w:right w:val="none" w:sz="0" w:space="0" w:color="auto"/>
                      </w:divBdr>
                      <w:divsChild>
                        <w:div w:id="1532373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385600">
                  <w:marLeft w:val="0"/>
                  <w:marRight w:val="0"/>
                  <w:marTop w:val="0"/>
                  <w:marBottom w:val="0"/>
                  <w:divBdr>
                    <w:top w:val="none" w:sz="0" w:space="0" w:color="auto"/>
                    <w:left w:val="none" w:sz="0" w:space="0" w:color="auto"/>
                    <w:bottom w:val="none" w:sz="0" w:space="0" w:color="auto"/>
                    <w:right w:val="none" w:sz="0" w:space="0" w:color="auto"/>
                  </w:divBdr>
                  <w:divsChild>
                    <w:div w:id="274334707">
                      <w:marLeft w:val="0"/>
                      <w:marRight w:val="0"/>
                      <w:marTop w:val="0"/>
                      <w:marBottom w:val="0"/>
                      <w:divBdr>
                        <w:top w:val="none" w:sz="0" w:space="0" w:color="auto"/>
                        <w:left w:val="none" w:sz="0" w:space="0" w:color="auto"/>
                        <w:bottom w:val="none" w:sz="0" w:space="0" w:color="auto"/>
                        <w:right w:val="none" w:sz="0" w:space="0" w:color="auto"/>
                      </w:divBdr>
                      <w:divsChild>
                        <w:div w:id="211126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082715">
              <w:marLeft w:val="0"/>
              <w:marRight w:val="0"/>
              <w:marTop w:val="0"/>
              <w:marBottom w:val="0"/>
              <w:divBdr>
                <w:top w:val="none" w:sz="0" w:space="0" w:color="auto"/>
                <w:left w:val="none" w:sz="0" w:space="0" w:color="auto"/>
                <w:bottom w:val="none" w:sz="0" w:space="0" w:color="auto"/>
                <w:right w:val="none" w:sz="0" w:space="0" w:color="auto"/>
              </w:divBdr>
              <w:divsChild>
                <w:div w:id="1535382465">
                  <w:marLeft w:val="0"/>
                  <w:marRight w:val="0"/>
                  <w:marTop w:val="0"/>
                  <w:marBottom w:val="0"/>
                  <w:divBdr>
                    <w:top w:val="none" w:sz="0" w:space="0" w:color="auto"/>
                    <w:left w:val="none" w:sz="0" w:space="0" w:color="auto"/>
                    <w:bottom w:val="none" w:sz="0" w:space="0" w:color="auto"/>
                    <w:right w:val="none" w:sz="0" w:space="0" w:color="auto"/>
                  </w:divBdr>
                  <w:divsChild>
                    <w:div w:id="187468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050201">
          <w:marLeft w:val="0"/>
          <w:marRight w:val="0"/>
          <w:marTop w:val="0"/>
          <w:marBottom w:val="0"/>
          <w:divBdr>
            <w:top w:val="none" w:sz="0" w:space="0" w:color="auto"/>
            <w:left w:val="none" w:sz="0" w:space="0" w:color="auto"/>
            <w:bottom w:val="none" w:sz="0" w:space="0" w:color="auto"/>
            <w:right w:val="none" w:sz="0" w:space="0" w:color="auto"/>
          </w:divBdr>
        </w:div>
      </w:divsChild>
    </w:div>
    <w:div w:id="1313674337">
      <w:bodyDiv w:val="1"/>
      <w:marLeft w:val="0"/>
      <w:marRight w:val="0"/>
      <w:marTop w:val="0"/>
      <w:marBottom w:val="0"/>
      <w:divBdr>
        <w:top w:val="none" w:sz="0" w:space="0" w:color="auto"/>
        <w:left w:val="none" w:sz="0" w:space="0" w:color="auto"/>
        <w:bottom w:val="none" w:sz="0" w:space="0" w:color="auto"/>
        <w:right w:val="none" w:sz="0" w:space="0" w:color="auto"/>
      </w:divBdr>
      <w:divsChild>
        <w:div w:id="585305344">
          <w:marLeft w:val="0"/>
          <w:marRight w:val="120"/>
          <w:marTop w:val="0"/>
          <w:marBottom w:val="0"/>
          <w:divBdr>
            <w:top w:val="none" w:sz="0" w:space="0" w:color="auto"/>
            <w:left w:val="none" w:sz="0" w:space="0" w:color="auto"/>
            <w:bottom w:val="none" w:sz="0" w:space="0" w:color="auto"/>
            <w:right w:val="none" w:sz="0" w:space="0" w:color="auto"/>
          </w:divBdr>
        </w:div>
      </w:divsChild>
    </w:div>
    <w:div w:id="1321156934">
      <w:bodyDiv w:val="1"/>
      <w:marLeft w:val="0"/>
      <w:marRight w:val="0"/>
      <w:marTop w:val="0"/>
      <w:marBottom w:val="0"/>
      <w:divBdr>
        <w:top w:val="none" w:sz="0" w:space="0" w:color="auto"/>
        <w:left w:val="none" w:sz="0" w:space="0" w:color="auto"/>
        <w:bottom w:val="none" w:sz="0" w:space="0" w:color="auto"/>
        <w:right w:val="none" w:sz="0" w:space="0" w:color="auto"/>
      </w:divBdr>
    </w:div>
    <w:div w:id="1343900610">
      <w:bodyDiv w:val="1"/>
      <w:marLeft w:val="0"/>
      <w:marRight w:val="0"/>
      <w:marTop w:val="0"/>
      <w:marBottom w:val="0"/>
      <w:divBdr>
        <w:top w:val="none" w:sz="0" w:space="0" w:color="auto"/>
        <w:left w:val="none" w:sz="0" w:space="0" w:color="auto"/>
        <w:bottom w:val="none" w:sz="0" w:space="0" w:color="auto"/>
        <w:right w:val="none" w:sz="0" w:space="0" w:color="auto"/>
      </w:divBdr>
      <w:divsChild>
        <w:div w:id="1514537602">
          <w:marLeft w:val="0"/>
          <w:marRight w:val="0"/>
          <w:marTop w:val="0"/>
          <w:marBottom w:val="0"/>
          <w:divBdr>
            <w:top w:val="none" w:sz="0" w:space="0" w:color="auto"/>
            <w:left w:val="none" w:sz="0" w:space="0" w:color="auto"/>
            <w:bottom w:val="none" w:sz="0" w:space="0" w:color="auto"/>
            <w:right w:val="none" w:sz="0" w:space="0" w:color="auto"/>
          </w:divBdr>
          <w:divsChild>
            <w:div w:id="458377442">
              <w:marLeft w:val="0"/>
              <w:marRight w:val="0"/>
              <w:marTop w:val="0"/>
              <w:marBottom w:val="0"/>
              <w:divBdr>
                <w:top w:val="none" w:sz="0" w:space="0" w:color="auto"/>
                <w:left w:val="none" w:sz="0" w:space="0" w:color="auto"/>
                <w:bottom w:val="none" w:sz="0" w:space="0" w:color="auto"/>
                <w:right w:val="none" w:sz="0" w:space="0" w:color="auto"/>
              </w:divBdr>
              <w:divsChild>
                <w:div w:id="1995526237">
                  <w:marLeft w:val="0"/>
                  <w:marRight w:val="0"/>
                  <w:marTop w:val="0"/>
                  <w:marBottom w:val="0"/>
                  <w:divBdr>
                    <w:top w:val="none" w:sz="0" w:space="0" w:color="auto"/>
                    <w:left w:val="none" w:sz="0" w:space="0" w:color="auto"/>
                    <w:bottom w:val="none" w:sz="0" w:space="0" w:color="auto"/>
                    <w:right w:val="none" w:sz="0" w:space="0" w:color="auto"/>
                  </w:divBdr>
                  <w:divsChild>
                    <w:div w:id="851799207">
                      <w:marLeft w:val="0"/>
                      <w:marRight w:val="0"/>
                      <w:marTop w:val="0"/>
                      <w:marBottom w:val="300"/>
                      <w:divBdr>
                        <w:top w:val="single" w:sz="6" w:space="14" w:color="E3E3E3"/>
                        <w:left w:val="single" w:sz="6" w:space="14" w:color="E3E3E3"/>
                        <w:bottom w:val="single" w:sz="6" w:space="14" w:color="E3E3E3"/>
                        <w:right w:val="single" w:sz="6" w:space="14" w:color="E3E3E3"/>
                      </w:divBdr>
                    </w:div>
                  </w:divsChild>
                </w:div>
              </w:divsChild>
            </w:div>
            <w:div w:id="808867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873971">
      <w:bodyDiv w:val="1"/>
      <w:marLeft w:val="0"/>
      <w:marRight w:val="0"/>
      <w:marTop w:val="0"/>
      <w:marBottom w:val="0"/>
      <w:divBdr>
        <w:top w:val="none" w:sz="0" w:space="0" w:color="auto"/>
        <w:left w:val="none" w:sz="0" w:space="0" w:color="auto"/>
        <w:bottom w:val="none" w:sz="0" w:space="0" w:color="auto"/>
        <w:right w:val="none" w:sz="0" w:space="0" w:color="auto"/>
      </w:divBdr>
      <w:divsChild>
        <w:div w:id="1065301628">
          <w:marLeft w:val="0"/>
          <w:marRight w:val="0"/>
          <w:marTop w:val="0"/>
          <w:marBottom w:val="0"/>
          <w:divBdr>
            <w:top w:val="none" w:sz="0" w:space="0" w:color="auto"/>
            <w:left w:val="none" w:sz="0" w:space="0" w:color="auto"/>
            <w:bottom w:val="none" w:sz="0" w:space="0" w:color="auto"/>
            <w:right w:val="none" w:sz="0" w:space="0" w:color="auto"/>
          </w:divBdr>
        </w:div>
      </w:divsChild>
    </w:div>
    <w:div w:id="1487936315">
      <w:bodyDiv w:val="1"/>
      <w:marLeft w:val="0"/>
      <w:marRight w:val="0"/>
      <w:marTop w:val="0"/>
      <w:marBottom w:val="0"/>
      <w:divBdr>
        <w:top w:val="none" w:sz="0" w:space="0" w:color="auto"/>
        <w:left w:val="none" w:sz="0" w:space="0" w:color="auto"/>
        <w:bottom w:val="none" w:sz="0" w:space="0" w:color="auto"/>
        <w:right w:val="none" w:sz="0" w:space="0" w:color="auto"/>
      </w:divBdr>
      <w:divsChild>
        <w:div w:id="455218173">
          <w:marLeft w:val="0"/>
          <w:marRight w:val="0"/>
          <w:marTop w:val="0"/>
          <w:marBottom w:val="0"/>
          <w:divBdr>
            <w:top w:val="none" w:sz="0" w:space="0" w:color="auto"/>
            <w:left w:val="none" w:sz="0" w:space="0" w:color="auto"/>
            <w:bottom w:val="none" w:sz="0" w:space="0" w:color="auto"/>
            <w:right w:val="none" w:sz="0" w:space="0" w:color="auto"/>
          </w:divBdr>
          <w:divsChild>
            <w:div w:id="1098601282">
              <w:marLeft w:val="0"/>
              <w:marRight w:val="0"/>
              <w:marTop w:val="0"/>
              <w:marBottom w:val="0"/>
              <w:divBdr>
                <w:top w:val="none" w:sz="0" w:space="0" w:color="auto"/>
                <w:left w:val="none" w:sz="0" w:space="0" w:color="auto"/>
                <w:bottom w:val="none" w:sz="0" w:space="0" w:color="auto"/>
                <w:right w:val="none" w:sz="0" w:space="0" w:color="auto"/>
              </w:divBdr>
              <w:divsChild>
                <w:div w:id="136197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905715">
      <w:bodyDiv w:val="1"/>
      <w:marLeft w:val="0"/>
      <w:marRight w:val="0"/>
      <w:marTop w:val="0"/>
      <w:marBottom w:val="0"/>
      <w:divBdr>
        <w:top w:val="none" w:sz="0" w:space="0" w:color="auto"/>
        <w:left w:val="none" w:sz="0" w:space="0" w:color="auto"/>
        <w:bottom w:val="none" w:sz="0" w:space="0" w:color="auto"/>
        <w:right w:val="none" w:sz="0" w:space="0" w:color="auto"/>
      </w:divBdr>
    </w:div>
    <w:div w:id="1659335398">
      <w:bodyDiv w:val="1"/>
      <w:marLeft w:val="0"/>
      <w:marRight w:val="0"/>
      <w:marTop w:val="0"/>
      <w:marBottom w:val="0"/>
      <w:divBdr>
        <w:top w:val="none" w:sz="0" w:space="0" w:color="auto"/>
        <w:left w:val="none" w:sz="0" w:space="0" w:color="auto"/>
        <w:bottom w:val="none" w:sz="0" w:space="0" w:color="auto"/>
        <w:right w:val="none" w:sz="0" w:space="0" w:color="auto"/>
      </w:divBdr>
    </w:div>
    <w:div w:id="1686010988">
      <w:bodyDiv w:val="1"/>
      <w:marLeft w:val="0"/>
      <w:marRight w:val="0"/>
      <w:marTop w:val="0"/>
      <w:marBottom w:val="0"/>
      <w:divBdr>
        <w:top w:val="none" w:sz="0" w:space="0" w:color="auto"/>
        <w:left w:val="none" w:sz="0" w:space="0" w:color="auto"/>
        <w:bottom w:val="none" w:sz="0" w:space="0" w:color="auto"/>
        <w:right w:val="none" w:sz="0" w:space="0" w:color="auto"/>
      </w:divBdr>
    </w:div>
    <w:div w:id="1688601445">
      <w:bodyDiv w:val="1"/>
      <w:marLeft w:val="0"/>
      <w:marRight w:val="0"/>
      <w:marTop w:val="0"/>
      <w:marBottom w:val="0"/>
      <w:divBdr>
        <w:top w:val="none" w:sz="0" w:space="0" w:color="auto"/>
        <w:left w:val="none" w:sz="0" w:space="0" w:color="auto"/>
        <w:bottom w:val="none" w:sz="0" w:space="0" w:color="auto"/>
        <w:right w:val="none" w:sz="0" w:space="0" w:color="auto"/>
      </w:divBdr>
    </w:div>
    <w:div w:id="1758868619">
      <w:bodyDiv w:val="1"/>
      <w:marLeft w:val="0"/>
      <w:marRight w:val="0"/>
      <w:marTop w:val="0"/>
      <w:marBottom w:val="0"/>
      <w:divBdr>
        <w:top w:val="none" w:sz="0" w:space="0" w:color="auto"/>
        <w:left w:val="none" w:sz="0" w:space="0" w:color="auto"/>
        <w:bottom w:val="none" w:sz="0" w:space="0" w:color="auto"/>
        <w:right w:val="none" w:sz="0" w:space="0" w:color="auto"/>
      </w:divBdr>
      <w:divsChild>
        <w:div w:id="843594235">
          <w:marLeft w:val="0"/>
          <w:marRight w:val="0"/>
          <w:marTop w:val="0"/>
          <w:marBottom w:val="0"/>
          <w:divBdr>
            <w:top w:val="none" w:sz="0" w:space="0" w:color="auto"/>
            <w:left w:val="none" w:sz="0" w:space="0" w:color="auto"/>
            <w:bottom w:val="none" w:sz="0" w:space="0" w:color="auto"/>
            <w:right w:val="none" w:sz="0" w:space="0" w:color="auto"/>
          </w:divBdr>
        </w:div>
      </w:divsChild>
    </w:div>
    <w:div w:id="1819414574">
      <w:bodyDiv w:val="1"/>
      <w:marLeft w:val="0"/>
      <w:marRight w:val="0"/>
      <w:marTop w:val="0"/>
      <w:marBottom w:val="0"/>
      <w:divBdr>
        <w:top w:val="none" w:sz="0" w:space="0" w:color="auto"/>
        <w:left w:val="none" w:sz="0" w:space="0" w:color="auto"/>
        <w:bottom w:val="none" w:sz="0" w:space="0" w:color="auto"/>
        <w:right w:val="none" w:sz="0" w:space="0" w:color="auto"/>
      </w:divBdr>
    </w:div>
    <w:div w:id="1850439303">
      <w:bodyDiv w:val="1"/>
      <w:marLeft w:val="0"/>
      <w:marRight w:val="0"/>
      <w:marTop w:val="0"/>
      <w:marBottom w:val="0"/>
      <w:divBdr>
        <w:top w:val="none" w:sz="0" w:space="0" w:color="auto"/>
        <w:left w:val="none" w:sz="0" w:space="0" w:color="auto"/>
        <w:bottom w:val="none" w:sz="0" w:space="0" w:color="auto"/>
        <w:right w:val="none" w:sz="0" w:space="0" w:color="auto"/>
      </w:divBdr>
      <w:divsChild>
        <w:div w:id="284702079">
          <w:marLeft w:val="0"/>
          <w:marRight w:val="0"/>
          <w:marTop w:val="0"/>
          <w:marBottom w:val="0"/>
          <w:divBdr>
            <w:top w:val="none" w:sz="0" w:space="0" w:color="auto"/>
            <w:left w:val="none" w:sz="0" w:space="0" w:color="auto"/>
            <w:bottom w:val="none" w:sz="0" w:space="0" w:color="auto"/>
            <w:right w:val="none" w:sz="0" w:space="0" w:color="auto"/>
          </w:divBdr>
          <w:divsChild>
            <w:div w:id="1166827657">
              <w:marLeft w:val="0"/>
              <w:marRight w:val="0"/>
              <w:marTop w:val="0"/>
              <w:marBottom w:val="0"/>
              <w:divBdr>
                <w:top w:val="none" w:sz="0" w:space="0" w:color="auto"/>
                <w:left w:val="none" w:sz="0" w:space="0" w:color="auto"/>
                <w:bottom w:val="none" w:sz="0" w:space="0" w:color="auto"/>
                <w:right w:val="none" w:sz="0" w:space="0" w:color="auto"/>
              </w:divBdr>
            </w:div>
          </w:divsChild>
        </w:div>
        <w:div w:id="369457080">
          <w:marLeft w:val="0"/>
          <w:marRight w:val="0"/>
          <w:marTop w:val="0"/>
          <w:marBottom w:val="150"/>
          <w:divBdr>
            <w:top w:val="none" w:sz="0" w:space="0" w:color="auto"/>
            <w:left w:val="none" w:sz="0" w:space="0" w:color="auto"/>
            <w:bottom w:val="none" w:sz="0" w:space="0" w:color="auto"/>
            <w:right w:val="none" w:sz="0" w:space="0" w:color="auto"/>
          </w:divBdr>
          <w:divsChild>
            <w:div w:id="1221329480">
              <w:marLeft w:val="0"/>
              <w:marRight w:val="0"/>
              <w:marTop w:val="0"/>
              <w:marBottom w:val="0"/>
              <w:divBdr>
                <w:top w:val="none" w:sz="0" w:space="0" w:color="auto"/>
                <w:left w:val="none" w:sz="0" w:space="0" w:color="auto"/>
                <w:bottom w:val="none" w:sz="0" w:space="0" w:color="auto"/>
                <w:right w:val="none" w:sz="0" w:space="0" w:color="auto"/>
              </w:divBdr>
              <w:divsChild>
                <w:div w:id="1598706582">
                  <w:marLeft w:val="0"/>
                  <w:marRight w:val="0"/>
                  <w:marTop w:val="0"/>
                  <w:marBottom w:val="0"/>
                  <w:divBdr>
                    <w:top w:val="none" w:sz="0" w:space="0" w:color="auto"/>
                    <w:left w:val="none" w:sz="0" w:space="0" w:color="auto"/>
                    <w:bottom w:val="none" w:sz="0" w:space="0" w:color="auto"/>
                    <w:right w:val="none" w:sz="0" w:space="0" w:color="auto"/>
                  </w:divBdr>
                  <w:divsChild>
                    <w:div w:id="1666205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1793002">
      <w:bodyDiv w:val="1"/>
      <w:marLeft w:val="0"/>
      <w:marRight w:val="0"/>
      <w:marTop w:val="0"/>
      <w:marBottom w:val="0"/>
      <w:divBdr>
        <w:top w:val="none" w:sz="0" w:space="0" w:color="auto"/>
        <w:left w:val="none" w:sz="0" w:space="0" w:color="auto"/>
        <w:bottom w:val="none" w:sz="0" w:space="0" w:color="auto"/>
        <w:right w:val="none" w:sz="0" w:space="0" w:color="auto"/>
      </w:divBdr>
    </w:div>
    <w:div w:id="1867130773">
      <w:bodyDiv w:val="1"/>
      <w:marLeft w:val="0"/>
      <w:marRight w:val="0"/>
      <w:marTop w:val="0"/>
      <w:marBottom w:val="0"/>
      <w:divBdr>
        <w:top w:val="none" w:sz="0" w:space="0" w:color="auto"/>
        <w:left w:val="none" w:sz="0" w:space="0" w:color="auto"/>
        <w:bottom w:val="none" w:sz="0" w:space="0" w:color="auto"/>
        <w:right w:val="none" w:sz="0" w:space="0" w:color="auto"/>
      </w:divBdr>
    </w:div>
    <w:div w:id="1880773168">
      <w:bodyDiv w:val="1"/>
      <w:marLeft w:val="0"/>
      <w:marRight w:val="0"/>
      <w:marTop w:val="0"/>
      <w:marBottom w:val="0"/>
      <w:divBdr>
        <w:top w:val="none" w:sz="0" w:space="0" w:color="auto"/>
        <w:left w:val="none" w:sz="0" w:space="0" w:color="auto"/>
        <w:bottom w:val="none" w:sz="0" w:space="0" w:color="auto"/>
        <w:right w:val="none" w:sz="0" w:space="0" w:color="auto"/>
      </w:divBdr>
    </w:div>
    <w:div w:id="1983273185">
      <w:bodyDiv w:val="1"/>
      <w:marLeft w:val="0"/>
      <w:marRight w:val="0"/>
      <w:marTop w:val="0"/>
      <w:marBottom w:val="0"/>
      <w:divBdr>
        <w:top w:val="none" w:sz="0" w:space="0" w:color="auto"/>
        <w:left w:val="none" w:sz="0" w:space="0" w:color="auto"/>
        <w:bottom w:val="none" w:sz="0" w:space="0" w:color="auto"/>
        <w:right w:val="none" w:sz="0" w:space="0" w:color="auto"/>
      </w:divBdr>
    </w:div>
    <w:div w:id="1984386371">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sChild>
        <w:div w:id="1026711635">
          <w:marLeft w:val="0"/>
          <w:marRight w:val="0"/>
          <w:marTop w:val="0"/>
          <w:marBottom w:val="0"/>
          <w:divBdr>
            <w:top w:val="none" w:sz="0" w:space="0" w:color="auto"/>
            <w:left w:val="none" w:sz="0" w:space="0" w:color="auto"/>
            <w:bottom w:val="none" w:sz="0" w:space="0" w:color="auto"/>
            <w:right w:val="none" w:sz="0" w:space="0" w:color="auto"/>
          </w:divBdr>
          <w:divsChild>
            <w:div w:id="278415220">
              <w:marLeft w:val="0"/>
              <w:marRight w:val="0"/>
              <w:marTop w:val="0"/>
              <w:marBottom w:val="0"/>
              <w:divBdr>
                <w:top w:val="none" w:sz="0" w:space="0" w:color="auto"/>
                <w:left w:val="none" w:sz="0" w:space="0" w:color="auto"/>
                <w:bottom w:val="none" w:sz="0" w:space="0" w:color="auto"/>
                <w:right w:val="none" w:sz="0" w:space="0" w:color="auto"/>
              </w:divBdr>
              <w:divsChild>
                <w:div w:id="148878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245052">
      <w:bodyDiv w:val="1"/>
      <w:marLeft w:val="0"/>
      <w:marRight w:val="0"/>
      <w:marTop w:val="0"/>
      <w:marBottom w:val="0"/>
      <w:divBdr>
        <w:top w:val="none" w:sz="0" w:space="0" w:color="auto"/>
        <w:left w:val="none" w:sz="0" w:space="0" w:color="auto"/>
        <w:bottom w:val="none" w:sz="0" w:space="0" w:color="auto"/>
        <w:right w:val="none" w:sz="0" w:space="0" w:color="auto"/>
      </w:divBdr>
    </w:div>
    <w:div w:id="2016761968">
      <w:bodyDiv w:val="1"/>
      <w:marLeft w:val="0"/>
      <w:marRight w:val="0"/>
      <w:marTop w:val="0"/>
      <w:marBottom w:val="0"/>
      <w:divBdr>
        <w:top w:val="none" w:sz="0" w:space="0" w:color="auto"/>
        <w:left w:val="none" w:sz="0" w:space="0" w:color="auto"/>
        <w:bottom w:val="none" w:sz="0" w:space="0" w:color="auto"/>
        <w:right w:val="none" w:sz="0" w:space="0" w:color="auto"/>
      </w:divBdr>
    </w:div>
    <w:div w:id="2031446930">
      <w:bodyDiv w:val="1"/>
      <w:marLeft w:val="0"/>
      <w:marRight w:val="0"/>
      <w:marTop w:val="0"/>
      <w:marBottom w:val="0"/>
      <w:divBdr>
        <w:top w:val="none" w:sz="0" w:space="0" w:color="auto"/>
        <w:left w:val="none" w:sz="0" w:space="0" w:color="auto"/>
        <w:bottom w:val="none" w:sz="0" w:space="0" w:color="auto"/>
        <w:right w:val="none" w:sz="0" w:space="0" w:color="auto"/>
      </w:divBdr>
    </w:div>
    <w:div w:id="2074425295">
      <w:bodyDiv w:val="1"/>
      <w:marLeft w:val="0"/>
      <w:marRight w:val="0"/>
      <w:marTop w:val="0"/>
      <w:marBottom w:val="0"/>
      <w:divBdr>
        <w:top w:val="none" w:sz="0" w:space="0" w:color="auto"/>
        <w:left w:val="none" w:sz="0" w:space="0" w:color="auto"/>
        <w:bottom w:val="none" w:sz="0" w:space="0" w:color="auto"/>
        <w:right w:val="none" w:sz="0" w:space="0" w:color="auto"/>
      </w:divBdr>
      <w:divsChild>
        <w:div w:id="148405083">
          <w:marLeft w:val="0"/>
          <w:marRight w:val="0"/>
          <w:marTop w:val="0"/>
          <w:marBottom w:val="0"/>
          <w:divBdr>
            <w:top w:val="none" w:sz="0" w:space="0" w:color="auto"/>
            <w:left w:val="none" w:sz="0" w:space="0" w:color="auto"/>
            <w:bottom w:val="none" w:sz="0" w:space="0" w:color="auto"/>
            <w:right w:val="none" w:sz="0" w:space="0" w:color="auto"/>
          </w:divBdr>
          <w:divsChild>
            <w:div w:id="1668895710">
              <w:marLeft w:val="0"/>
              <w:marRight w:val="0"/>
              <w:marTop w:val="0"/>
              <w:marBottom w:val="0"/>
              <w:divBdr>
                <w:top w:val="none" w:sz="0" w:space="0" w:color="auto"/>
                <w:left w:val="none" w:sz="0" w:space="0" w:color="auto"/>
                <w:bottom w:val="none" w:sz="0" w:space="0" w:color="auto"/>
                <w:right w:val="none" w:sz="0" w:space="0" w:color="auto"/>
              </w:divBdr>
              <w:divsChild>
                <w:div w:id="108333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633026">
          <w:marLeft w:val="0"/>
          <w:marRight w:val="0"/>
          <w:marTop w:val="0"/>
          <w:marBottom w:val="0"/>
          <w:divBdr>
            <w:top w:val="none" w:sz="0" w:space="0" w:color="auto"/>
            <w:left w:val="none" w:sz="0" w:space="0" w:color="auto"/>
            <w:bottom w:val="none" w:sz="0" w:space="0" w:color="auto"/>
            <w:right w:val="none" w:sz="0" w:space="0" w:color="auto"/>
          </w:divBdr>
          <w:divsChild>
            <w:div w:id="603652489">
              <w:marLeft w:val="0"/>
              <w:marRight w:val="0"/>
              <w:marTop w:val="0"/>
              <w:marBottom w:val="0"/>
              <w:divBdr>
                <w:top w:val="none" w:sz="0" w:space="0" w:color="auto"/>
                <w:left w:val="none" w:sz="0" w:space="0" w:color="auto"/>
                <w:bottom w:val="none" w:sz="0" w:space="0" w:color="auto"/>
                <w:right w:val="none" w:sz="0" w:space="0" w:color="auto"/>
              </w:divBdr>
              <w:divsChild>
                <w:div w:id="1388068646">
                  <w:marLeft w:val="0"/>
                  <w:marRight w:val="0"/>
                  <w:marTop w:val="0"/>
                  <w:marBottom w:val="0"/>
                  <w:divBdr>
                    <w:top w:val="none" w:sz="0" w:space="0" w:color="auto"/>
                    <w:left w:val="none" w:sz="0" w:space="0" w:color="auto"/>
                    <w:bottom w:val="none" w:sz="0" w:space="0" w:color="auto"/>
                    <w:right w:val="none" w:sz="0" w:space="0" w:color="auto"/>
                  </w:divBdr>
                  <w:divsChild>
                    <w:div w:id="153788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5756699">
      <w:bodyDiv w:val="1"/>
      <w:marLeft w:val="0"/>
      <w:marRight w:val="0"/>
      <w:marTop w:val="0"/>
      <w:marBottom w:val="0"/>
      <w:divBdr>
        <w:top w:val="none" w:sz="0" w:space="0" w:color="auto"/>
        <w:left w:val="none" w:sz="0" w:space="0" w:color="auto"/>
        <w:bottom w:val="none" w:sz="0" w:space="0" w:color="auto"/>
        <w:right w:val="none" w:sz="0" w:space="0" w:color="auto"/>
      </w:divBdr>
      <w:divsChild>
        <w:div w:id="1195004580">
          <w:marLeft w:val="0"/>
          <w:marRight w:val="0"/>
          <w:marTop w:val="0"/>
          <w:marBottom w:val="0"/>
          <w:divBdr>
            <w:top w:val="none" w:sz="0" w:space="0" w:color="auto"/>
            <w:left w:val="none" w:sz="0" w:space="0" w:color="auto"/>
            <w:bottom w:val="none" w:sz="0" w:space="0" w:color="auto"/>
            <w:right w:val="none" w:sz="0" w:space="0" w:color="auto"/>
          </w:divBdr>
          <w:divsChild>
            <w:div w:id="403381569">
              <w:marLeft w:val="0"/>
              <w:marRight w:val="0"/>
              <w:marTop w:val="0"/>
              <w:marBottom w:val="0"/>
              <w:divBdr>
                <w:top w:val="none" w:sz="0" w:space="0" w:color="auto"/>
                <w:left w:val="none" w:sz="0" w:space="0" w:color="auto"/>
                <w:bottom w:val="none" w:sz="0" w:space="0" w:color="auto"/>
                <w:right w:val="none" w:sz="0" w:space="0" w:color="auto"/>
              </w:divBdr>
              <w:divsChild>
                <w:div w:id="30554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946220">
      <w:bodyDiv w:val="1"/>
      <w:marLeft w:val="0"/>
      <w:marRight w:val="0"/>
      <w:marTop w:val="0"/>
      <w:marBottom w:val="0"/>
      <w:divBdr>
        <w:top w:val="none" w:sz="0" w:space="0" w:color="auto"/>
        <w:left w:val="none" w:sz="0" w:space="0" w:color="auto"/>
        <w:bottom w:val="none" w:sz="0" w:space="0" w:color="auto"/>
        <w:right w:val="none" w:sz="0" w:space="0" w:color="auto"/>
      </w:divBdr>
      <w:divsChild>
        <w:div w:id="957250629">
          <w:marLeft w:val="0"/>
          <w:marRight w:val="0"/>
          <w:marTop w:val="0"/>
          <w:marBottom w:val="0"/>
          <w:divBdr>
            <w:top w:val="none" w:sz="0" w:space="0" w:color="auto"/>
            <w:left w:val="none" w:sz="0" w:space="0" w:color="auto"/>
            <w:bottom w:val="none" w:sz="0" w:space="0" w:color="auto"/>
            <w:right w:val="none" w:sz="0" w:space="0" w:color="auto"/>
          </w:divBdr>
          <w:divsChild>
            <w:div w:id="1837720558">
              <w:marLeft w:val="0"/>
              <w:marRight w:val="0"/>
              <w:marTop w:val="0"/>
              <w:marBottom w:val="0"/>
              <w:divBdr>
                <w:top w:val="none" w:sz="0" w:space="0" w:color="auto"/>
                <w:left w:val="none" w:sz="0" w:space="0" w:color="auto"/>
                <w:bottom w:val="none" w:sz="0" w:space="0" w:color="auto"/>
                <w:right w:val="none" w:sz="0" w:space="0" w:color="auto"/>
              </w:divBdr>
              <w:divsChild>
                <w:div w:id="1545798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809214">
          <w:marLeft w:val="0"/>
          <w:marRight w:val="0"/>
          <w:marTop w:val="0"/>
          <w:marBottom w:val="0"/>
          <w:divBdr>
            <w:top w:val="none" w:sz="0" w:space="0" w:color="auto"/>
            <w:left w:val="none" w:sz="0" w:space="0" w:color="auto"/>
            <w:bottom w:val="none" w:sz="0" w:space="0" w:color="auto"/>
            <w:right w:val="none" w:sz="0" w:space="0" w:color="auto"/>
          </w:divBdr>
          <w:divsChild>
            <w:div w:id="1446971294">
              <w:marLeft w:val="0"/>
              <w:marRight w:val="0"/>
              <w:marTop w:val="0"/>
              <w:marBottom w:val="0"/>
              <w:divBdr>
                <w:top w:val="none" w:sz="0" w:space="0" w:color="auto"/>
                <w:left w:val="none" w:sz="0" w:space="0" w:color="auto"/>
                <w:bottom w:val="none" w:sz="0" w:space="0" w:color="auto"/>
                <w:right w:val="none" w:sz="0" w:space="0" w:color="auto"/>
              </w:divBdr>
              <w:divsChild>
                <w:div w:id="910770386">
                  <w:marLeft w:val="0"/>
                  <w:marRight w:val="0"/>
                  <w:marTop w:val="0"/>
                  <w:marBottom w:val="0"/>
                  <w:divBdr>
                    <w:top w:val="none" w:sz="0" w:space="0" w:color="auto"/>
                    <w:left w:val="none" w:sz="0" w:space="0" w:color="auto"/>
                    <w:bottom w:val="none" w:sz="0" w:space="0" w:color="auto"/>
                    <w:right w:val="none" w:sz="0" w:space="0" w:color="auto"/>
                  </w:divBdr>
                  <w:divsChild>
                    <w:div w:id="1487085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image" Target="media/image5.emf"/><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B08C67D19E496499D068DD73FB28CA8" ma:contentTypeVersion="13" ma:contentTypeDescription="Create a new document." ma:contentTypeScope="" ma:versionID="056cbab48a76f4edf34d54b52d6e02c4">
  <xsd:schema xmlns:xsd="http://www.w3.org/2001/XMLSchema" xmlns:xs="http://www.w3.org/2001/XMLSchema" xmlns:p="http://schemas.microsoft.com/office/2006/metadata/properties" xmlns:ns3="ab281ab5-f419-4215-b698-b416d8849b0d" xmlns:ns4="21f8e81a-964b-4e64-a196-e46f2f161f96" targetNamespace="http://schemas.microsoft.com/office/2006/metadata/properties" ma:root="true" ma:fieldsID="efbd038eeeeee526708bcd9b8d2c2c4e" ns3:_="" ns4:_="">
    <xsd:import namespace="ab281ab5-f419-4215-b698-b416d8849b0d"/>
    <xsd:import namespace="21f8e81a-964b-4e64-a196-e46f2f161f9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AutoKeyPoints" minOccurs="0"/>
                <xsd:element ref="ns3:MediaServiceKeyPoints" minOccurs="0"/>
                <xsd:element ref="ns3:MediaServiceGenerationTime" minOccurs="0"/>
                <xsd:element ref="ns3:MediaServiceEventHashCode"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281ab5-f419-4215-b698-b416d8849b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1f8e81a-964b-4e64-a196-e46f2f161f9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115BD0-F198-4EC7-8122-B0B34BBE475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A07F597-E94C-4D51-A03A-6B240681EA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281ab5-f419-4215-b698-b416d8849b0d"/>
    <ds:schemaRef ds:uri="21f8e81a-964b-4e64-a196-e46f2f161f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05E46C-AC0D-42F9-998E-D62A5B6010E8}">
  <ds:schemaRefs>
    <ds:schemaRef ds:uri="http://schemas.openxmlformats.org/officeDocument/2006/bibliography"/>
  </ds:schemaRefs>
</ds:datastoreItem>
</file>

<file path=customXml/itemProps4.xml><?xml version="1.0" encoding="utf-8"?>
<ds:datastoreItem xmlns:ds="http://schemas.openxmlformats.org/officeDocument/2006/customXml" ds:itemID="{13642338-1BF0-45D0-90C7-931D1F295D5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5317</Words>
  <Characters>30307</Characters>
  <Application>Microsoft Office Word</Application>
  <DocSecurity>0</DocSecurity>
  <Lines>252</Lines>
  <Paragraphs>71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University of Queensland</Company>
  <LinksUpToDate>false</LinksUpToDate>
  <CharactersWithSpaces>35553</CharactersWithSpaces>
  <SharedDoc>false</SharedDoc>
  <HLinks>
    <vt:vector size="138" baseType="variant">
      <vt:variant>
        <vt:i4>1900596</vt:i4>
      </vt:variant>
      <vt:variant>
        <vt:i4>221</vt:i4>
      </vt:variant>
      <vt:variant>
        <vt:i4>0</vt:i4>
      </vt:variant>
      <vt:variant>
        <vt:i4>5</vt:i4>
      </vt:variant>
      <vt:variant>
        <vt:lpwstr/>
      </vt:variant>
      <vt:variant>
        <vt:lpwstr>_Toc113618758</vt:lpwstr>
      </vt:variant>
      <vt:variant>
        <vt:i4>1900596</vt:i4>
      </vt:variant>
      <vt:variant>
        <vt:i4>215</vt:i4>
      </vt:variant>
      <vt:variant>
        <vt:i4>0</vt:i4>
      </vt:variant>
      <vt:variant>
        <vt:i4>5</vt:i4>
      </vt:variant>
      <vt:variant>
        <vt:lpwstr/>
      </vt:variant>
      <vt:variant>
        <vt:lpwstr>_Toc113618757</vt:lpwstr>
      </vt:variant>
      <vt:variant>
        <vt:i4>1900596</vt:i4>
      </vt:variant>
      <vt:variant>
        <vt:i4>209</vt:i4>
      </vt:variant>
      <vt:variant>
        <vt:i4>0</vt:i4>
      </vt:variant>
      <vt:variant>
        <vt:i4>5</vt:i4>
      </vt:variant>
      <vt:variant>
        <vt:lpwstr/>
      </vt:variant>
      <vt:variant>
        <vt:lpwstr>_Toc113618756</vt:lpwstr>
      </vt:variant>
      <vt:variant>
        <vt:i4>1900596</vt:i4>
      </vt:variant>
      <vt:variant>
        <vt:i4>203</vt:i4>
      </vt:variant>
      <vt:variant>
        <vt:i4>0</vt:i4>
      </vt:variant>
      <vt:variant>
        <vt:i4>5</vt:i4>
      </vt:variant>
      <vt:variant>
        <vt:lpwstr/>
      </vt:variant>
      <vt:variant>
        <vt:lpwstr>_Toc113618755</vt:lpwstr>
      </vt:variant>
      <vt:variant>
        <vt:i4>1900596</vt:i4>
      </vt:variant>
      <vt:variant>
        <vt:i4>197</vt:i4>
      </vt:variant>
      <vt:variant>
        <vt:i4>0</vt:i4>
      </vt:variant>
      <vt:variant>
        <vt:i4>5</vt:i4>
      </vt:variant>
      <vt:variant>
        <vt:lpwstr/>
      </vt:variant>
      <vt:variant>
        <vt:lpwstr>_Toc113618754</vt:lpwstr>
      </vt:variant>
      <vt:variant>
        <vt:i4>1900596</vt:i4>
      </vt:variant>
      <vt:variant>
        <vt:i4>191</vt:i4>
      </vt:variant>
      <vt:variant>
        <vt:i4>0</vt:i4>
      </vt:variant>
      <vt:variant>
        <vt:i4>5</vt:i4>
      </vt:variant>
      <vt:variant>
        <vt:lpwstr/>
      </vt:variant>
      <vt:variant>
        <vt:lpwstr>_Toc113618753</vt:lpwstr>
      </vt:variant>
      <vt:variant>
        <vt:i4>3866669</vt:i4>
      </vt:variant>
      <vt:variant>
        <vt:i4>138</vt:i4>
      </vt:variant>
      <vt:variant>
        <vt:i4>0</vt:i4>
      </vt:variant>
      <vt:variant>
        <vt:i4>5</vt:i4>
      </vt:variant>
      <vt:variant>
        <vt:lpwstr>https://www.nejm.org/doi/10.1056/NEJMc2207661?url_ver=Z39.88-2003&amp;rfr_id=ori:rid:crossref.org&amp;rfr_dat=cr_pub%20%200pubmed</vt:lpwstr>
      </vt:variant>
      <vt:variant>
        <vt:lpwstr/>
      </vt:variant>
      <vt:variant>
        <vt:i4>5898246</vt:i4>
      </vt:variant>
      <vt:variant>
        <vt:i4>45</vt:i4>
      </vt:variant>
      <vt:variant>
        <vt:i4>0</vt:i4>
      </vt:variant>
      <vt:variant>
        <vt:i4>5</vt:i4>
      </vt:variant>
      <vt:variant>
        <vt:lpwstr>https://pubmed.ncbi.nlm.nih.gov/33873044/</vt:lpwstr>
      </vt:variant>
      <vt:variant>
        <vt:lpwstr>affiliation-2</vt:lpwstr>
      </vt:variant>
      <vt:variant>
        <vt:i4>5963873</vt:i4>
      </vt:variant>
      <vt:variant>
        <vt:i4>42</vt:i4>
      </vt:variant>
      <vt:variant>
        <vt:i4>0</vt:i4>
      </vt:variant>
      <vt:variant>
        <vt:i4>5</vt:i4>
      </vt:variant>
      <vt:variant>
        <vt:lpwstr>https://pubmed.ncbi.nlm.nih.gov/?sort=date&amp;term=Walsh+C&amp;cauthor_id=33873044</vt:lpwstr>
      </vt:variant>
      <vt:variant>
        <vt:lpwstr/>
      </vt:variant>
      <vt:variant>
        <vt:i4>5898246</vt:i4>
      </vt:variant>
      <vt:variant>
        <vt:i4>39</vt:i4>
      </vt:variant>
      <vt:variant>
        <vt:i4>0</vt:i4>
      </vt:variant>
      <vt:variant>
        <vt:i4>5</vt:i4>
      </vt:variant>
      <vt:variant>
        <vt:lpwstr>https://pubmed.ncbi.nlm.nih.gov/33873044/</vt:lpwstr>
      </vt:variant>
      <vt:variant>
        <vt:lpwstr>affiliation-1</vt:lpwstr>
      </vt:variant>
      <vt:variant>
        <vt:i4>4259936</vt:i4>
      </vt:variant>
      <vt:variant>
        <vt:i4>36</vt:i4>
      </vt:variant>
      <vt:variant>
        <vt:i4>0</vt:i4>
      </vt:variant>
      <vt:variant>
        <vt:i4>5</vt:i4>
      </vt:variant>
      <vt:variant>
        <vt:lpwstr>https://pubmed.ncbi.nlm.nih.gov/?sort=date&amp;term=Hasin+D&amp;cauthor_id=33873044</vt:lpwstr>
      </vt:variant>
      <vt:variant>
        <vt:lpwstr/>
      </vt:variant>
      <vt:variant>
        <vt:i4>5439497</vt:i4>
      </vt:variant>
      <vt:variant>
        <vt:i4>33</vt:i4>
      </vt:variant>
      <vt:variant>
        <vt:i4>0</vt:i4>
      </vt:variant>
      <vt:variant>
        <vt:i4>5</vt:i4>
      </vt:variant>
      <vt:variant>
        <vt:lpwstr>https://pubmed.ncbi.nlm.nih.gov/36001718/</vt:lpwstr>
      </vt:variant>
      <vt:variant>
        <vt:lpwstr>affiliation-4</vt:lpwstr>
      </vt:variant>
      <vt:variant>
        <vt:i4>3473432</vt:i4>
      </vt:variant>
      <vt:variant>
        <vt:i4>30</vt:i4>
      </vt:variant>
      <vt:variant>
        <vt:i4>0</vt:i4>
      </vt:variant>
      <vt:variant>
        <vt:i4>5</vt:i4>
      </vt:variant>
      <vt:variant>
        <vt:lpwstr>https://pubmed.ncbi.nlm.nih.gov/?sort=date&amp;term=Finkelstein+Y&amp;cauthor_id=36001718</vt:lpwstr>
      </vt:variant>
      <vt:variant>
        <vt:lpwstr/>
      </vt:variant>
      <vt:variant>
        <vt:i4>5439497</vt:i4>
      </vt:variant>
      <vt:variant>
        <vt:i4>27</vt:i4>
      </vt:variant>
      <vt:variant>
        <vt:i4>0</vt:i4>
      </vt:variant>
      <vt:variant>
        <vt:i4>5</vt:i4>
      </vt:variant>
      <vt:variant>
        <vt:lpwstr>https://pubmed.ncbi.nlm.nih.gov/36001718/</vt:lpwstr>
      </vt:variant>
      <vt:variant>
        <vt:lpwstr>affiliation-2</vt:lpwstr>
      </vt:variant>
      <vt:variant>
        <vt:i4>2883675</vt:i4>
      </vt:variant>
      <vt:variant>
        <vt:i4>24</vt:i4>
      </vt:variant>
      <vt:variant>
        <vt:i4>0</vt:i4>
      </vt:variant>
      <vt:variant>
        <vt:i4>5</vt:i4>
      </vt:variant>
      <vt:variant>
        <vt:lpwstr>https://pubmed.ncbi.nlm.nih.gov/?sort=date&amp;term=Talarico+R&amp;cauthor_id=36001718</vt:lpwstr>
      </vt:variant>
      <vt:variant>
        <vt:lpwstr/>
      </vt:variant>
      <vt:variant>
        <vt:i4>5439497</vt:i4>
      </vt:variant>
      <vt:variant>
        <vt:i4>21</vt:i4>
      </vt:variant>
      <vt:variant>
        <vt:i4>0</vt:i4>
      </vt:variant>
      <vt:variant>
        <vt:i4>5</vt:i4>
      </vt:variant>
      <vt:variant>
        <vt:lpwstr>https://pubmed.ncbi.nlm.nih.gov/36001718/</vt:lpwstr>
      </vt:variant>
      <vt:variant>
        <vt:lpwstr>affiliation-2</vt:lpwstr>
      </vt:variant>
      <vt:variant>
        <vt:i4>3866714</vt:i4>
      </vt:variant>
      <vt:variant>
        <vt:i4>18</vt:i4>
      </vt:variant>
      <vt:variant>
        <vt:i4>0</vt:i4>
      </vt:variant>
      <vt:variant>
        <vt:i4>5</vt:i4>
      </vt:variant>
      <vt:variant>
        <vt:lpwstr>https://pubmed.ncbi.nlm.nih.gov/?sort=date&amp;term=Konikoff+L&amp;cauthor_id=36001718</vt:lpwstr>
      </vt:variant>
      <vt:variant>
        <vt:lpwstr/>
      </vt:variant>
      <vt:variant>
        <vt:i4>5439497</vt:i4>
      </vt:variant>
      <vt:variant>
        <vt:i4>15</vt:i4>
      </vt:variant>
      <vt:variant>
        <vt:i4>0</vt:i4>
      </vt:variant>
      <vt:variant>
        <vt:i4>5</vt:i4>
      </vt:variant>
      <vt:variant>
        <vt:lpwstr>https://pubmed.ncbi.nlm.nih.gov/36001718/</vt:lpwstr>
      </vt:variant>
      <vt:variant>
        <vt:lpwstr>affiliation-3</vt:lpwstr>
      </vt:variant>
      <vt:variant>
        <vt:i4>5636206</vt:i4>
      </vt:variant>
      <vt:variant>
        <vt:i4>12</vt:i4>
      </vt:variant>
      <vt:variant>
        <vt:i4>0</vt:i4>
      </vt:variant>
      <vt:variant>
        <vt:i4>5</vt:i4>
      </vt:variant>
      <vt:variant>
        <vt:lpwstr>https://pubmed.ncbi.nlm.nih.gov/?sort=date&amp;term=Auger+N&amp;cauthor_id=36001718</vt:lpwstr>
      </vt:variant>
      <vt:variant>
        <vt:lpwstr/>
      </vt:variant>
      <vt:variant>
        <vt:i4>5439497</vt:i4>
      </vt:variant>
      <vt:variant>
        <vt:i4>9</vt:i4>
      </vt:variant>
      <vt:variant>
        <vt:i4>0</vt:i4>
      </vt:variant>
      <vt:variant>
        <vt:i4>5</vt:i4>
      </vt:variant>
      <vt:variant>
        <vt:lpwstr>https://pubmed.ncbi.nlm.nih.gov/36001718/</vt:lpwstr>
      </vt:variant>
      <vt:variant>
        <vt:lpwstr>affiliation-2</vt:lpwstr>
      </vt:variant>
      <vt:variant>
        <vt:i4>3145734</vt:i4>
      </vt:variant>
      <vt:variant>
        <vt:i4>6</vt:i4>
      </vt:variant>
      <vt:variant>
        <vt:i4>0</vt:i4>
      </vt:variant>
      <vt:variant>
        <vt:i4>5</vt:i4>
      </vt:variant>
      <vt:variant>
        <vt:lpwstr>https://pubmed.ncbi.nlm.nih.gov/?sort=date&amp;term=Tanuseputro+P&amp;cauthor_id=36001718</vt:lpwstr>
      </vt:variant>
      <vt:variant>
        <vt:lpwstr/>
      </vt:variant>
      <vt:variant>
        <vt:i4>5439497</vt:i4>
      </vt:variant>
      <vt:variant>
        <vt:i4>3</vt:i4>
      </vt:variant>
      <vt:variant>
        <vt:i4>0</vt:i4>
      </vt:variant>
      <vt:variant>
        <vt:i4>5</vt:i4>
      </vt:variant>
      <vt:variant>
        <vt:lpwstr>https://pubmed.ncbi.nlm.nih.gov/36001718/</vt:lpwstr>
      </vt:variant>
      <vt:variant>
        <vt:lpwstr>affiliation-1</vt:lpwstr>
      </vt:variant>
      <vt:variant>
        <vt:i4>2031724</vt:i4>
      </vt:variant>
      <vt:variant>
        <vt:i4>0</vt:i4>
      </vt:variant>
      <vt:variant>
        <vt:i4>0</vt:i4>
      </vt:variant>
      <vt:variant>
        <vt:i4>5</vt:i4>
      </vt:variant>
      <vt:variant>
        <vt:lpwstr>https://pubmed.ncbi.nlm.nih.gov/?sort=date&amp;term=Myran+DT&amp;cauthor_id=36001718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Wayne Hall</dc:creator>
  <cp:keywords/>
  <dc:description/>
  <cp:lastModifiedBy>Jean O'Reilly</cp:lastModifiedBy>
  <cp:revision>2</cp:revision>
  <cp:lastPrinted>2022-10-18T00:16:00Z</cp:lastPrinted>
  <dcterms:created xsi:type="dcterms:W3CDTF">2023-05-30T11:32:00Z</dcterms:created>
  <dcterms:modified xsi:type="dcterms:W3CDTF">2023-05-30T11:32:00Z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0x0101008B08C67D19E496499D068DD73FB28CA8</vt:lpwstr>
  </property>
  <property fmtid="{D5CDD505-2E9C-101B-9397-08002B2CF9AE}" pid="3" name="MSIP_Label_0f488380-630a-4f55-a077-a19445e3f360_Enabled">
    <vt:lpwstr>true</vt:lpwstr>
  </property>
  <property fmtid="{D5CDD505-2E9C-101B-9397-08002B2CF9AE}" pid="4" name="MSIP_Label_0f488380-630a-4f55-a077-a19445e3f360_SetDate">
    <vt:lpwstr>2022-05-03T00:11:14Z</vt:lpwstr>
  </property>
  <property fmtid="{D5CDD505-2E9C-101B-9397-08002B2CF9AE}" pid="5" name="MSIP_Label_0f488380-630a-4f55-a077-a19445e3f360_Method">
    <vt:lpwstr>Privileged</vt:lpwstr>
  </property>
  <property fmtid="{D5CDD505-2E9C-101B-9397-08002B2CF9AE}" pid="6" name="MSIP_Label_0f488380-630a-4f55-a077-a19445e3f360_Name">
    <vt:lpwstr>OFFICIAL - INTERNAL</vt:lpwstr>
  </property>
  <property fmtid="{D5CDD505-2E9C-101B-9397-08002B2CF9AE}" pid="7" name="MSIP_Label_0f488380-630a-4f55-a077-a19445e3f360_SiteId">
    <vt:lpwstr>b6e377cf-9db3-46cb-91a2-fad9605bb15c</vt:lpwstr>
  </property>
  <property fmtid="{D5CDD505-2E9C-101B-9397-08002B2CF9AE}" pid="8" name="MSIP_Label_0f488380-630a-4f55-a077-a19445e3f360_ActionId">
    <vt:lpwstr>070594b7-0705-4a5b-a29a-6e6d97236925</vt:lpwstr>
  </property>
  <property fmtid="{D5CDD505-2E9C-101B-9397-08002B2CF9AE}" pid="9" name="MSIP_Label_0f488380-630a-4f55-a077-a19445e3f360_ContentBits">
    <vt:lpwstr>0</vt:lpwstr>
  </property>
  <property fmtid="{D5CDD505-2E9C-101B-9397-08002B2CF9AE}" pid="10" name="ZOTERO_PREF_1">
    <vt:lpwstr>&lt;data data-version="3" zotero-version="6.0.22"&gt;&lt;session id="T3EU5RXQ"/&gt;&lt;style id="http://www.zotero.org/styles/vancouver" locale="en-GB" hasBibliography="1" bibliographyStyleHasBeenSet="1"/&gt;&lt;prefs&gt;&lt;pref name="fieldType" value="Field"/&gt;&lt;pref name="delayCit</vt:lpwstr>
  </property>
  <property fmtid="{D5CDD505-2E9C-101B-9397-08002B2CF9AE}" pid="11" name="ZOTERO_PREF_2">
    <vt:lpwstr>ationUpdates" value="true"/&gt;&lt;/prefs&gt;&lt;/data&gt;</vt:lpwstr>
  </property>
  <property fmtid="{D5CDD505-2E9C-101B-9397-08002B2CF9AE}" pid="12" name="GrammarlyDocumentId">
    <vt:lpwstr>8ee243f414effaf4cbfb91e10bdb630a43a7df1d63728e490be27e6b18fe072c</vt:lpwstr>
  </property>
</Properties>
</file>