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683F" w14:textId="027DE08B" w:rsidR="00A81FBC" w:rsidRDefault="00771AB3" w:rsidP="00A81FBC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Supplementary: </w:t>
      </w:r>
      <w:r w:rsidR="00923BED">
        <w:rPr>
          <w:rFonts w:ascii="Times New Roman" w:hAnsi="Times New Roman" w:cs="Times New Roman"/>
          <w:b/>
          <w:bCs/>
        </w:rPr>
        <w:t>Risk of bias justification</w:t>
      </w:r>
    </w:p>
    <w:p w14:paraId="487007DC" w14:textId="77777777" w:rsidR="00A81FBC" w:rsidRPr="003D6B8E" w:rsidRDefault="00A81FBC" w:rsidP="00A81FB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019EE87" w14:textId="06649CD5" w:rsidR="00A81FBC" w:rsidRPr="00923BED" w:rsidRDefault="00923BED" w:rsidP="00404084">
      <w:pPr>
        <w:spacing w:line="36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771AB3">
        <w:rPr>
          <w:rFonts w:ascii="Times New Roman" w:hAnsi="Times New Roman" w:cs="Times New Roman"/>
          <w:b/>
          <w:bCs/>
        </w:rPr>
        <w:t>3</w:t>
      </w:r>
    </w:p>
    <w:p w14:paraId="7DE0562B" w14:textId="3ED1D863" w:rsidR="00A81FBC" w:rsidRPr="004464E7" w:rsidRDefault="00A81FBC" w:rsidP="00404084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Justification for </w:t>
      </w:r>
      <w:r w:rsidR="008E12C5" w:rsidRPr="00C0103C">
        <w:rPr>
          <w:rFonts w:ascii="Times New Roman" w:hAnsi="Times New Roman" w:cs="Times New Roman"/>
          <w:i/>
          <w:iCs/>
        </w:rPr>
        <w:t>Cochrane Risk of Bias (RoB 2</w:t>
      </w:r>
      <w:r w:rsidR="008E12C5">
        <w:rPr>
          <w:rFonts w:ascii="Times New Roman" w:hAnsi="Times New Roman" w:cs="Times New Roman"/>
          <w:i/>
          <w:iCs/>
        </w:rPr>
        <w:t xml:space="preserve">) </w:t>
      </w:r>
      <w:r w:rsidR="000828F1">
        <w:rPr>
          <w:rFonts w:ascii="Times New Roman" w:hAnsi="Times New Roman" w:cs="Times New Roman"/>
          <w:i/>
          <w:iCs/>
        </w:rPr>
        <w:t>assessments</w:t>
      </w:r>
      <w:r>
        <w:rPr>
          <w:rFonts w:ascii="Times New Roman" w:hAnsi="Times New Roman" w:cs="Times New Roman"/>
          <w:i/>
          <w:iCs/>
        </w:rPr>
        <w:t xml:space="preserve"> for included </w:t>
      </w:r>
      <w:r w:rsidRPr="007507E3">
        <w:rPr>
          <w:rFonts w:ascii="Times New Roman" w:hAnsi="Times New Roman" w:cs="Times New Roman"/>
          <w:i/>
          <w:iCs/>
        </w:rPr>
        <w:t>randomi</w:t>
      </w:r>
      <w:r w:rsidR="008E12C5">
        <w:rPr>
          <w:rFonts w:ascii="Times New Roman" w:hAnsi="Times New Roman" w:cs="Times New Roman"/>
          <w:i/>
          <w:iCs/>
        </w:rPr>
        <w:t>s</w:t>
      </w:r>
      <w:r w:rsidRPr="007507E3">
        <w:rPr>
          <w:rFonts w:ascii="Times New Roman" w:hAnsi="Times New Roman" w:cs="Times New Roman"/>
          <w:i/>
          <w:iCs/>
        </w:rPr>
        <w:t>ed</w:t>
      </w:r>
      <w:r>
        <w:rPr>
          <w:rFonts w:ascii="Times New Roman" w:hAnsi="Times New Roman" w:cs="Times New Roman"/>
        </w:rPr>
        <w:t xml:space="preserve"> </w:t>
      </w:r>
      <w:r w:rsidRPr="004464E7">
        <w:rPr>
          <w:rFonts w:ascii="Times New Roman" w:hAnsi="Times New Roman" w:cs="Times New Roman"/>
          <w:i/>
          <w:iCs/>
        </w:rPr>
        <w:t>crossover studies:</w:t>
      </w:r>
    </w:p>
    <w:tbl>
      <w:tblPr>
        <w:tblStyle w:val="TableGridLight"/>
        <w:tblW w:w="13940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1417"/>
        <w:gridCol w:w="1134"/>
        <w:gridCol w:w="1139"/>
        <w:gridCol w:w="7703"/>
      </w:tblGrid>
      <w:tr w:rsidR="00A81FBC" w:rsidRPr="00F70AB9" w14:paraId="6936FBC3" w14:textId="77777777" w:rsidTr="00031B53">
        <w:trPr>
          <w:trHeight w:val="32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569CC2" w14:textId="77777777" w:rsidR="00A81FBC" w:rsidRPr="00F70AB9" w:rsidRDefault="00A81FBC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Author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C881FC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2F93A2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Overall Rating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3FAE0F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Domain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0520D5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Rating</w:t>
            </w:r>
          </w:p>
        </w:tc>
        <w:tc>
          <w:tcPr>
            <w:tcW w:w="77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C96BBD" w14:textId="77777777" w:rsidR="00A81FBC" w:rsidRPr="00F70AB9" w:rsidRDefault="00A81FBC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Justification</w:t>
            </w:r>
          </w:p>
        </w:tc>
      </w:tr>
      <w:tr w:rsidR="00A81FBC" w:rsidRPr="00F70AB9" w14:paraId="2BC87C4C" w14:textId="77777777" w:rsidTr="00031B53">
        <w:trPr>
          <w:trHeight w:val="705"/>
        </w:trPr>
        <w:tc>
          <w:tcPr>
            <w:tcW w:w="1838" w:type="dxa"/>
            <w:tcBorders>
              <w:top w:val="single" w:sz="4" w:space="0" w:color="auto"/>
            </w:tcBorders>
          </w:tcPr>
          <w:p w14:paraId="7D655A54" w14:textId="00ED90BF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Bosker et al.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473756" w14:textId="28BBBDE2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22AA99" w14:textId="6D88C44E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F76694" w14:textId="03FE55B0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D27220C" w14:textId="6C0FEC70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  <w:tcBorders>
              <w:top w:val="single" w:sz="4" w:space="0" w:color="auto"/>
            </w:tcBorders>
          </w:tcPr>
          <w:p w14:paraId="3151D797" w14:textId="4B7BC3D5" w:rsidR="00A81FBC" w:rsidRPr="00F70AB9" w:rsidRDefault="00AE3AF7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 information reported on whether the allocation sequence was concealed until participants were enrolled and assigned to interventions.</w:t>
            </w:r>
          </w:p>
        </w:tc>
      </w:tr>
      <w:tr w:rsidR="00A81FBC" w:rsidRPr="00F70AB9" w14:paraId="5020B647" w14:textId="77777777" w:rsidTr="00031B53">
        <w:trPr>
          <w:trHeight w:val="324"/>
        </w:trPr>
        <w:tc>
          <w:tcPr>
            <w:tcW w:w="1838" w:type="dxa"/>
          </w:tcPr>
          <w:p w14:paraId="45552B2D" w14:textId="0387359B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Fant et al.</w:t>
            </w:r>
          </w:p>
        </w:tc>
        <w:tc>
          <w:tcPr>
            <w:tcW w:w="709" w:type="dxa"/>
          </w:tcPr>
          <w:p w14:paraId="6F6646B2" w14:textId="49C2C56B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1997</w:t>
            </w:r>
          </w:p>
        </w:tc>
        <w:tc>
          <w:tcPr>
            <w:tcW w:w="1417" w:type="dxa"/>
          </w:tcPr>
          <w:p w14:paraId="41B30357" w14:textId="32DFE91C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134" w:type="dxa"/>
          </w:tcPr>
          <w:p w14:paraId="2C3173AA" w14:textId="2091E519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6B49ACC8" w14:textId="06858107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DS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0B93F102" w14:textId="259E64FC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</w:tcPr>
          <w:p w14:paraId="4D9FC8B0" w14:textId="0C74DEEB" w:rsidR="00A81FBC" w:rsidRPr="00F70AB9" w:rsidRDefault="0035590B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29F29B1F" w14:textId="17EE09C5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45918962" w14:textId="5B35B838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</w:tcPr>
          <w:p w14:paraId="7B503C28" w14:textId="1CC5C578" w:rsidR="00A81FBC" w:rsidRPr="00F70AB9" w:rsidRDefault="0035590B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he allocation sequence was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not fully 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concealed until participants were enrolled and assigned to interventions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due to forced randomisation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  <w:r w:rsidR="00756C63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insufficient time for any carryover effects (≤ 4 days) to have disappeared before outcome assessments in following periods;</w:t>
            </w:r>
            <w:r w:rsidR="00756C63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unable to find statistical analysis plan that produced the result analysed.</w:t>
            </w:r>
          </w:p>
        </w:tc>
      </w:tr>
      <w:tr w:rsidR="00A81FBC" w:rsidRPr="00F70AB9" w14:paraId="6FA2EB21" w14:textId="77777777" w:rsidTr="00031B53">
        <w:trPr>
          <w:trHeight w:val="324"/>
        </w:trPr>
        <w:tc>
          <w:tcPr>
            <w:tcW w:w="1838" w:type="dxa"/>
          </w:tcPr>
          <w:p w14:paraId="11FDA36D" w14:textId="4A2A74BD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Kleinloog et al.</w:t>
            </w:r>
          </w:p>
        </w:tc>
        <w:tc>
          <w:tcPr>
            <w:tcW w:w="709" w:type="dxa"/>
          </w:tcPr>
          <w:p w14:paraId="4A735A13" w14:textId="23E40203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1417" w:type="dxa"/>
          </w:tcPr>
          <w:p w14:paraId="46535DB3" w14:textId="52FEABEA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</w:tcPr>
          <w:p w14:paraId="073E6ADB" w14:textId="14BE05DF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</w:tcPr>
          <w:p w14:paraId="00960A56" w14:textId="36E932E2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</w:tcPr>
          <w:p w14:paraId="17173041" w14:textId="5BA1172D" w:rsidR="00A81FBC" w:rsidRPr="00F70AB9" w:rsidRDefault="00756C63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Unable to find 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statistical</w:t>
            </w: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analysis plan that produced the result analysed.</w:t>
            </w:r>
          </w:p>
        </w:tc>
      </w:tr>
      <w:tr w:rsidR="00A81FBC" w:rsidRPr="00F70AB9" w14:paraId="3B9B9A27" w14:textId="77777777" w:rsidTr="00031B53">
        <w:trPr>
          <w:trHeight w:val="324"/>
        </w:trPr>
        <w:tc>
          <w:tcPr>
            <w:tcW w:w="1838" w:type="dxa"/>
          </w:tcPr>
          <w:p w14:paraId="58233B33" w14:textId="3E54B148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Lamers </w:t>
            </w:r>
            <w:r w:rsidR="00031B5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&amp; Ramaekers</w:t>
            </w:r>
          </w:p>
        </w:tc>
        <w:tc>
          <w:tcPr>
            <w:tcW w:w="709" w:type="dxa"/>
          </w:tcPr>
          <w:p w14:paraId="5AA2EC77" w14:textId="59F12C06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2001</w:t>
            </w:r>
          </w:p>
        </w:tc>
        <w:tc>
          <w:tcPr>
            <w:tcW w:w="1417" w:type="dxa"/>
          </w:tcPr>
          <w:p w14:paraId="3756825F" w14:textId="0F161A8F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</w:tcPr>
          <w:p w14:paraId="0CD45AFE" w14:textId="2284D115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</w:tcPr>
          <w:p w14:paraId="49B38C01" w14:textId="2B51C937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</w:tcPr>
          <w:p w14:paraId="080ED204" w14:textId="5540592B" w:rsidR="00A81FBC" w:rsidRPr="00F70AB9" w:rsidRDefault="00756C63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Unable to find statistical analysis plan that produced the result analysed.</w:t>
            </w:r>
          </w:p>
        </w:tc>
      </w:tr>
      <w:tr w:rsidR="00A81FBC" w:rsidRPr="00F70AB9" w14:paraId="4E2FFEB0" w14:textId="77777777" w:rsidTr="00031B53">
        <w:trPr>
          <w:trHeight w:val="324"/>
        </w:trPr>
        <w:tc>
          <w:tcPr>
            <w:tcW w:w="1838" w:type="dxa"/>
          </w:tcPr>
          <w:p w14:paraId="1496196A" w14:textId="572F5AFF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Moskowitz et al.</w:t>
            </w:r>
          </w:p>
        </w:tc>
        <w:tc>
          <w:tcPr>
            <w:tcW w:w="709" w:type="dxa"/>
          </w:tcPr>
          <w:p w14:paraId="5D59AF7A" w14:textId="74025E78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1976</w:t>
            </w:r>
          </w:p>
        </w:tc>
        <w:tc>
          <w:tcPr>
            <w:tcW w:w="1417" w:type="dxa"/>
          </w:tcPr>
          <w:p w14:paraId="54ADCF75" w14:textId="5E059EAA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134" w:type="dxa"/>
          </w:tcPr>
          <w:p w14:paraId="2D5CC8E0" w14:textId="63DBF73A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2AFCAA2D" w14:textId="3374C0BE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</w:tcPr>
          <w:p w14:paraId="6C8E8A77" w14:textId="3C4F3924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3A193EB0" w14:textId="3362FBA1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</w:tcPr>
          <w:p w14:paraId="7586C492" w14:textId="66ED3DB7" w:rsidR="00A81FBC" w:rsidRPr="00F70AB9" w:rsidRDefault="00AE3AF7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No information reported on randomization or </w:t>
            </w:r>
            <w:r w:rsidR="00FB2D06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whether the allocation sequence was concealed until participants were enrolled and assigned to interventions</w:t>
            </w: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  <w:r w:rsidR="00756C63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unable to find statistical analysis plan that produced the result analysed.</w:t>
            </w:r>
          </w:p>
        </w:tc>
      </w:tr>
      <w:tr w:rsidR="00A81FBC" w:rsidRPr="00F70AB9" w14:paraId="5C2B3BF2" w14:textId="77777777" w:rsidTr="00031B53">
        <w:trPr>
          <w:trHeight w:val="324"/>
        </w:trPr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224A8446" w14:textId="6DA5CEED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Papafoutiou et al.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1FC13F35" w14:textId="5AD52C4E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</w:tcPr>
          <w:p w14:paraId="53A29C8F" w14:textId="18A4BAE0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205CFEA8" w14:textId="702423D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  <w:tcBorders>
              <w:bottom w:val="single" w:sz="4" w:space="0" w:color="BFBFBF" w:themeColor="background1" w:themeShade="BF"/>
            </w:tcBorders>
          </w:tcPr>
          <w:p w14:paraId="2AA22B4E" w14:textId="775C27D3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  <w:tcBorders>
              <w:bottom w:val="single" w:sz="4" w:space="0" w:color="BFBFBF" w:themeColor="background1" w:themeShade="BF"/>
            </w:tcBorders>
          </w:tcPr>
          <w:p w14:paraId="2A6412A0" w14:textId="7F8B0DE3" w:rsidR="00A81FBC" w:rsidRPr="00F70AB9" w:rsidRDefault="00756C63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Unable to find statistical analysis plan that produced the result analysed.</w:t>
            </w:r>
          </w:p>
        </w:tc>
      </w:tr>
      <w:tr w:rsidR="00A81FBC" w:rsidRPr="00F70AB9" w14:paraId="7274F7A3" w14:textId="77777777" w:rsidTr="00031B53">
        <w:trPr>
          <w:trHeight w:val="547"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14:paraId="01A7991F" w14:textId="76BD7C57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Zuurman et 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9E473" w14:textId="7B6E89CC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31ADCD5F" w14:textId="02A1D20F" w:rsidR="00A81FBC" w:rsidRPr="00F70AB9" w:rsidRDefault="008D3F52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73AC8053" w14:textId="1DDAC04C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noWrap/>
          </w:tcPr>
          <w:p w14:paraId="3BC3EB4C" w14:textId="55C10DCA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703" w:type="dxa"/>
            <w:tcBorders>
              <w:bottom w:val="single" w:sz="4" w:space="0" w:color="auto"/>
            </w:tcBorders>
          </w:tcPr>
          <w:p w14:paraId="66269D7F" w14:textId="14A0BDD2" w:rsidR="00A81FBC" w:rsidRPr="00F70AB9" w:rsidRDefault="00756C63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Unable to find statistical analysis plan that produced the result analysed.</w:t>
            </w:r>
          </w:p>
        </w:tc>
      </w:tr>
    </w:tbl>
    <w:p w14:paraId="1E9C695F" w14:textId="49EBAD57" w:rsidR="00A81FBC" w:rsidRPr="00F70AB9" w:rsidRDefault="00A81FBC" w:rsidP="00A81FBC">
      <w:pPr>
        <w:rPr>
          <w:rFonts w:ascii="Times New Roman" w:hAnsi="Times New Roman" w:cs="Times New Roman"/>
          <w:sz w:val="18"/>
          <w:szCs w:val="18"/>
        </w:rPr>
      </w:pPr>
      <w:r w:rsidRPr="00F70AB9">
        <w:rPr>
          <w:rFonts w:ascii="Times New Roman" w:hAnsi="Times New Roman" w:cs="Times New Roman"/>
          <w:i/>
          <w:iCs/>
          <w:sz w:val="18"/>
          <w:szCs w:val="18"/>
        </w:rPr>
        <w:t>Note:</w:t>
      </w:r>
      <w:r w:rsidRPr="00F70AB9">
        <w:rPr>
          <w:rFonts w:ascii="Times New Roman" w:hAnsi="Times New Roman" w:cs="Times New Roman"/>
          <w:sz w:val="18"/>
          <w:szCs w:val="18"/>
        </w:rPr>
        <w:t xml:space="preserve"> H = </w:t>
      </w:r>
      <w:r w:rsidR="009D561E">
        <w:rPr>
          <w:rFonts w:ascii="Times New Roman" w:hAnsi="Times New Roman" w:cs="Times New Roman"/>
          <w:sz w:val="18"/>
          <w:szCs w:val="18"/>
        </w:rPr>
        <w:t>H</w:t>
      </w:r>
      <w:r w:rsidRPr="00F70AB9">
        <w:rPr>
          <w:rFonts w:ascii="Times New Roman" w:hAnsi="Times New Roman" w:cs="Times New Roman"/>
          <w:sz w:val="18"/>
          <w:szCs w:val="18"/>
        </w:rPr>
        <w:t>igh risk of bias</w:t>
      </w:r>
      <w:r w:rsidR="00756C63" w:rsidRPr="00F70AB9">
        <w:rPr>
          <w:rFonts w:ascii="Times New Roman" w:hAnsi="Times New Roman" w:cs="Times New Roman"/>
          <w:sz w:val="18"/>
          <w:szCs w:val="18"/>
        </w:rPr>
        <w:t xml:space="preserve">; S = </w:t>
      </w:r>
      <w:r w:rsidR="009D561E">
        <w:rPr>
          <w:rFonts w:ascii="Times New Roman" w:hAnsi="Times New Roman" w:cs="Times New Roman"/>
          <w:sz w:val="18"/>
          <w:szCs w:val="18"/>
        </w:rPr>
        <w:t>S</w:t>
      </w:r>
      <w:r w:rsidR="00756C63" w:rsidRPr="00F70AB9">
        <w:rPr>
          <w:rFonts w:ascii="Times New Roman" w:hAnsi="Times New Roman" w:cs="Times New Roman"/>
          <w:sz w:val="18"/>
          <w:szCs w:val="18"/>
        </w:rPr>
        <w:t>ome concerns</w:t>
      </w:r>
    </w:p>
    <w:p w14:paraId="71831848" w14:textId="77777777" w:rsidR="00A81FBC" w:rsidRDefault="00A81FBC" w:rsidP="00A81FBC">
      <w:pPr>
        <w:rPr>
          <w:rFonts w:ascii="Times New Roman" w:hAnsi="Times New Roman" w:cs="Times New Roman"/>
        </w:rPr>
      </w:pPr>
    </w:p>
    <w:p w14:paraId="2A23B772" w14:textId="77777777" w:rsidR="000828F1" w:rsidRDefault="000828F1" w:rsidP="00A81FBC">
      <w:pPr>
        <w:rPr>
          <w:rFonts w:ascii="Times New Roman" w:hAnsi="Times New Roman" w:cs="Times New Roman"/>
          <w:i/>
          <w:iCs/>
        </w:rPr>
      </w:pPr>
    </w:p>
    <w:p w14:paraId="61F823E8" w14:textId="77777777" w:rsidR="000828F1" w:rsidRDefault="000828F1" w:rsidP="00A81FBC">
      <w:pPr>
        <w:rPr>
          <w:rFonts w:ascii="Times New Roman" w:hAnsi="Times New Roman" w:cs="Times New Roman"/>
          <w:i/>
          <w:iCs/>
        </w:rPr>
      </w:pPr>
    </w:p>
    <w:p w14:paraId="4A1CF9AC" w14:textId="0FF2F70B" w:rsidR="000828F1" w:rsidRDefault="000828F1" w:rsidP="00A81FBC">
      <w:pPr>
        <w:rPr>
          <w:rFonts w:ascii="Times New Roman" w:hAnsi="Times New Roman" w:cs="Times New Roman"/>
          <w:i/>
          <w:iCs/>
        </w:rPr>
      </w:pPr>
    </w:p>
    <w:p w14:paraId="76FC11FF" w14:textId="3F4B5BE6" w:rsidR="008E12C5" w:rsidRDefault="008E12C5" w:rsidP="00A81FBC">
      <w:pPr>
        <w:rPr>
          <w:rFonts w:ascii="Times New Roman" w:hAnsi="Times New Roman" w:cs="Times New Roman"/>
          <w:i/>
          <w:iCs/>
        </w:rPr>
      </w:pPr>
    </w:p>
    <w:p w14:paraId="49114E90" w14:textId="77777777" w:rsidR="008E12C5" w:rsidRDefault="008E12C5" w:rsidP="00A81FBC">
      <w:pPr>
        <w:rPr>
          <w:rFonts w:ascii="Times New Roman" w:hAnsi="Times New Roman" w:cs="Times New Roman"/>
          <w:i/>
          <w:iCs/>
        </w:rPr>
      </w:pPr>
    </w:p>
    <w:p w14:paraId="77630D5A" w14:textId="2E04373F" w:rsidR="008D3F52" w:rsidRDefault="008D3F52" w:rsidP="00A81FBC">
      <w:pPr>
        <w:rPr>
          <w:rFonts w:ascii="Times New Roman" w:hAnsi="Times New Roman" w:cs="Times New Roman"/>
          <w:i/>
          <w:iCs/>
        </w:rPr>
      </w:pPr>
    </w:p>
    <w:p w14:paraId="72C847F9" w14:textId="77777777" w:rsidR="008D3F52" w:rsidRDefault="008D3F52" w:rsidP="00A81FBC">
      <w:pPr>
        <w:rPr>
          <w:rFonts w:ascii="Times New Roman" w:hAnsi="Times New Roman" w:cs="Times New Roman"/>
          <w:i/>
          <w:iCs/>
        </w:rPr>
      </w:pPr>
    </w:p>
    <w:p w14:paraId="1F0981C4" w14:textId="4B9CA9BB" w:rsidR="000828F1" w:rsidRPr="00923BED" w:rsidRDefault="000828F1" w:rsidP="0013250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71AB3">
        <w:rPr>
          <w:rFonts w:ascii="Times New Roman" w:hAnsi="Times New Roman" w:cs="Times New Roman"/>
          <w:b/>
          <w:bCs/>
        </w:rPr>
        <w:t>4</w:t>
      </w:r>
    </w:p>
    <w:p w14:paraId="4A1C03DB" w14:textId="686BA394" w:rsidR="00A81FBC" w:rsidRDefault="00A81FBC" w:rsidP="00404084">
      <w:pPr>
        <w:spacing w:line="360" w:lineRule="auto"/>
        <w:rPr>
          <w:rFonts w:ascii="Times New Roman" w:hAnsi="Times New Roman" w:cs="Times New Roman"/>
          <w:i/>
          <w:iCs/>
        </w:rPr>
      </w:pPr>
      <w:r w:rsidRPr="004464E7">
        <w:rPr>
          <w:rFonts w:ascii="Times New Roman" w:hAnsi="Times New Roman" w:cs="Times New Roman"/>
          <w:i/>
          <w:iCs/>
        </w:rPr>
        <w:t xml:space="preserve">Justification for </w:t>
      </w:r>
      <w:r w:rsidR="008E12C5" w:rsidRPr="00C0103C">
        <w:rPr>
          <w:rFonts w:ascii="Times New Roman" w:hAnsi="Times New Roman" w:cs="Times New Roman"/>
          <w:i/>
          <w:iCs/>
        </w:rPr>
        <w:t xml:space="preserve">Cochrane Risk of Bias in Non-Randomised Studies of Interventions (ROBINS-I) </w:t>
      </w:r>
      <w:r w:rsidR="000828F1">
        <w:rPr>
          <w:rFonts w:ascii="Times New Roman" w:hAnsi="Times New Roman" w:cs="Times New Roman"/>
          <w:i/>
          <w:iCs/>
        </w:rPr>
        <w:t>assessment</w:t>
      </w:r>
      <w:r w:rsidR="00217867">
        <w:rPr>
          <w:rFonts w:ascii="Times New Roman" w:hAnsi="Times New Roman" w:cs="Times New Roman"/>
          <w:i/>
          <w:iCs/>
        </w:rPr>
        <w:t>s</w:t>
      </w:r>
      <w:r w:rsidRPr="004464E7">
        <w:rPr>
          <w:rFonts w:ascii="Times New Roman" w:hAnsi="Times New Roman" w:cs="Times New Roman"/>
          <w:i/>
          <w:iCs/>
        </w:rPr>
        <w:t>:</w:t>
      </w:r>
    </w:p>
    <w:p w14:paraId="1B9761B7" w14:textId="77777777" w:rsidR="006D732F" w:rsidRPr="004464E7" w:rsidRDefault="006D732F" w:rsidP="00A81FBC">
      <w:pPr>
        <w:rPr>
          <w:rFonts w:ascii="Times New Roman" w:hAnsi="Times New Roman" w:cs="Times New Roman"/>
          <w:i/>
          <w:iCs/>
        </w:rPr>
      </w:pPr>
    </w:p>
    <w:tbl>
      <w:tblPr>
        <w:tblStyle w:val="TableGridLight"/>
        <w:tblW w:w="13940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417"/>
        <w:gridCol w:w="1276"/>
        <w:gridCol w:w="1418"/>
        <w:gridCol w:w="7282"/>
      </w:tblGrid>
      <w:tr w:rsidR="00A81FBC" w:rsidRPr="00F70AB9" w14:paraId="29210AB8" w14:textId="77777777" w:rsidTr="006D732F">
        <w:trPr>
          <w:trHeight w:val="30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CCD535" w14:textId="77777777" w:rsidR="00A81FBC" w:rsidRPr="00F70AB9" w:rsidRDefault="00A81FBC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Author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C1444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424F84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Overall Rating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F15A7C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Domain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293798" w14:textId="77777777" w:rsidR="00A81FBC" w:rsidRPr="00F70AB9" w:rsidRDefault="00A81FB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Rating</w:t>
            </w: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466F1B" w14:textId="77777777" w:rsidR="00A81FBC" w:rsidRPr="00F70AB9" w:rsidRDefault="00A81FBC" w:rsidP="0038102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Justification</w:t>
            </w:r>
          </w:p>
        </w:tc>
      </w:tr>
      <w:tr w:rsidR="00A81FBC" w:rsidRPr="00F70AB9" w14:paraId="75F7250C" w14:textId="77777777" w:rsidTr="006D732F">
        <w:trPr>
          <w:trHeight w:val="324"/>
        </w:trPr>
        <w:tc>
          <w:tcPr>
            <w:tcW w:w="1696" w:type="dxa"/>
            <w:tcBorders>
              <w:top w:val="single" w:sz="4" w:space="0" w:color="auto"/>
            </w:tcBorders>
          </w:tcPr>
          <w:p w14:paraId="73A4F940" w14:textId="40FE9EE9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Doroudgar et al.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FB149F" w14:textId="400C62AE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52E1B8" w14:textId="58E37F53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A0CC5A" w14:textId="76474C4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2447D8A0" w14:textId="1363ABB9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D87BE5" w14:textId="3CE0B2D7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4D0C9FB0" w14:textId="6715AD99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  <w:tcBorders>
              <w:top w:val="single" w:sz="4" w:space="0" w:color="auto"/>
            </w:tcBorders>
          </w:tcPr>
          <w:p w14:paraId="4F2C6A4E" w14:textId="1F64A6AE" w:rsidR="00A81FBC" w:rsidRPr="00F70AB9" w:rsidRDefault="00A229AA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Cannabis use age of onset</w:t>
            </w:r>
            <w:r w:rsidR="00827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cannabis use disorder severity, and ethnicity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may result in the</w:t>
            </w:r>
            <w:r w:rsidR="006A147A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potential for confounding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of the effect of cannabis use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with appropriate analysis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</w:t>
            </w:r>
            <w:r w:rsidR="00F842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t </w:t>
            </w:r>
            <w:r w:rsidR="00F842D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Tests, Chi-square, and Fisher’s exact tests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 start of follow-up and start of intervention do not coincide as prevalent rather than new users of cannabis were recruited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without adjustment techniques.</w:t>
            </w:r>
          </w:p>
        </w:tc>
      </w:tr>
      <w:tr w:rsidR="00A81FBC" w:rsidRPr="00F70AB9" w14:paraId="12050D84" w14:textId="77777777" w:rsidTr="00756C63">
        <w:trPr>
          <w:trHeight w:val="324"/>
        </w:trPr>
        <w:tc>
          <w:tcPr>
            <w:tcW w:w="1696" w:type="dxa"/>
          </w:tcPr>
          <w:p w14:paraId="25554116" w14:textId="28BD7C7C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Huestegge et al.</w:t>
            </w:r>
          </w:p>
        </w:tc>
        <w:tc>
          <w:tcPr>
            <w:tcW w:w="851" w:type="dxa"/>
          </w:tcPr>
          <w:p w14:paraId="52AEA90E" w14:textId="239DCE34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2002</w:t>
            </w:r>
          </w:p>
        </w:tc>
        <w:tc>
          <w:tcPr>
            <w:tcW w:w="1417" w:type="dxa"/>
          </w:tcPr>
          <w:p w14:paraId="1198638B" w14:textId="2A986E1E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</w:tcPr>
          <w:p w14:paraId="22BD48C9" w14:textId="25964AFF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4663AAA8" w14:textId="121B4640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1418" w:type="dxa"/>
          </w:tcPr>
          <w:p w14:paraId="5D43B2E4" w14:textId="3E0FEB1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3AD58668" w14:textId="0932B770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</w:tcPr>
          <w:p w14:paraId="7106194A" w14:textId="2E1B40D2" w:rsidR="00A81FBC" w:rsidRPr="00F70AB9" w:rsidRDefault="00F842D9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Recent cannabis use and cannabis use disorder severity 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may result in the 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potential for confounding 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of the 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effect of cannabis use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with appropriate analysis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</w:t>
            </w:r>
            <w:r w:rsidR="003361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ANOVA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); 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start of follow-up and start of intervention do not coincide as prevalent rather than new users of cannabis were recruited, 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without adjustment techniques.</w:t>
            </w:r>
          </w:p>
        </w:tc>
      </w:tr>
      <w:tr w:rsidR="00A81FBC" w:rsidRPr="00F70AB9" w14:paraId="7504D5FA" w14:textId="77777777" w:rsidTr="00756C63">
        <w:trPr>
          <w:trHeight w:val="324"/>
        </w:trPr>
        <w:tc>
          <w:tcPr>
            <w:tcW w:w="1696" w:type="dxa"/>
          </w:tcPr>
          <w:p w14:paraId="66E44E80" w14:textId="303CF582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Huestegge et al.</w:t>
            </w:r>
          </w:p>
        </w:tc>
        <w:tc>
          <w:tcPr>
            <w:tcW w:w="851" w:type="dxa"/>
          </w:tcPr>
          <w:p w14:paraId="5FA484A0" w14:textId="72BB43B6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1417" w:type="dxa"/>
          </w:tcPr>
          <w:p w14:paraId="4580DF31" w14:textId="34C53C02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</w:tcPr>
          <w:p w14:paraId="659C8775" w14:textId="77777777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58139C9C" w14:textId="0AF55B7A" w:rsidR="00BB10DB" w:rsidRPr="00F70AB9" w:rsidRDefault="00BB10DB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1418" w:type="dxa"/>
          </w:tcPr>
          <w:p w14:paraId="33149F30" w14:textId="03BB40AE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03847700" w14:textId="392BBB79" w:rsidR="00BB10DB" w:rsidRPr="00F70AB9" w:rsidRDefault="00BB10DB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</w:tcPr>
          <w:p w14:paraId="4547F813" w14:textId="4A3C5F53" w:rsidR="00A81FBC" w:rsidRPr="00F70AB9" w:rsidRDefault="0033610F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Recent cannabis use and cannabis use disorder severity </w:t>
            </w: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may result in the potential for confounding of the effect of cannabis use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with appropriate analysis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(</w:t>
            </w:r>
            <w:r w:rsidR="009D70F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multi-factor ANOVA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); 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start of follow-up and start of intervention do not coincide as prevalent rather than new users of cannabis were recruited, 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without adjustment techniques.</w:t>
            </w:r>
          </w:p>
        </w:tc>
      </w:tr>
      <w:tr w:rsidR="00A81FBC" w:rsidRPr="00F70AB9" w14:paraId="69F882AA" w14:textId="77777777" w:rsidTr="00756C63">
        <w:trPr>
          <w:trHeight w:val="324"/>
        </w:trPr>
        <w:tc>
          <w:tcPr>
            <w:tcW w:w="1696" w:type="dxa"/>
          </w:tcPr>
          <w:p w14:paraId="5591D94C" w14:textId="2DA33C71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Huestegge et al.</w:t>
            </w:r>
          </w:p>
        </w:tc>
        <w:tc>
          <w:tcPr>
            <w:tcW w:w="851" w:type="dxa"/>
          </w:tcPr>
          <w:p w14:paraId="574A0DA7" w14:textId="6526615F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1417" w:type="dxa"/>
          </w:tcPr>
          <w:p w14:paraId="4EFA9FBA" w14:textId="0D9BDAA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</w:tcPr>
          <w:p w14:paraId="141650D4" w14:textId="3B786EE7" w:rsidR="00F70AB9" w:rsidRPr="00F70AB9" w:rsidRDefault="00F70AB9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D1;</w:t>
            </w:r>
          </w:p>
          <w:p w14:paraId="58E3CBF8" w14:textId="0986D141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1418" w:type="dxa"/>
          </w:tcPr>
          <w:p w14:paraId="778D9712" w14:textId="77777777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3F49F2C3" w14:textId="4A2E6661" w:rsidR="00F70AB9" w:rsidRPr="00F70AB9" w:rsidRDefault="00F70AB9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</w:tcPr>
          <w:p w14:paraId="55F9C49C" w14:textId="61CE811F" w:rsidR="00A81FBC" w:rsidRPr="00F70AB9" w:rsidRDefault="0033610F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Recent cannabis use and cannabis use disorder severity </w:t>
            </w: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may result in the potential for confounding of the effect of cannabis use 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with appropriate analysis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(</w:t>
            </w:r>
            <w:r w:rsidR="009D70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t </w:t>
            </w:r>
            <w:r w:rsidR="009D70F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Tests and mixed ANOVA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); s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tart of follow-up and start of intervention do not coincide as prevalent rather than new users of cannabis were recruited, 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without adjustment techniques. </w:t>
            </w:r>
          </w:p>
        </w:tc>
      </w:tr>
      <w:tr w:rsidR="00A81FBC" w:rsidRPr="00F70AB9" w14:paraId="2FB730AC" w14:textId="77777777" w:rsidTr="006D732F">
        <w:trPr>
          <w:trHeight w:val="324"/>
        </w:trPr>
        <w:tc>
          <w:tcPr>
            <w:tcW w:w="1696" w:type="dxa"/>
            <w:tcBorders>
              <w:bottom w:val="single" w:sz="4" w:space="0" w:color="BFBFBF" w:themeColor="background1" w:themeShade="BF"/>
            </w:tcBorders>
          </w:tcPr>
          <w:p w14:paraId="084FD33B" w14:textId="07B109BA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Yoon et al.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</w:tcPr>
          <w:p w14:paraId="796723BF" w14:textId="38990268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</w:tcPr>
          <w:p w14:paraId="04D341C3" w14:textId="2F207F9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8115D8F" w14:textId="26D21502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378E948E" w14:textId="1354F685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1BFF7221" w14:textId="1D498DAB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73E5E6B2" w14:textId="31CA1A1B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  <w:tcBorders>
              <w:bottom w:val="single" w:sz="4" w:space="0" w:color="BFBFBF" w:themeColor="background1" w:themeShade="BF"/>
            </w:tcBorders>
          </w:tcPr>
          <w:p w14:paraId="55D03612" w14:textId="17ACA9E5" w:rsidR="00A81FBC" w:rsidRPr="00F70AB9" w:rsidRDefault="00A229AA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Cannabis use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age of onset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age, gender, and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years of education 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may result in the potential for confounding of the effect of cannabis use</w:t>
            </w:r>
            <w:r w:rsidR="00CF6F2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with appropriate analysis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regression and </w:t>
            </w:r>
            <w:r w:rsidRPr="00A229A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Wilcoxon signed-rank test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; 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start of follow-up and start of intervention do not coincide as prevalent rather than new users of cannabis were recruited</w:t>
            </w:r>
            <w:r w:rsidR="00BE0EF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without adjustment techniques.</w:t>
            </w:r>
          </w:p>
        </w:tc>
      </w:tr>
      <w:tr w:rsidR="00A81FBC" w:rsidRPr="00F70AB9" w14:paraId="50121916" w14:textId="77777777" w:rsidTr="006D732F">
        <w:trPr>
          <w:trHeight w:val="324"/>
        </w:trPr>
        <w:tc>
          <w:tcPr>
            <w:tcW w:w="1696" w:type="dxa"/>
            <w:tcBorders>
              <w:bottom w:val="single" w:sz="4" w:space="0" w:color="auto"/>
            </w:tcBorders>
          </w:tcPr>
          <w:p w14:paraId="21D3120D" w14:textId="766BAEFA" w:rsidR="00A81FBC" w:rsidRPr="00F70AB9" w:rsidRDefault="000828F1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Zandi et al.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682EDA" w14:textId="7CC2B372" w:rsidR="00A81FBC" w:rsidRPr="00F70AB9" w:rsidRDefault="000828F1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A2886" w14:textId="4E3D8931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D2534A" w14:textId="27D5D446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D1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787EFAA5" w14:textId="67EB53A9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36CABB" w14:textId="35376D8A" w:rsidR="00A81FB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  <w:r w:rsidR="00BB10DB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;</w:t>
            </w:r>
          </w:p>
          <w:p w14:paraId="59214D9B" w14:textId="3C0C478B" w:rsidR="00F34F9C" w:rsidRPr="00F70AB9" w:rsidRDefault="00F34F9C" w:rsidP="003810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461934F9" w14:textId="7A62612A" w:rsidR="00A81FBC" w:rsidRPr="00F70AB9" w:rsidRDefault="00A229AA" w:rsidP="0038102C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annabis use history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and age of onset may result in the potential for confounding of the effect of cannabis use</w:t>
            </w:r>
            <w:r w:rsidR="00827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, with appropriate analysis</w:t>
            </w:r>
            <w:r w:rsidR="00F70AB9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</w:t>
            </w:r>
            <w:r w:rsidR="009D70F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regression and ANOVA</w:t>
            </w:r>
            <w:r w:rsidR="0089528E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)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; </w:t>
            </w:r>
            <w:r w:rsidR="006308C1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participants’ knowledge of the intervention received</w:t>
            </w:r>
            <w:r w:rsidR="0038102C" w:rsidRPr="00F70AB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may have influenced outcome measures.</w:t>
            </w:r>
          </w:p>
        </w:tc>
      </w:tr>
    </w:tbl>
    <w:p w14:paraId="28F46D9F" w14:textId="24C02BF2" w:rsidR="00C849A7" w:rsidRPr="00023B5A" w:rsidRDefault="00A81FBC">
      <w:pPr>
        <w:rPr>
          <w:rFonts w:ascii="Times New Roman" w:hAnsi="Times New Roman" w:cs="Times New Roman"/>
          <w:sz w:val="18"/>
          <w:szCs w:val="18"/>
        </w:rPr>
      </w:pPr>
      <w:r w:rsidRPr="00F70AB9">
        <w:rPr>
          <w:rFonts w:ascii="Times New Roman" w:hAnsi="Times New Roman" w:cs="Times New Roman"/>
          <w:i/>
          <w:iCs/>
          <w:sz w:val="18"/>
          <w:szCs w:val="18"/>
        </w:rPr>
        <w:t>Note:</w:t>
      </w:r>
      <w:r w:rsidRPr="00F70AB9">
        <w:rPr>
          <w:rFonts w:ascii="Times New Roman" w:hAnsi="Times New Roman" w:cs="Times New Roman"/>
          <w:sz w:val="18"/>
          <w:szCs w:val="18"/>
        </w:rPr>
        <w:t xml:space="preserve"> M=</w:t>
      </w:r>
      <w:r w:rsidR="009D561E">
        <w:rPr>
          <w:rFonts w:ascii="Times New Roman" w:hAnsi="Times New Roman" w:cs="Times New Roman"/>
          <w:sz w:val="18"/>
          <w:szCs w:val="18"/>
        </w:rPr>
        <w:t>M</w:t>
      </w:r>
      <w:r w:rsidRPr="00F70AB9">
        <w:rPr>
          <w:rFonts w:ascii="Times New Roman" w:hAnsi="Times New Roman" w:cs="Times New Roman"/>
          <w:sz w:val="18"/>
          <w:szCs w:val="18"/>
        </w:rPr>
        <w:t>oderate risk of bias</w:t>
      </w:r>
    </w:p>
    <w:sectPr w:rsidR="00C849A7" w:rsidRPr="00023B5A" w:rsidSect="0020529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A6"/>
    <w:multiLevelType w:val="hybridMultilevel"/>
    <w:tmpl w:val="00C4B0D6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E7F"/>
    <w:multiLevelType w:val="hybridMultilevel"/>
    <w:tmpl w:val="6D361944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2C9C"/>
    <w:multiLevelType w:val="hybridMultilevel"/>
    <w:tmpl w:val="2A067546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4192"/>
    <w:multiLevelType w:val="hybridMultilevel"/>
    <w:tmpl w:val="7D582254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6D6A"/>
    <w:multiLevelType w:val="hybridMultilevel"/>
    <w:tmpl w:val="D5EE91B8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8F2"/>
    <w:multiLevelType w:val="hybridMultilevel"/>
    <w:tmpl w:val="7B0AAF44"/>
    <w:lvl w:ilvl="0" w:tplc="40101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06471">
    <w:abstractNumId w:val="4"/>
  </w:num>
  <w:num w:numId="2" w16cid:durableId="1438061718">
    <w:abstractNumId w:val="5"/>
  </w:num>
  <w:num w:numId="3" w16cid:durableId="2145855533">
    <w:abstractNumId w:val="2"/>
  </w:num>
  <w:num w:numId="4" w16cid:durableId="72357054">
    <w:abstractNumId w:val="3"/>
  </w:num>
  <w:num w:numId="5" w16cid:durableId="1978533531">
    <w:abstractNumId w:val="0"/>
  </w:num>
  <w:num w:numId="6" w16cid:durableId="18313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BC"/>
    <w:rsid w:val="00023B5A"/>
    <w:rsid w:val="00031B53"/>
    <w:rsid w:val="000828F1"/>
    <w:rsid w:val="000E0F42"/>
    <w:rsid w:val="00132507"/>
    <w:rsid w:val="00217867"/>
    <w:rsid w:val="0033610F"/>
    <w:rsid w:val="0035590B"/>
    <w:rsid w:val="0038102C"/>
    <w:rsid w:val="00404084"/>
    <w:rsid w:val="005F23ED"/>
    <w:rsid w:val="006308C1"/>
    <w:rsid w:val="006A147A"/>
    <w:rsid w:val="006D732F"/>
    <w:rsid w:val="00756C63"/>
    <w:rsid w:val="00762E33"/>
    <w:rsid w:val="00771AB3"/>
    <w:rsid w:val="007E317E"/>
    <w:rsid w:val="00827E0F"/>
    <w:rsid w:val="0089528E"/>
    <w:rsid w:val="008D3F52"/>
    <w:rsid w:val="008E12C5"/>
    <w:rsid w:val="00923BED"/>
    <w:rsid w:val="00961FF1"/>
    <w:rsid w:val="009B422F"/>
    <w:rsid w:val="009D561E"/>
    <w:rsid w:val="009D70F7"/>
    <w:rsid w:val="00A229AA"/>
    <w:rsid w:val="00A81FBC"/>
    <w:rsid w:val="00AE3AF7"/>
    <w:rsid w:val="00BB10DB"/>
    <w:rsid w:val="00BE0EFC"/>
    <w:rsid w:val="00C849A7"/>
    <w:rsid w:val="00CF6F2F"/>
    <w:rsid w:val="00DA3E4B"/>
    <w:rsid w:val="00E010DD"/>
    <w:rsid w:val="00F34F9C"/>
    <w:rsid w:val="00F70AB9"/>
    <w:rsid w:val="00F842D9"/>
    <w:rsid w:val="00FB2D06"/>
    <w:rsid w:val="58CA9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94DA"/>
  <w15:chartTrackingRefBased/>
  <w15:docId w15:val="{5250B131-4D74-4129-B7B3-9853C2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BC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81FBC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81F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61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61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EED6-C4BC-403B-89F2-24363CB6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Manning</dc:creator>
  <cp:keywords/>
  <dc:description/>
  <cp:lastModifiedBy>BROOKE MANNING</cp:lastModifiedBy>
  <cp:revision>21</cp:revision>
  <dcterms:created xsi:type="dcterms:W3CDTF">2022-04-20T09:17:00Z</dcterms:created>
  <dcterms:modified xsi:type="dcterms:W3CDTF">2023-03-14T12:19:00Z</dcterms:modified>
</cp:coreProperties>
</file>