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1D4" w:rsidRPr="00E761D4" w:rsidRDefault="00E761D4" w:rsidP="00A51216">
      <w:pPr>
        <w:spacing w:before="120" w:line="480" w:lineRule="auto"/>
        <w:rPr>
          <w:b/>
          <w:sz w:val="24"/>
        </w:rPr>
      </w:pPr>
      <w:bookmarkStart w:id="0" w:name="_GoBack"/>
      <w:r w:rsidRPr="00E761D4">
        <w:rPr>
          <w:b/>
          <w:sz w:val="24"/>
        </w:rPr>
        <w:t>Supplementary Fig</w:t>
      </w:r>
      <w:r w:rsidRPr="00E761D4">
        <w:rPr>
          <w:rFonts w:hint="eastAsia"/>
          <w:b/>
          <w:sz w:val="24"/>
        </w:rPr>
        <w:t>u</w:t>
      </w:r>
      <w:r w:rsidRPr="00E761D4">
        <w:rPr>
          <w:b/>
          <w:sz w:val="24"/>
        </w:rPr>
        <w:t>re Legends</w:t>
      </w:r>
    </w:p>
    <w:bookmarkEnd w:id="0"/>
    <w:p w:rsidR="00E761D4" w:rsidRDefault="00E761D4" w:rsidP="00A51216">
      <w:pPr>
        <w:spacing w:before="120" w:line="480" w:lineRule="auto"/>
        <w:rPr>
          <w:b/>
        </w:rPr>
      </w:pPr>
    </w:p>
    <w:p w:rsidR="00A45CA4" w:rsidRPr="000F3552" w:rsidRDefault="00807FD7" w:rsidP="00A51216">
      <w:pPr>
        <w:spacing w:before="120" w:line="480" w:lineRule="auto"/>
        <w:rPr>
          <w:b/>
        </w:rPr>
      </w:pPr>
      <w:r w:rsidRPr="000F3552">
        <w:rPr>
          <w:b/>
        </w:rPr>
        <w:t>S</w:t>
      </w:r>
      <w:r w:rsidR="00932583" w:rsidRPr="000F3552">
        <w:rPr>
          <w:b/>
        </w:rPr>
        <w:t>upplementary</w:t>
      </w:r>
      <w:r w:rsidRPr="000F3552">
        <w:rPr>
          <w:b/>
        </w:rPr>
        <w:t xml:space="preserve"> </w:t>
      </w:r>
      <w:r w:rsidR="002207CF" w:rsidRPr="000F3552">
        <w:rPr>
          <w:b/>
        </w:rPr>
        <w:t>Fig</w:t>
      </w:r>
      <w:r w:rsidR="00A45CA4" w:rsidRPr="000F3552">
        <w:rPr>
          <w:b/>
        </w:rPr>
        <w:t>. 1</w:t>
      </w:r>
    </w:p>
    <w:p w:rsidR="00807FD7" w:rsidRPr="000F3552" w:rsidRDefault="00807FD7" w:rsidP="00A51216">
      <w:pPr>
        <w:spacing w:before="120" w:line="480" w:lineRule="auto"/>
      </w:pPr>
      <w:r w:rsidRPr="000F3552">
        <w:rPr>
          <w:b/>
        </w:rPr>
        <w:t xml:space="preserve">Cytotoxic effects of </w:t>
      </w:r>
      <w:proofErr w:type="spellStart"/>
      <w:r w:rsidRPr="000F3552">
        <w:rPr>
          <w:b/>
        </w:rPr>
        <w:t>Theracurmin</w:t>
      </w:r>
      <w:proofErr w:type="spellEnd"/>
      <w:r w:rsidR="00932583" w:rsidRPr="000F3552">
        <w:rPr>
          <w:b/>
          <w:vertAlign w:val="superscript"/>
        </w:rPr>
        <w:sym w:font="Symbol" w:char="F0D2"/>
      </w:r>
      <w:r w:rsidRPr="000F3552">
        <w:rPr>
          <w:b/>
        </w:rPr>
        <w:t xml:space="preserve"> against ESCC cells.</w:t>
      </w:r>
      <w:r w:rsidRPr="000F3552">
        <w:t xml:space="preserve"> </w:t>
      </w:r>
      <w:r w:rsidR="00957466" w:rsidRPr="000F3552">
        <w:t>Cell viability</w:t>
      </w:r>
      <w:r w:rsidR="00723262" w:rsidRPr="000F3552">
        <w:t xml:space="preserve">: </w:t>
      </w:r>
      <w:r w:rsidRPr="000F3552">
        <w:t>ESCC cells were cultured with the indicated concentrations</w:t>
      </w:r>
      <w:r w:rsidR="00947F1B" w:rsidRPr="000F3552">
        <w:t xml:space="preserve"> (0</w:t>
      </w:r>
      <w:r w:rsidR="00932583" w:rsidRPr="000F3552">
        <w:t xml:space="preserve">–50 </w:t>
      </w:r>
      <w:r w:rsidR="00932583" w:rsidRPr="000F3552">
        <w:sym w:font="Symbol" w:char="F06D"/>
      </w:r>
      <w:r w:rsidR="00947F1B" w:rsidRPr="000F3552">
        <w:t>M)</w:t>
      </w:r>
      <w:r w:rsidRPr="000F3552">
        <w:t xml:space="preserve"> of </w:t>
      </w:r>
      <w:proofErr w:type="spellStart"/>
      <w:r w:rsidRPr="000F3552">
        <w:t>Theracurmin</w:t>
      </w:r>
      <w:proofErr w:type="spellEnd"/>
      <w:r w:rsidR="00932583" w:rsidRPr="000F3552">
        <w:rPr>
          <w:vertAlign w:val="superscript"/>
        </w:rPr>
        <w:sym w:font="Symbol" w:char="F0D2"/>
      </w:r>
      <w:r w:rsidRPr="000F3552">
        <w:t xml:space="preserve"> (</w:t>
      </w:r>
      <w:r w:rsidR="00552D49" w:rsidRPr="000F3552">
        <w:t>THC</w:t>
      </w:r>
      <w:r w:rsidRPr="000F3552">
        <w:t xml:space="preserve">) for 96 h. </w:t>
      </w:r>
      <w:r w:rsidR="00957466" w:rsidRPr="000F3552">
        <w:t>Cell viability</w:t>
      </w:r>
      <w:r w:rsidRPr="000F3552">
        <w:t xml:space="preserve"> was measured using the WST-1 assay.</w:t>
      </w:r>
      <w:r w:rsidR="00E876EF" w:rsidRPr="000F3552">
        <w:t xml:space="preserve"> </w:t>
      </w:r>
      <w:r w:rsidR="00190B5A" w:rsidRPr="000F3552">
        <w:t>Viability</w:t>
      </w:r>
      <w:r w:rsidR="00E876EF" w:rsidRPr="000F3552">
        <w:t xml:space="preserve"> of each cell</w:t>
      </w:r>
      <w:r w:rsidR="00932583" w:rsidRPr="000F3552">
        <w:t xml:space="preserve"> type</w:t>
      </w:r>
      <w:r w:rsidR="00E876EF" w:rsidRPr="000F3552">
        <w:t xml:space="preserve"> treated with </w:t>
      </w:r>
      <w:r w:rsidR="00552D49" w:rsidRPr="000F3552">
        <w:t>THC</w:t>
      </w:r>
      <w:r w:rsidR="00E876EF" w:rsidRPr="000F3552">
        <w:t xml:space="preserve"> relative to that of untreated cells is indicated. (*</w:t>
      </w:r>
      <w:r w:rsidR="00932583" w:rsidRPr="000F3552">
        <w:rPr>
          <w:i/>
          <w:iCs/>
        </w:rPr>
        <w:t xml:space="preserve">P &lt; </w:t>
      </w:r>
      <w:r w:rsidR="00E876EF" w:rsidRPr="000F3552">
        <w:t>0.05, **</w:t>
      </w:r>
      <w:r w:rsidR="00932583" w:rsidRPr="000F3552">
        <w:rPr>
          <w:i/>
          <w:iCs/>
        </w:rPr>
        <w:t xml:space="preserve">P &lt; </w:t>
      </w:r>
      <w:r w:rsidR="00E876EF" w:rsidRPr="000F3552">
        <w:t>0.01,</w:t>
      </w:r>
      <w:r w:rsidR="00E876EF" w:rsidRPr="000F3552">
        <w:rPr>
          <w:rFonts w:ascii="Times New Roman" w:hAnsi="Times New Roman" w:cs="Times New Roman"/>
        </w:rPr>
        <w:t> </w:t>
      </w:r>
      <w:r w:rsidR="00E876EF" w:rsidRPr="000F3552">
        <w:rPr>
          <w:i/>
        </w:rPr>
        <w:t>vs</w:t>
      </w:r>
      <w:r w:rsidR="00E876EF" w:rsidRPr="000F3552">
        <w:t xml:space="preserve"> </w:t>
      </w:r>
      <w:r w:rsidR="000E439D" w:rsidRPr="000F3552">
        <w:t>untreated cells</w:t>
      </w:r>
      <w:r w:rsidR="00E876EF" w:rsidRPr="000F3552">
        <w:t>; n</w:t>
      </w:r>
      <w:r w:rsidR="00932583" w:rsidRPr="000F3552">
        <w:rPr>
          <w:rFonts w:cs="Times New Roman"/>
        </w:rPr>
        <w:t xml:space="preserve"> = </w:t>
      </w:r>
      <w:r w:rsidR="00E876EF" w:rsidRPr="000F3552">
        <w:t>3)</w:t>
      </w:r>
    </w:p>
    <w:p w:rsidR="0015709B" w:rsidRPr="000F3552" w:rsidRDefault="0015709B" w:rsidP="00A51216">
      <w:pPr>
        <w:spacing w:before="120" w:line="480" w:lineRule="auto"/>
      </w:pPr>
    </w:p>
    <w:p w:rsidR="001C44BB" w:rsidRPr="000F3552" w:rsidRDefault="001C44BB" w:rsidP="001C44BB">
      <w:pPr>
        <w:spacing w:before="120" w:line="480" w:lineRule="auto"/>
        <w:rPr>
          <w:b/>
        </w:rPr>
      </w:pPr>
      <w:r w:rsidRPr="000F3552">
        <w:rPr>
          <w:b/>
        </w:rPr>
        <w:t>Supplementary Fig. 2</w:t>
      </w:r>
    </w:p>
    <w:p w:rsidR="001C44BB" w:rsidRPr="000F3552" w:rsidRDefault="005606BC" w:rsidP="001C44BB">
      <w:pPr>
        <w:spacing w:before="120" w:line="480" w:lineRule="auto"/>
      </w:pPr>
      <w:r w:rsidRPr="000F3552">
        <w:rPr>
          <w:b/>
        </w:rPr>
        <w:t xml:space="preserve">Effect of </w:t>
      </w:r>
      <w:proofErr w:type="spellStart"/>
      <w:r w:rsidRPr="000F3552">
        <w:rPr>
          <w:b/>
        </w:rPr>
        <w:t>Theracurmin</w:t>
      </w:r>
      <w:proofErr w:type="spellEnd"/>
      <w:r w:rsidRPr="000F3552">
        <w:rPr>
          <w:b/>
          <w:vertAlign w:val="superscript"/>
        </w:rPr>
        <w:sym w:font="Symbol" w:char="F0D2"/>
      </w:r>
      <w:r w:rsidRPr="000F3552">
        <w:rPr>
          <w:b/>
        </w:rPr>
        <w:t xml:space="preserve"> on cell cycle and senescence.</w:t>
      </w:r>
      <w:r w:rsidR="001C44BB" w:rsidRPr="000F3552">
        <w:t xml:space="preserve"> (a) Cell cycle: ESCC cells</w:t>
      </w:r>
      <w:r w:rsidRPr="000F3552">
        <w:t xml:space="preserve"> (TE-5, TE-8, and TE-11R cells)</w:t>
      </w:r>
      <w:r w:rsidR="001C44BB" w:rsidRPr="000F3552">
        <w:t xml:space="preserve"> were cultured with the indicated concentrations (0–50 </w:t>
      </w:r>
      <w:r w:rsidR="001C44BB" w:rsidRPr="000F3552">
        <w:sym w:font="Symbol" w:char="F06D"/>
      </w:r>
      <w:r w:rsidR="001C44BB" w:rsidRPr="000F3552">
        <w:t xml:space="preserve">M) of </w:t>
      </w:r>
      <w:proofErr w:type="spellStart"/>
      <w:r w:rsidR="001C44BB" w:rsidRPr="000F3552">
        <w:t>Theracurmin</w:t>
      </w:r>
      <w:proofErr w:type="spellEnd"/>
      <w:r w:rsidR="001C44BB" w:rsidRPr="000F3552">
        <w:rPr>
          <w:vertAlign w:val="superscript"/>
        </w:rPr>
        <w:sym w:font="Symbol" w:char="F0D2"/>
      </w:r>
      <w:r w:rsidR="001C44BB" w:rsidRPr="000F3552">
        <w:t xml:space="preserve"> (THC) for 24 h. Cell cycle was measured using the cell-clock cell cycle assay.</w:t>
      </w:r>
      <w:r w:rsidR="00ED6363" w:rsidRPr="000F3552">
        <w:t xml:space="preserve"> Cells per high-power field</w:t>
      </w:r>
      <w:r w:rsidR="00ED6363" w:rsidRPr="000F3552">
        <w:rPr>
          <w:rFonts w:hint="eastAsia"/>
        </w:rPr>
        <w:t xml:space="preserve"> (HPF)</w:t>
      </w:r>
      <w:r w:rsidR="00ED6363" w:rsidRPr="000F3552">
        <w:t xml:space="preserve"> were counted in 6 random fields.</w:t>
      </w:r>
      <w:r w:rsidR="001C44BB" w:rsidRPr="000F3552">
        <w:t xml:space="preserve"> (b) Cell senescence: ESCC cells</w:t>
      </w:r>
      <w:r w:rsidRPr="000F3552">
        <w:t xml:space="preserve"> (TE-8 cells)</w:t>
      </w:r>
      <w:r w:rsidR="001C44BB" w:rsidRPr="000F3552">
        <w:t xml:space="preserve"> were cultured with the indicated concentrations (0–50 </w:t>
      </w:r>
      <w:r w:rsidR="001C44BB" w:rsidRPr="000F3552">
        <w:sym w:font="Symbol" w:char="F06D"/>
      </w:r>
      <w:r w:rsidR="001C44BB" w:rsidRPr="000F3552">
        <w:t xml:space="preserve">M) of </w:t>
      </w:r>
      <w:r w:rsidRPr="000F3552">
        <w:t>THC</w:t>
      </w:r>
      <w:r w:rsidR="001C44BB" w:rsidRPr="000F3552">
        <w:t xml:space="preserve"> for 24 h. Cell </w:t>
      </w:r>
      <w:r w:rsidR="00E53D65" w:rsidRPr="000F3552">
        <w:t>senescence</w:t>
      </w:r>
      <w:r w:rsidR="001C44BB" w:rsidRPr="000F3552">
        <w:t xml:space="preserve"> was </w:t>
      </w:r>
      <w:r w:rsidR="00E53D65" w:rsidRPr="000F3552">
        <w:t>assessed</w:t>
      </w:r>
      <w:r w:rsidR="001C44BB" w:rsidRPr="000F3552">
        <w:t xml:space="preserve"> </w:t>
      </w:r>
      <w:r w:rsidR="00E53D65" w:rsidRPr="000F3552">
        <w:t>with</w:t>
      </w:r>
      <w:r w:rsidR="00E53D65" w:rsidRPr="000F3552">
        <w:rPr>
          <w:bCs/>
        </w:rPr>
        <w:t xml:space="preserve"> senescence-associated β-galactosidase (SABG)</w:t>
      </w:r>
      <w:r w:rsidR="001C44BB" w:rsidRPr="000F3552">
        <w:t xml:space="preserve"> assay.</w:t>
      </w:r>
      <w:r w:rsidR="00ED6363" w:rsidRPr="000F3552">
        <w:t xml:space="preserve"> Cells per </w:t>
      </w:r>
      <w:r w:rsidRPr="000F3552">
        <w:t>HPF</w:t>
      </w:r>
      <w:r w:rsidR="00ED6363" w:rsidRPr="000F3552">
        <w:t xml:space="preserve"> were counted in 6 random fields. </w:t>
      </w:r>
      <w:r w:rsidR="001C44BB" w:rsidRPr="000F3552">
        <w:t>(*</w:t>
      </w:r>
      <w:r w:rsidR="001C44BB" w:rsidRPr="000F3552">
        <w:rPr>
          <w:i/>
          <w:iCs/>
        </w:rPr>
        <w:t xml:space="preserve">P &lt; </w:t>
      </w:r>
      <w:r w:rsidR="001C44BB" w:rsidRPr="000F3552">
        <w:t>0.05, **</w:t>
      </w:r>
      <w:r w:rsidR="001C44BB" w:rsidRPr="000F3552">
        <w:rPr>
          <w:i/>
          <w:iCs/>
        </w:rPr>
        <w:t xml:space="preserve">P &lt; </w:t>
      </w:r>
      <w:r w:rsidR="001C44BB" w:rsidRPr="000F3552">
        <w:t>0.01,</w:t>
      </w:r>
      <w:r w:rsidR="001C44BB" w:rsidRPr="000F3552">
        <w:rPr>
          <w:rFonts w:ascii="Times New Roman" w:hAnsi="Times New Roman" w:cs="Times New Roman"/>
        </w:rPr>
        <w:t> </w:t>
      </w:r>
      <w:r w:rsidR="001C44BB" w:rsidRPr="000F3552">
        <w:rPr>
          <w:i/>
        </w:rPr>
        <w:t>vs</w:t>
      </w:r>
      <w:r w:rsidR="001C44BB" w:rsidRPr="000F3552">
        <w:t xml:space="preserve"> untreated cells)</w:t>
      </w:r>
    </w:p>
    <w:p w:rsidR="001C44BB" w:rsidRPr="000F3552" w:rsidRDefault="001C44BB" w:rsidP="00A51216">
      <w:pPr>
        <w:spacing w:before="120" w:line="480" w:lineRule="auto"/>
      </w:pPr>
    </w:p>
    <w:p w:rsidR="00A45CA4" w:rsidRPr="000F3552" w:rsidRDefault="00080791" w:rsidP="00A51216">
      <w:pPr>
        <w:spacing w:before="120" w:line="480" w:lineRule="auto"/>
        <w:rPr>
          <w:b/>
        </w:rPr>
      </w:pPr>
      <w:r w:rsidRPr="000F3552">
        <w:rPr>
          <w:b/>
        </w:rPr>
        <w:t>S</w:t>
      </w:r>
      <w:r w:rsidR="00932583" w:rsidRPr="000F3552">
        <w:rPr>
          <w:b/>
        </w:rPr>
        <w:t xml:space="preserve">upplementary </w:t>
      </w:r>
      <w:r w:rsidR="002207CF" w:rsidRPr="000F3552">
        <w:rPr>
          <w:b/>
        </w:rPr>
        <w:t>Fig</w:t>
      </w:r>
      <w:r w:rsidR="00A45CA4" w:rsidRPr="000F3552">
        <w:rPr>
          <w:b/>
        </w:rPr>
        <w:t xml:space="preserve">. </w:t>
      </w:r>
      <w:r w:rsidR="001C44BB" w:rsidRPr="000F3552">
        <w:rPr>
          <w:b/>
        </w:rPr>
        <w:t>3</w:t>
      </w:r>
    </w:p>
    <w:p w:rsidR="00080791" w:rsidRPr="000F3552" w:rsidRDefault="00080791" w:rsidP="00A51216">
      <w:pPr>
        <w:spacing w:before="120" w:line="480" w:lineRule="auto"/>
      </w:pPr>
      <w:r w:rsidRPr="000F3552">
        <w:rPr>
          <w:b/>
        </w:rPr>
        <w:t xml:space="preserve">Upregulation of NMRAL2P after </w:t>
      </w:r>
      <w:proofErr w:type="spellStart"/>
      <w:r w:rsidRPr="000F3552">
        <w:rPr>
          <w:b/>
        </w:rPr>
        <w:t>Theracurmin</w:t>
      </w:r>
      <w:proofErr w:type="spellEnd"/>
      <w:r w:rsidR="00932583" w:rsidRPr="000F3552">
        <w:rPr>
          <w:b/>
          <w:vertAlign w:val="superscript"/>
        </w:rPr>
        <w:sym w:font="Symbol" w:char="F0D2"/>
      </w:r>
      <w:r w:rsidRPr="000F3552">
        <w:rPr>
          <w:b/>
        </w:rPr>
        <w:t xml:space="preserve"> treatment.</w:t>
      </w:r>
      <w:r w:rsidR="00344D17" w:rsidRPr="000F3552">
        <w:t xml:space="preserve"> </w:t>
      </w:r>
      <w:r w:rsidR="00932583" w:rsidRPr="000F3552">
        <w:t>Genes u</w:t>
      </w:r>
      <w:r w:rsidRPr="000F3552">
        <w:t xml:space="preserve">pregulated in </w:t>
      </w:r>
      <w:proofErr w:type="spellStart"/>
      <w:r w:rsidRPr="000F3552">
        <w:t>Theracurmin</w:t>
      </w:r>
      <w:proofErr w:type="spellEnd"/>
      <w:r w:rsidR="00932583" w:rsidRPr="000F3552">
        <w:rPr>
          <w:vertAlign w:val="superscript"/>
        </w:rPr>
        <w:sym w:font="Symbol" w:char="F0D2"/>
      </w:r>
      <w:r w:rsidRPr="000F3552">
        <w:t xml:space="preserve"> (THC)-treated ESCC cells: </w:t>
      </w:r>
      <w:r w:rsidR="004C0D46" w:rsidRPr="000F3552">
        <w:rPr>
          <w:rFonts w:hint="eastAsia"/>
        </w:rPr>
        <w:t>M</w:t>
      </w:r>
      <w:r w:rsidRPr="000F3552">
        <w:t xml:space="preserve">icroarray gene expression analysis identified </w:t>
      </w:r>
      <w:r w:rsidR="00932583" w:rsidRPr="000F3552">
        <w:t>several</w:t>
      </w:r>
      <w:r w:rsidRPr="000F3552">
        <w:t xml:space="preserve"> genes </w:t>
      </w:r>
      <w:r w:rsidR="00932583" w:rsidRPr="000F3552">
        <w:t>that</w:t>
      </w:r>
      <w:r w:rsidRPr="000F3552">
        <w:t xml:space="preserve"> were upregulated in ESCC cells (TE-5 and TE</w:t>
      </w:r>
      <w:r w:rsidR="00932583" w:rsidRPr="000F3552">
        <w:t xml:space="preserve">-8 cells) treated with </w:t>
      </w:r>
      <w:r w:rsidR="00932583" w:rsidRPr="000F3552">
        <w:lastRenderedPageBreak/>
        <w:t xml:space="preserve">THC (10 </w:t>
      </w:r>
      <w:r w:rsidR="00932583" w:rsidRPr="000F3552">
        <w:sym w:font="Symbol" w:char="F06D"/>
      </w:r>
      <w:r w:rsidRPr="000F3552">
        <w:t>M) for 4 h, 8 h, or 24 h.</w:t>
      </w:r>
    </w:p>
    <w:p w:rsidR="0015709B" w:rsidRPr="000F3552" w:rsidRDefault="0015709B" w:rsidP="00A51216">
      <w:pPr>
        <w:spacing w:before="120" w:line="480" w:lineRule="auto"/>
      </w:pPr>
    </w:p>
    <w:p w:rsidR="00A45CA4" w:rsidRPr="000F3552" w:rsidRDefault="00E86B05" w:rsidP="00A51216">
      <w:pPr>
        <w:spacing w:before="120" w:line="480" w:lineRule="auto"/>
        <w:rPr>
          <w:b/>
        </w:rPr>
      </w:pPr>
      <w:r w:rsidRPr="000F3552">
        <w:rPr>
          <w:b/>
        </w:rPr>
        <w:t>S</w:t>
      </w:r>
      <w:r w:rsidR="00932583" w:rsidRPr="000F3552">
        <w:rPr>
          <w:b/>
        </w:rPr>
        <w:t>upplementary</w:t>
      </w:r>
      <w:r w:rsidRPr="000F3552">
        <w:rPr>
          <w:b/>
        </w:rPr>
        <w:t xml:space="preserve"> </w:t>
      </w:r>
      <w:r w:rsidR="002207CF" w:rsidRPr="000F3552">
        <w:rPr>
          <w:b/>
        </w:rPr>
        <w:t>Fig</w:t>
      </w:r>
      <w:r w:rsidR="00A45CA4" w:rsidRPr="000F3552">
        <w:rPr>
          <w:b/>
        </w:rPr>
        <w:t xml:space="preserve">. </w:t>
      </w:r>
      <w:r w:rsidR="001C44BB" w:rsidRPr="000F3552">
        <w:rPr>
          <w:b/>
        </w:rPr>
        <w:t>4</w:t>
      </w:r>
    </w:p>
    <w:p w:rsidR="009B06D0" w:rsidRPr="000F3552" w:rsidRDefault="00233FC7" w:rsidP="00A51216">
      <w:pPr>
        <w:spacing w:before="120" w:line="480" w:lineRule="auto"/>
      </w:pPr>
      <w:r w:rsidRPr="000F3552">
        <w:rPr>
          <w:b/>
        </w:rPr>
        <w:t>Activation of N</w:t>
      </w:r>
      <w:r w:rsidR="00932583" w:rsidRPr="000F3552">
        <w:rPr>
          <w:b/>
        </w:rPr>
        <w:t>RF</w:t>
      </w:r>
      <w:r w:rsidRPr="000F3552">
        <w:rPr>
          <w:b/>
        </w:rPr>
        <w:t>2</w:t>
      </w:r>
      <w:r w:rsidR="00932583" w:rsidRPr="000F3552">
        <w:rPr>
          <w:b/>
        </w:rPr>
        <w:t>–</w:t>
      </w:r>
      <w:r w:rsidRPr="000F3552">
        <w:rPr>
          <w:b/>
        </w:rPr>
        <w:t>NMRAL2P</w:t>
      </w:r>
      <w:r w:rsidR="00932583" w:rsidRPr="000F3552">
        <w:rPr>
          <w:b/>
        </w:rPr>
        <w:t>–</w:t>
      </w:r>
      <w:r w:rsidRPr="000F3552">
        <w:rPr>
          <w:b/>
        </w:rPr>
        <w:t>NQO1 pathway by THC</w:t>
      </w:r>
      <w:r w:rsidR="00E86B05" w:rsidRPr="000F3552">
        <w:rPr>
          <w:b/>
        </w:rPr>
        <w:t>.</w:t>
      </w:r>
      <w:r w:rsidR="00E86B05" w:rsidRPr="000F3552">
        <w:t xml:space="preserve"> (</w:t>
      </w:r>
      <w:r w:rsidR="0085413A" w:rsidRPr="000F3552">
        <w:t>a</w:t>
      </w:r>
      <w:r w:rsidR="00E86B05" w:rsidRPr="000F3552">
        <w:t>) K</w:t>
      </w:r>
      <w:r w:rsidR="00932583" w:rsidRPr="000F3552">
        <w:t>EAP</w:t>
      </w:r>
      <w:r w:rsidR="00E86B05" w:rsidRPr="000F3552">
        <w:t xml:space="preserve">1 mRNA levels in </w:t>
      </w:r>
      <w:r w:rsidR="00E86B05" w:rsidRPr="000F3552">
        <w:rPr>
          <w:i/>
        </w:rPr>
        <w:t>KEAP1</w:t>
      </w:r>
      <w:r w:rsidR="00E86B05" w:rsidRPr="000F3552">
        <w:t xml:space="preserve"> knockdown cells treated with or without </w:t>
      </w:r>
      <w:proofErr w:type="spellStart"/>
      <w:r w:rsidR="00E86B05" w:rsidRPr="000F3552">
        <w:t>Theracurmin</w:t>
      </w:r>
      <w:proofErr w:type="spellEnd"/>
      <w:r w:rsidR="00932583" w:rsidRPr="000F3552">
        <w:rPr>
          <w:vertAlign w:val="superscript"/>
        </w:rPr>
        <w:sym w:font="Symbol" w:char="F0D2"/>
      </w:r>
      <w:r w:rsidR="00E86B05" w:rsidRPr="000F3552">
        <w:t xml:space="preserve"> (THC): RT</w:t>
      </w:r>
      <w:r w:rsidR="00932583" w:rsidRPr="000F3552">
        <w:t>–</w:t>
      </w:r>
      <w:r w:rsidR="00E86B05" w:rsidRPr="000F3552">
        <w:t xml:space="preserve">PCR showed efficient </w:t>
      </w:r>
      <w:r w:rsidR="00E86B05" w:rsidRPr="000F3552">
        <w:rPr>
          <w:i/>
        </w:rPr>
        <w:t>KEAP1</w:t>
      </w:r>
      <w:r w:rsidR="00E86B05" w:rsidRPr="000F3552">
        <w:t xml:space="preserve"> knockdown using siRNA in TE-5</w:t>
      </w:r>
      <w:r w:rsidR="00665BBC" w:rsidRPr="000F3552">
        <w:t xml:space="preserve"> and TE-8</w:t>
      </w:r>
      <w:r w:rsidR="008C07E1" w:rsidRPr="000F3552">
        <w:rPr>
          <w:rFonts w:hint="eastAsia"/>
        </w:rPr>
        <w:t xml:space="preserve"> cells</w:t>
      </w:r>
      <w:r w:rsidR="00E86B05" w:rsidRPr="000F3552">
        <w:t>. K</w:t>
      </w:r>
      <w:r w:rsidR="00932583" w:rsidRPr="000F3552">
        <w:t>EAP</w:t>
      </w:r>
      <w:r w:rsidR="00E86B05" w:rsidRPr="000F3552">
        <w:t xml:space="preserve">1 mRNA level of each cell </w:t>
      </w:r>
      <w:r w:rsidR="00932583" w:rsidRPr="000F3552">
        <w:t xml:space="preserve">type </w:t>
      </w:r>
      <w:r w:rsidR="00E86B05" w:rsidRPr="000F3552">
        <w:t>relative to that of control cells un</w:t>
      </w:r>
      <w:r w:rsidR="00932583" w:rsidRPr="000F3552">
        <w:t xml:space="preserve">treated with THC is indicated. </w:t>
      </w:r>
      <w:r w:rsidR="00932583" w:rsidRPr="000F3552">
        <w:sym w:font="Symbol" w:char="F062"/>
      </w:r>
      <w:r w:rsidR="00E86B05" w:rsidRPr="000F3552">
        <w:t xml:space="preserve">-actin served as an internal control. </w:t>
      </w:r>
      <w:r w:rsidR="008C07E1" w:rsidRPr="000F3552">
        <w:t>(*</w:t>
      </w:r>
      <w:r w:rsidR="008C07E1" w:rsidRPr="000F3552">
        <w:rPr>
          <w:i/>
          <w:iCs/>
        </w:rPr>
        <w:t xml:space="preserve">P &lt; </w:t>
      </w:r>
      <w:r w:rsidR="008C07E1" w:rsidRPr="000F3552">
        <w:t>0.05, **</w:t>
      </w:r>
      <w:r w:rsidR="008C07E1" w:rsidRPr="000F3552">
        <w:rPr>
          <w:i/>
          <w:iCs/>
        </w:rPr>
        <w:t xml:space="preserve">P &lt; </w:t>
      </w:r>
      <w:r w:rsidR="008C07E1" w:rsidRPr="000F3552">
        <w:t>0.01</w:t>
      </w:r>
      <w:r w:rsidR="008C07E1" w:rsidRPr="000F3552">
        <w:rPr>
          <w:rFonts w:hint="eastAsia"/>
        </w:rPr>
        <w:t>,</w:t>
      </w:r>
      <w:r w:rsidR="00E86B05" w:rsidRPr="000F3552">
        <w:rPr>
          <w:rFonts w:cs="Times New Roman"/>
        </w:rPr>
        <w:t xml:space="preserve"> </w:t>
      </w:r>
      <w:r w:rsidR="00E86B05" w:rsidRPr="000F3552">
        <w:rPr>
          <w:i/>
        </w:rPr>
        <w:t>vs</w:t>
      </w:r>
      <w:r w:rsidR="00E86B05" w:rsidRPr="000F3552">
        <w:t xml:space="preserve"> the control cells; n</w:t>
      </w:r>
      <w:r w:rsidR="00932583" w:rsidRPr="000F3552">
        <w:rPr>
          <w:rFonts w:cs="Times New Roman"/>
        </w:rPr>
        <w:t xml:space="preserve"> = </w:t>
      </w:r>
      <w:r w:rsidR="00E86B05" w:rsidRPr="000F3552">
        <w:t>3) (</w:t>
      </w:r>
      <w:r w:rsidR="0085413A" w:rsidRPr="000F3552">
        <w:t>b</w:t>
      </w:r>
      <w:r w:rsidR="00E86B05" w:rsidRPr="000F3552">
        <w:t>) N</w:t>
      </w:r>
      <w:r w:rsidR="00932583" w:rsidRPr="000F3552">
        <w:t>RF</w:t>
      </w:r>
      <w:r w:rsidR="00E86B05" w:rsidRPr="000F3552">
        <w:t xml:space="preserve">2 mRNA levels in </w:t>
      </w:r>
      <w:r w:rsidR="00E86B05" w:rsidRPr="000F3552">
        <w:rPr>
          <w:i/>
        </w:rPr>
        <w:t>NRF2</w:t>
      </w:r>
      <w:r w:rsidR="00E86B05" w:rsidRPr="000F3552">
        <w:t xml:space="preserve"> knockdown cells treated with or without THC: RT</w:t>
      </w:r>
      <w:r w:rsidR="00932583" w:rsidRPr="000F3552">
        <w:t>–</w:t>
      </w:r>
      <w:r w:rsidR="00E86B05" w:rsidRPr="000F3552">
        <w:t xml:space="preserve">PCR showed efficient </w:t>
      </w:r>
      <w:r w:rsidR="00E86B05" w:rsidRPr="000F3552">
        <w:rPr>
          <w:i/>
        </w:rPr>
        <w:t>NRF2</w:t>
      </w:r>
      <w:r w:rsidR="00E86B05" w:rsidRPr="000F3552">
        <w:t xml:space="preserve"> knockdown using siRNA in TE-5</w:t>
      </w:r>
      <w:r w:rsidR="00665BBC" w:rsidRPr="000F3552">
        <w:t xml:space="preserve"> and TE-8</w:t>
      </w:r>
      <w:r w:rsidR="00D62C44" w:rsidRPr="000F3552">
        <w:rPr>
          <w:rFonts w:hint="eastAsia"/>
        </w:rPr>
        <w:t xml:space="preserve"> cells</w:t>
      </w:r>
      <w:r w:rsidR="00E86B05" w:rsidRPr="000F3552">
        <w:t>. N</w:t>
      </w:r>
      <w:r w:rsidR="00932583" w:rsidRPr="000F3552">
        <w:t>RF</w:t>
      </w:r>
      <w:r w:rsidR="00E86B05" w:rsidRPr="000F3552">
        <w:t xml:space="preserve">2 mRNA level of each cell </w:t>
      </w:r>
      <w:r w:rsidR="00932583" w:rsidRPr="000F3552">
        <w:t xml:space="preserve">type </w:t>
      </w:r>
      <w:r w:rsidR="00E86B05" w:rsidRPr="000F3552">
        <w:t>relative to that of control cells un</w:t>
      </w:r>
      <w:r w:rsidR="00932583" w:rsidRPr="000F3552">
        <w:t xml:space="preserve">treated with THC is indicated. </w:t>
      </w:r>
      <w:r w:rsidR="00932583" w:rsidRPr="000F3552">
        <w:sym w:font="Symbol" w:char="F062"/>
      </w:r>
      <w:r w:rsidR="00E86B05" w:rsidRPr="000F3552">
        <w:t>-actin served as an internal control. (*</w:t>
      </w:r>
      <w:r w:rsidR="00932583" w:rsidRPr="000F3552">
        <w:rPr>
          <w:i/>
          <w:iCs/>
        </w:rPr>
        <w:t xml:space="preserve">P &lt; </w:t>
      </w:r>
      <w:r w:rsidR="00E86B05" w:rsidRPr="000F3552">
        <w:t xml:space="preserve">0.05, </w:t>
      </w:r>
      <w:r w:rsidR="00E86B05" w:rsidRPr="000F3552">
        <w:rPr>
          <w:i/>
        </w:rPr>
        <w:t>vs</w:t>
      </w:r>
      <w:r w:rsidR="00E86B05" w:rsidRPr="000F3552">
        <w:t xml:space="preserve"> the control cells; n</w:t>
      </w:r>
      <w:r w:rsidR="00932583" w:rsidRPr="000F3552">
        <w:rPr>
          <w:rFonts w:cs="Times New Roman"/>
        </w:rPr>
        <w:t xml:space="preserve"> = </w:t>
      </w:r>
      <w:r w:rsidR="00E86B05" w:rsidRPr="000F3552">
        <w:t>3)</w:t>
      </w:r>
      <w:r w:rsidR="00932583" w:rsidRPr="000F3552">
        <w:t>.</w:t>
      </w:r>
      <w:r w:rsidR="007701D3" w:rsidRPr="000F3552">
        <w:rPr>
          <w:kern w:val="0"/>
        </w:rPr>
        <w:t xml:space="preserve"> </w:t>
      </w:r>
      <w:r w:rsidR="007701D3" w:rsidRPr="000F3552">
        <w:t xml:space="preserve">(c) </w:t>
      </w:r>
      <w:r w:rsidR="00FE0B67" w:rsidRPr="000F3552">
        <w:t xml:space="preserve">NRF2 protein levels in </w:t>
      </w:r>
      <w:r w:rsidR="00FE0B67" w:rsidRPr="000F3552">
        <w:rPr>
          <w:i/>
        </w:rPr>
        <w:t>NRF2</w:t>
      </w:r>
      <w:r w:rsidR="00FE0B67" w:rsidRPr="000F3552">
        <w:t xml:space="preserve"> knockdown cells:</w:t>
      </w:r>
      <w:r w:rsidR="007701D3" w:rsidRPr="000F3552">
        <w:t xml:space="preserve"> Cellular protein was divided into cytosolic fraction (Cy) and chromatin fraction (Ch). Western blotting </w:t>
      </w:r>
      <w:r w:rsidR="00FE0B67" w:rsidRPr="000F3552">
        <w:t xml:space="preserve">showed efficient </w:t>
      </w:r>
      <w:r w:rsidR="001C1AB4" w:rsidRPr="000F3552">
        <w:t xml:space="preserve">nuclear </w:t>
      </w:r>
      <w:r w:rsidR="00FE0B67" w:rsidRPr="000F3552">
        <w:rPr>
          <w:i/>
        </w:rPr>
        <w:t>NRF2</w:t>
      </w:r>
      <w:r w:rsidR="00FE0B67" w:rsidRPr="000F3552">
        <w:t xml:space="preserve"> knockdown using siRNA in TE-5 and TE-8</w:t>
      </w:r>
      <w:r w:rsidR="00FE0B67" w:rsidRPr="000F3552">
        <w:rPr>
          <w:rFonts w:hint="eastAsia"/>
        </w:rPr>
        <w:t xml:space="preserve"> cells</w:t>
      </w:r>
      <w:r w:rsidR="007701D3" w:rsidRPr="000F3552">
        <w:t xml:space="preserve">. </w:t>
      </w:r>
      <w:r w:rsidR="007701D3" w:rsidRPr="000F3552">
        <w:sym w:font="Symbol" w:char="F061"/>
      </w:r>
      <w:r w:rsidR="007701D3" w:rsidRPr="000F3552">
        <w:t xml:space="preserve">-Tubulin or histone H1 served as a loading control for cytosolic or </w:t>
      </w:r>
      <w:r w:rsidR="009E1AF3" w:rsidRPr="000F3552">
        <w:t>chromatin</w:t>
      </w:r>
      <w:r w:rsidR="007701D3" w:rsidRPr="000F3552">
        <w:t xml:space="preserve"> extracts</w:t>
      </w:r>
      <w:r w:rsidR="0076600F" w:rsidRPr="000F3552">
        <w:t>, respectively</w:t>
      </w:r>
      <w:r w:rsidR="007701D3" w:rsidRPr="000F3552">
        <w:t>.</w:t>
      </w:r>
      <w:r w:rsidR="0076600F" w:rsidRPr="000F3552">
        <w:t xml:space="preserve"> </w:t>
      </w:r>
      <w:r w:rsidR="00E86B05" w:rsidRPr="000F3552">
        <w:t>(</w:t>
      </w:r>
      <w:r w:rsidR="007701D3" w:rsidRPr="000F3552">
        <w:t>d</w:t>
      </w:r>
      <w:r w:rsidR="00E86B05" w:rsidRPr="000F3552">
        <w:t xml:space="preserve">) NMRAL2P expression levels in </w:t>
      </w:r>
      <w:r w:rsidR="00E86B05" w:rsidRPr="000F3552">
        <w:rPr>
          <w:i/>
        </w:rPr>
        <w:t>NMRAL2P</w:t>
      </w:r>
      <w:r w:rsidR="00E86B05" w:rsidRPr="000F3552">
        <w:t xml:space="preserve"> knockdown cells treated with or without THC: RT</w:t>
      </w:r>
      <w:r w:rsidR="00932583" w:rsidRPr="000F3552">
        <w:t>–</w:t>
      </w:r>
      <w:r w:rsidR="00E86B05" w:rsidRPr="000F3552">
        <w:t xml:space="preserve">PCR showed efficient </w:t>
      </w:r>
      <w:r w:rsidR="00E86B05" w:rsidRPr="000F3552">
        <w:rPr>
          <w:i/>
        </w:rPr>
        <w:t>NMRAL2P</w:t>
      </w:r>
      <w:r w:rsidR="00E86B05" w:rsidRPr="000F3552">
        <w:t xml:space="preserve"> knockdown using siRNA in TE-5</w:t>
      </w:r>
      <w:r w:rsidR="00665BBC" w:rsidRPr="000F3552">
        <w:t xml:space="preserve"> and TE-8</w:t>
      </w:r>
      <w:r w:rsidR="00D62C44" w:rsidRPr="000F3552">
        <w:rPr>
          <w:rFonts w:hint="eastAsia"/>
        </w:rPr>
        <w:t xml:space="preserve"> cells</w:t>
      </w:r>
      <w:r w:rsidR="00E86B05" w:rsidRPr="000F3552">
        <w:t xml:space="preserve">. NMRAL2P level of each cell </w:t>
      </w:r>
      <w:r w:rsidR="00932583" w:rsidRPr="000F3552">
        <w:t xml:space="preserve">type </w:t>
      </w:r>
      <w:r w:rsidR="00E86B05" w:rsidRPr="000F3552">
        <w:t>relative to that of control cells un</w:t>
      </w:r>
      <w:r w:rsidR="00932583" w:rsidRPr="000F3552">
        <w:t xml:space="preserve">treated with THC is indicated. </w:t>
      </w:r>
      <w:r w:rsidR="00932583" w:rsidRPr="000F3552">
        <w:sym w:font="Symbol" w:char="F062"/>
      </w:r>
      <w:r w:rsidR="00E86B05" w:rsidRPr="000F3552">
        <w:t>-actin served as an internal control. (*</w:t>
      </w:r>
      <w:r w:rsidR="00932583" w:rsidRPr="000F3552">
        <w:rPr>
          <w:i/>
          <w:iCs/>
        </w:rPr>
        <w:t xml:space="preserve">P &lt; </w:t>
      </w:r>
      <w:r w:rsidR="00E86B05" w:rsidRPr="000F3552">
        <w:t>0.05, **</w:t>
      </w:r>
      <w:r w:rsidR="00932583" w:rsidRPr="000F3552">
        <w:rPr>
          <w:i/>
          <w:iCs/>
        </w:rPr>
        <w:t xml:space="preserve">P &lt; </w:t>
      </w:r>
      <w:r w:rsidR="00E86B05" w:rsidRPr="000F3552">
        <w:t xml:space="preserve">0.01, </w:t>
      </w:r>
      <w:r w:rsidR="00E86B05" w:rsidRPr="000F3552">
        <w:rPr>
          <w:i/>
        </w:rPr>
        <w:t>vs</w:t>
      </w:r>
      <w:r w:rsidR="00E86B05" w:rsidRPr="000F3552">
        <w:t xml:space="preserve"> the control cells; n</w:t>
      </w:r>
      <w:r w:rsidR="00932583" w:rsidRPr="000F3552">
        <w:rPr>
          <w:rFonts w:cs="Times New Roman"/>
        </w:rPr>
        <w:t xml:space="preserve"> = </w:t>
      </w:r>
      <w:r w:rsidR="00E86B05" w:rsidRPr="000F3552">
        <w:t>3)</w:t>
      </w:r>
      <w:r w:rsidR="00932583" w:rsidRPr="000F3552">
        <w:t>.</w:t>
      </w:r>
      <w:r w:rsidR="00E86B05" w:rsidRPr="000F3552">
        <w:t xml:space="preserve"> (</w:t>
      </w:r>
      <w:r w:rsidR="007701D3" w:rsidRPr="000F3552">
        <w:t>e</w:t>
      </w:r>
      <w:r w:rsidR="00E86B05" w:rsidRPr="000F3552">
        <w:t xml:space="preserve">) NMRAL2P expression levels in </w:t>
      </w:r>
      <w:r w:rsidR="00E86B05" w:rsidRPr="000F3552">
        <w:rPr>
          <w:i/>
        </w:rPr>
        <w:t>KEAP1</w:t>
      </w:r>
      <w:r w:rsidR="00E86B05" w:rsidRPr="000F3552">
        <w:t xml:space="preserve"> or </w:t>
      </w:r>
      <w:r w:rsidR="00E86B05" w:rsidRPr="000F3552">
        <w:rPr>
          <w:i/>
        </w:rPr>
        <w:t>NRF2</w:t>
      </w:r>
      <w:r w:rsidR="00E86B05" w:rsidRPr="000F3552">
        <w:t xml:space="preserve"> knockdown cells treated with or without THC: RT</w:t>
      </w:r>
      <w:r w:rsidR="00932583" w:rsidRPr="000F3552">
        <w:t>–</w:t>
      </w:r>
      <w:r w:rsidR="00E86B05" w:rsidRPr="000F3552">
        <w:t xml:space="preserve">PCR showed that siRNA-mediated knockdown of </w:t>
      </w:r>
      <w:r w:rsidR="00E86B05" w:rsidRPr="000F3552">
        <w:rPr>
          <w:i/>
        </w:rPr>
        <w:t>KEAP1</w:t>
      </w:r>
      <w:r w:rsidR="00E86B05" w:rsidRPr="000F3552">
        <w:t xml:space="preserve"> and </w:t>
      </w:r>
      <w:r w:rsidR="00E86B05" w:rsidRPr="000F3552">
        <w:rPr>
          <w:i/>
        </w:rPr>
        <w:t>NRF2</w:t>
      </w:r>
      <w:r w:rsidR="00E86B05" w:rsidRPr="000F3552">
        <w:t xml:space="preserve"> changed </w:t>
      </w:r>
      <w:r w:rsidR="00932583" w:rsidRPr="000F3552">
        <w:t xml:space="preserve">the </w:t>
      </w:r>
      <w:r w:rsidR="00E86B05" w:rsidRPr="000F3552">
        <w:t xml:space="preserve">expression level of NMRAL2P. NMRAL2P level of each cell </w:t>
      </w:r>
      <w:r w:rsidR="00932583" w:rsidRPr="000F3552">
        <w:t xml:space="preserve">type </w:t>
      </w:r>
      <w:r w:rsidR="00E86B05" w:rsidRPr="000F3552">
        <w:t>relative to that of control cells un</w:t>
      </w:r>
      <w:r w:rsidR="00932583" w:rsidRPr="000F3552">
        <w:t xml:space="preserve">treated with THC is indicated. </w:t>
      </w:r>
      <w:r w:rsidR="00932583" w:rsidRPr="000F3552">
        <w:sym w:font="Symbol" w:char="F062"/>
      </w:r>
      <w:r w:rsidR="00E86B05" w:rsidRPr="000F3552">
        <w:t>-actin served as an internal control. (*</w:t>
      </w:r>
      <w:r w:rsidR="00932583" w:rsidRPr="000F3552">
        <w:rPr>
          <w:i/>
          <w:iCs/>
        </w:rPr>
        <w:t xml:space="preserve">P &lt; </w:t>
      </w:r>
      <w:r w:rsidR="00E86B05" w:rsidRPr="000F3552">
        <w:t>0.05, **</w:t>
      </w:r>
      <w:r w:rsidR="00932583" w:rsidRPr="000F3552">
        <w:rPr>
          <w:i/>
          <w:iCs/>
        </w:rPr>
        <w:t xml:space="preserve">P &lt; </w:t>
      </w:r>
      <w:r w:rsidR="00E86B05" w:rsidRPr="000F3552">
        <w:t xml:space="preserve">0.01, </w:t>
      </w:r>
      <w:r w:rsidR="00E86B05" w:rsidRPr="000F3552">
        <w:rPr>
          <w:i/>
        </w:rPr>
        <w:t>vs</w:t>
      </w:r>
      <w:r w:rsidR="00E86B05" w:rsidRPr="000F3552">
        <w:t xml:space="preserve"> the control cells; n</w:t>
      </w:r>
      <w:r w:rsidR="00932583" w:rsidRPr="000F3552">
        <w:rPr>
          <w:rFonts w:cs="Times New Roman"/>
        </w:rPr>
        <w:t xml:space="preserve"> = </w:t>
      </w:r>
      <w:r w:rsidR="00E86B05" w:rsidRPr="000F3552">
        <w:t>3)</w:t>
      </w:r>
      <w:r w:rsidR="00932583" w:rsidRPr="000F3552">
        <w:t>.</w:t>
      </w:r>
      <w:r w:rsidR="00E86B05" w:rsidRPr="000F3552">
        <w:t xml:space="preserve"> (</w:t>
      </w:r>
      <w:r w:rsidR="007701D3" w:rsidRPr="000F3552">
        <w:t>f</w:t>
      </w:r>
      <w:r w:rsidR="00E86B05" w:rsidRPr="000F3552">
        <w:t xml:space="preserve">) NQO1 mRNA levels in </w:t>
      </w:r>
      <w:r w:rsidR="00E86B05" w:rsidRPr="000F3552">
        <w:rPr>
          <w:i/>
        </w:rPr>
        <w:t>NMRAL2P</w:t>
      </w:r>
      <w:r w:rsidR="00E86B05" w:rsidRPr="000F3552">
        <w:t xml:space="preserve"> </w:t>
      </w:r>
      <w:r w:rsidR="00E86B05" w:rsidRPr="000F3552">
        <w:lastRenderedPageBreak/>
        <w:t>knockdown cells treated with or without THC: RT</w:t>
      </w:r>
      <w:r w:rsidR="00932583" w:rsidRPr="000F3552">
        <w:t>–</w:t>
      </w:r>
      <w:r w:rsidR="00E86B05" w:rsidRPr="000F3552">
        <w:t xml:space="preserve">PCR showed that siRNA-mediated knockdown of </w:t>
      </w:r>
      <w:r w:rsidR="00E86B05" w:rsidRPr="000F3552">
        <w:rPr>
          <w:i/>
        </w:rPr>
        <w:t>NMRAL2P</w:t>
      </w:r>
      <w:r w:rsidR="00E86B05" w:rsidRPr="000F3552">
        <w:t xml:space="preserve"> changed </w:t>
      </w:r>
      <w:r w:rsidR="00932583" w:rsidRPr="000F3552">
        <w:t xml:space="preserve">the </w:t>
      </w:r>
      <w:r w:rsidR="00E86B05" w:rsidRPr="000F3552">
        <w:t>mRNA level</w:t>
      </w:r>
      <w:r w:rsidR="00932583" w:rsidRPr="000F3552">
        <w:t>s</w:t>
      </w:r>
      <w:r w:rsidR="00E86B05" w:rsidRPr="000F3552">
        <w:t xml:space="preserve"> of NQO1 in TE-5</w:t>
      </w:r>
      <w:r w:rsidR="00665BBC" w:rsidRPr="000F3552">
        <w:t xml:space="preserve"> and TE-8</w:t>
      </w:r>
      <w:r w:rsidR="00675B52" w:rsidRPr="000F3552">
        <w:rPr>
          <w:rFonts w:hint="eastAsia"/>
        </w:rPr>
        <w:t xml:space="preserve"> cells</w:t>
      </w:r>
      <w:r w:rsidR="00E86B05" w:rsidRPr="000F3552">
        <w:t xml:space="preserve">. NQO1 mRNA level of each cell </w:t>
      </w:r>
      <w:r w:rsidR="00932583" w:rsidRPr="000F3552">
        <w:t xml:space="preserve">type </w:t>
      </w:r>
      <w:r w:rsidR="00E86B05" w:rsidRPr="000F3552">
        <w:t>relative to that of control cells un</w:t>
      </w:r>
      <w:r w:rsidR="00932583" w:rsidRPr="000F3552">
        <w:t xml:space="preserve">treated with THC is indicated. </w:t>
      </w:r>
      <w:r w:rsidR="00932583" w:rsidRPr="000F3552">
        <w:sym w:font="Symbol" w:char="F062"/>
      </w:r>
      <w:r w:rsidR="00E86B05" w:rsidRPr="000F3552">
        <w:t>-actin served as an internal control. (*</w:t>
      </w:r>
      <w:r w:rsidR="00932583" w:rsidRPr="000F3552">
        <w:rPr>
          <w:i/>
          <w:iCs/>
        </w:rPr>
        <w:t xml:space="preserve">P &lt; </w:t>
      </w:r>
      <w:r w:rsidR="00E86B05" w:rsidRPr="000F3552">
        <w:t xml:space="preserve">0.05, </w:t>
      </w:r>
      <w:r w:rsidR="00E86B05" w:rsidRPr="000F3552">
        <w:rPr>
          <w:i/>
        </w:rPr>
        <w:t>vs</w:t>
      </w:r>
      <w:r w:rsidR="00E86B05" w:rsidRPr="000F3552">
        <w:t xml:space="preserve"> the control cells; n</w:t>
      </w:r>
      <w:r w:rsidR="00932583" w:rsidRPr="000F3552">
        <w:rPr>
          <w:rFonts w:cs="Times New Roman"/>
        </w:rPr>
        <w:t xml:space="preserve"> = </w:t>
      </w:r>
      <w:r w:rsidR="00E86B05" w:rsidRPr="000F3552">
        <w:t>3)</w:t>
      </w:r>
      <w:r w:rsidR="00932583" w:rsidRPr="000F3552">
        <w:t>.</w:t>
      </w:r>
      <w:r w:rsidR="00E86B05" w:rsidRPr="000F3552">
        <w:t xml:space="preserve"> (</w:t>
      </w:r>
      <w:r w:rsidR="007701D3" w:rsidRPr="000F3552">
        <w:t>g</w:t>
      </w:r>
      <w:r w:rsidR="00E86B05" w:rsidRPr="000F3552">
        <w:t xml:space="preserve">) NQO1 protein levels in </w:t>
      </w:r>
      <w:r w:rsidR="00E86B05" w:rsidRPr="000F3552">
        <w:rPr>
          <w:i/>
        </w:rPr>
        <w:t>NMRAL2P</w:t>
      </w:r>
      <w:r w:rsidR="00E86B05" w:rsidRPr="000F3552">
        <w:t xml:space="preserve">, </w:t>
      </w:r>
      <w:r w:rsidR="00E86B05" w:rsidRPr="000F3552">
        <w:rPr>
          <w:i/>
        </w:rPr>
        <w:t>NRF2</w:t>
      </w:r>
      <w:r w:rsidR="00E86B05" w:rsidRPr="000F3552">
        <w:t xml:space="preserve">, or </w:t>
      </w:r>
      <w:r w:rsidR="00E86B05" w:rsidRPr="000F3552">
        <w:rPr>
          <w:i/>
        </w:rPr>
        <w:t>KEAP1</w:t>
      </w:r>
      <w:r w:rsidR="00E86B05" w:rsidRPr="000F3552">
        <w:t xml:space="preserve"> knockdown cells treated with or without THC: </w:t>
      </w:r>
      <w:r w:rsidR="00675B52" w:rsidRPr="000F3552">
        <w:rPr>
          <w:rFonts w:hint="eastAsia"/>
        </w:rPr>
        <w:t>W</w:t>
      </w:r>
      <w:r w:rsidR="00E86B05" w:rsidRPr="000F3552">
        <w:t xml:space="preserve">estern blotting showed that siRNA-mediated knockdown of </w:t>
      </w:r>
      <w:r w:rsidR="00675B52" w:rsidRPr="000F3552">
        <w:rPr>
          <w:i/>
        </w:rPr>
        <w:t>NMRAL2P</w:t>
      </w:r>
      <w:r w:rsidR="00675B52" w:rsidRPr="000F3552">
        <w:t xml:space="preserve">, </w:t>
      </w:r>
      <w:r w:rsidR="00675B52" w:rsidRPr="000F3552">
        <w:rPr>
          <w:i/>
        </w:rPr>
        <w:t>NRF2</w:t>
      </w:r>
      <w:r w:rsidR="00675B52" w:rsidRPr="000F3552">
        <w:t xml:space="preserve">, </w:t>
      </w:r>
      <w:r w:rsidR="00675B52" w:rsidRPr="000F3552">
        <w:rPr>
          <w:rFonts w:hint="eastAsia"/>
        </w:rPr>
        <w:t>and</w:t>
      </w:r>
      <w:r w:rsidR="00675B52" w:rsidRPr="000F3552">
        <w:t xml:space="preserve"> </w:t>
      </w:r>
      <w:r w:rsidR="00675B52" w:rsidRPr="000F3552">
        <w:rPr>
          <w:i/>
        </w:rPr>
        <w:t>KEAP1</w:t>
      </w:r>
      <w:r w:rsidR="00E86B05" w:rsidRPr="000F3552">
        <w:t xml:space="preserve"> changed </w:t>
      </w:r>
      <w:r w:rsidR="00932583" w:rsidRPr="000F3552">
        <w:t xml:space="preserve">the </w:t>
      </w:r>
      <w:r w:rsidR="00E86B05" w:rsidRPr="000F3552">
        <w:t>protein level of NQO1 in TE-5</w:t>
      </w:r>
      <w:r w:rsidR="00665BBC" w:rsidRPr="000F3552">
        <w:t xml:space="preserve"> and TE-8</w:t>
      </w:r>
      <w:r w:rsidR="00675B52" w:rsidRPr="000F3552">
        <w:rPr>
          <w:rFonts w:hint="eastAsia"/>
        </w:rPr>
        <w:t xml:space="preserve"> cells</w:t>
      </w:r>
      <w:r w:rsidR="00E86B05" w:rsidRPr="000F3552">
        <w:t xml:space="preserve">. </w:t>
      </w:r>
      <w:r w:rsidR="00932583" w:rsidRPr="000F3552">
        <w:sym w:font="Symbol" w:char="F062"/>
      </w:r>
      <w:r w:rsidR="00E86B05" w:rsidRPr="000F3552">
        <w:t xml:space="preserve">-actin served as a loading control. </w:t>
      </w:r>
      <w:r w:rsidR="00932583" w:rsidRPr="000F3552">
        <w:t xml:space="preserve">THC: treatment with THC (10 </w:t>
      </w:r>
      <w:r w:rsidR="00932583" w:rsidRPr="000F3552">
        <w:sym w:font="Symbol" w:char="F06D"/>
      </w:r>
      <w:r w:rsidR="00E86B05" w:rsidRPr="000F3552">
        <w:t>M) for 24 h.</w:t>
      </w:r>
    </w:p>
    <w:p w:rsidR="0015709B" w:rsidRPr="000F3552" w:rsidRDefault="0015709B" w:rsidP="00A51216">
      <w:pPr>
        <w:spacing w:before="120" w:line="480" w:lineRule="auto"/>
      </w:pPr>
    </w:p>
    <w:p w:rsidR="00A46D13" w:rsidRPr="000F3552" w:rsidRDefault="00A46D13" w:rsidP="00A46D13">
      <w:pPr>
        <w:spacing w:before="120" w:line="480" w:lineRule="auto"/>
        <w:rPr>
          <w:b/>
        </w:rPr>
      </w:pPr>
      <w:r w:rsidRPr="000F3552">
        <w:rPr>
          <w:b/>
        </w:rPr>
        <w:t xml:space="preserve">Supplementary Fig. </w:t>
      </w:r>
      <w:r w:rsidR="001C44BB" w:rsidRPr="000F3552">
        <w:rPr>
          <w:b/>
        </w:rPr>
        <w:t>5</w:t>
      </w:r>
    </w:p>
    <w:p w:rsidR="00A46D13" w:rsidRPr="00F6578C" w:rsidRDefault="0077726C" w:rsidP="00A46D13">
      <w:pPr>
        <w:spacing w:before="120" w:line="480" w:lineRule="auto"/>
      </w:pPr>
      <w:r w:rsidRPr="000F3552">
        <w:rPr>
          <w:b/>
        </w:rPr>
        <w:t>The</w:t>
      </w:r>
      <w:r w:rsidR="00A46D13" w:rsidRPr="000F3552">
        <w:rPr>
          <w:b/>
        </w:rPr>
        <w:t xml:space="preserve"> levels of KEAP1</w:t>
      </w:r>
      <w:r w:rsidR="001C1AB4" w:rsidRPr="000F3552">
        <w:rPr>
          <w:b/>
        </w:rPr>
        <w:t xml:space="preserve"> mRNA</w:t>
      </w:r>
      <w:r w:rsidR="00A46D13" w:rsidRPr="000F3552">
        <w:rPr>
          <w:b/>
        </w:rPr>
        <w:t xml:space="preserve">, </w:t>
      </w:r>
      <w:r w:rsidR="001C1AB4" w:rsidRPr="000F3552">
        <w:rPr>
          <w:b/>
        </w:rPr>
        <w:t xml:space="preserve">nuclear </w:t>
      </w:r>
      <w:r w:rsidR="00A46D13" w:rsidRPr="000F3552">
        <w:rPr>
          <w:b/>
        </w:rPr>
        <w:t>NRF2</w:t>
      </w:r>
      <w:r w:rsidR="001C1AB4" w:rsidRPr="000F3552">
        <w:rPr>
          <w:b/>
        </w:rPr>
        <w:t xml:space="preserve"> protein</w:t>
      </w:r>
      <w:r w:rsidR="00A46D13" w:rsidRPr="000F3552">
        <w:rPr>
          <w:b/>
        </w:rPr>
        <w:t>, and NQO1</w:t>
      </w:r>
      <w:r w:rsidR="001C1AB4" w:rsidRPr="000F3552">
        <w:rPr>
          <w:b/>
        </w:rPr>
        <w:t xml:space="preserve"> protein</w:t>
      </w:r>
      <w:r w:rsidR="00A46D13" w:rsidRPr="000F3552">
        <w:rPr>
          <w:b/>
        </w:rPr>
        <w:t xml:space="preserve"> in ESCC cell</w:t>
      </w:r>
      <w:r w:rsidR="001C1AB4" w:rsidRPr="000F3552">
        <w:rPr>
          <w:b/>
        </w:rPr>
        <w:t>s under the basal-line condition</w:t>
      </w:r>
      <w:r w:rsidR="00A46D13" w:rsidRPr="000F3552">
        <w:rPr>
          <w:b/>
        </w:rPr>
        <w:t xml:space="preserve">. </w:t>
      </w:r>
      <w:r w:rsidR="00A46D13" w:rsidRPr="000F3552">
        <w:t>(a) KEAP1 mRNA levels: RT–PCR showed KEAP1 mRNA levels</w:t>
      </w:r>
      <w:r w:rsidR="00A46D13" w:rsidRPr="000F3552">
        <w:rPr>
          <w:rFonts w:ascii="Century" w:hAnsi="Century" w:cs="Times New Roman"/>
        </w:rPr>
        <w:t xml:space="preserve"> </w:t>
      </w:r>
      <w:r w:rsidR="00A46D13" w:rsidRPr="000F3552">
        <w:t xml:space="preserve">in immortalized normal esophageal epithelial </w:t>
      </w:r>
      <w:r w:rsidR="001C1AB4" w:rsidRPr="000F3552">
        <w:t xml:space="preserve">cells </w:t>
      </w:r>
      <w:r w:rsidR="00A46D13" w:rsidRPr="000F3552">
        <w:t>(EPC1-hTERT and EPC2-hTERT</w:t>
      </w:r>
      <w:r w:rsidR="001C1AB4" w:rsidRPr="000F3552">
        <w:t xml:space="preserve"> cells</w:t>
      </w:r>
      <w:r w:rsidR="00A46D13" w:rsidRPr="000F3552">
        <w:t xml:space="preserve">) and ESCC </w:t>
      </w:r>
      <w:r w:rsidR="001C1AB4" w:rsidRPr="000F3552">
        <w:t xml:space="preserve">cells </w:t>
      </w:r>
      <w:r w:rsidR="00A46D13" w:rsidRPr="000F3552">
        <w:t xml:space="preserve">(TE1, TE5, TE6, TE8, TE10, TE11, TE11R, </w:t>
      </w:r>
      <w:proofErr w:type="spellStart"/>
      <w:proofErr w:type="gramStart"/>
      <w:r w:rsidR="00A46D13" w:rsidRPr="000F3552">
        <w:t>T.Tn</w:t>
      </w:r>
      <w:proofErr w:type="spellEnd"/>
      <w:proofErr w:type="gramEnd"/>
      <w:r w:rsidR="00A46D13" w:rsidRPr="000F3552">
        <w:t xml:space="preserve">, and HCE4 cells) under the base-line condition. KEAP1 mRNA level of each cell type relative to that of EPC1-hTERT is indicated. </w:t>
      </w:r>
      <w:r w:rsidR="00A46D13" w:rsidRPr="000F3552">
        <w:sym w:font="Symbol" w:char="F062"/>
      </w:r>
      <w:r w:rsidR="00A46D13" w:rsidRPr="000F3552">
        <w:t>-actin served as an internal control. (n = 3)</w:t>
      </w:r>
      <w:r w:rsidR="009E1AF3" w:rsidRPr="000F3552">
        <w:t xml:space="preserve"> (b) NRF2 protein levels in chromatin fraction: Western blotting with protein of chromatin fraction showed NQO1 protein levels</w:t>
      </w:r>
      <w:r w:rsidR="009E1AF3" w:rsidRPr="000F3552">
        <w:rPr>
          <w:rFonts w:ascii="Century" w:hAnsi="Century" w:cs="Times New Roman"/>
        </w:rPr>
        <w:t xml:space="preserve"> </w:t>
      </w:r>
      <w:r w:rsidR="009E1AF3" w:rsidRPr="000F3552">
        <w:t xml:space="preserve">in immortalized normal esophageal epithelial </w:t>
      </w:r>
      <w:r w:rsidR="001C1AB4" w:rsidRPr="000F3552">
        <w:t xml:space="preserve">cells </w:t>
      </w:r>
      <w:r w:rsidR="009E1AF3" w:rsidRPr="000F3552">
        <w:t xml:space="preserve">and ESCC </w:t>
      </w:r>
      <w:r w:rsidR="001C1AB4" w:rsidRPr="000F3552">
        <w:t xml:space="preserve">cells </w:t>
      </w:r>
      <w:r w:rsidR="009E1AF3" w:rsidRPr="000F3552">
        <w:t>under the base-line condition. Histone H1 served as a loading control for chromatin extracts.</w:t>
      </w:r>
      <w:r w:rsidR="0076600F" w:rsidRPr="000F3552">
        <w:rPr>
          <w:lang w:val="en"/>
        </w:rPr>
        <w:t xml:space="preserve"> Densitometry is the relative intensities of NRF2 after normalization for the levels of </w:t>
      </w:r>
      <w:r w:rsidR="0076600F" w:rsidRPr="000F3552">
        <w:t>histone H1</w:t>
      </w:r>
      <w:r w:rsidR="0076600F" w:rsidRPr="000F3552">
        <w:rPr>
          <w:lang w:val="en"/>
        </w:rPr>
        <w:t>.</w:t>
      </w:r>
      <w:r w:rsidR="00293C6D" w:rsidRPr="000F3552">
        <w:t xml:space="preserve"> (c) NQO1 protein levels: Western blotting showed NQO1 protein levels</w:t>
      </w:r>
      <w:r w:rsidR="00293C6D" w:rsidRPr="000F3552">
        <w:rPr>
          <w:rFonts w:ascii="Century" w:hAnsi="Century" w:cs="Times New Roman"/>
        </w:rPr>
        <w:t xml:space="preserve"> </w:t>
      </w:r>
      <w:r w:rsidR="00293C6D" w:rsidRPr="000F3552">
        <w:t xml:space="preserve">in immortalized normal esophageal epithelial </w:t>
      </w:r>
      <w:r w:rsidR="001C1AB4" w:rsidRPr="000F3552">
        <w:t xml:space="preserve">cells </w:t>
      </w:r>
      <w:r w:rsidR="00293C6D" w:rsidRPr="000F3552">
        <w:t xml:space="preserve">and ESCC </w:t>
      </w:r>
      <w:r w:rsidR="001C1AB4" w:rsidRPr="000F3552">
        <w:t xml:space="preserve">cells </w:t>
      </w:r>
      <w:r w:rsidR="00293C6D" w:rsidRPr="000F3552">
        <w:t xml:space="preserve">under the base-line condition. </w:t>
      </w:r>
      <w:r w:rsidR="00293C6D" w:rsidRPr="000F3552">
        <w:sym w:font="Symbol" w:char="F062"/>
      </w:r>
      <w:r w:rsidR="00293C6D" w:rsidRPr="000F3552">
        <w:t>-actin served as a loading control.</w:t>
      </w:r>
    </w:p>
    <w:p w:rsidR="00A46D13" w:rsidRPr="000F3552" w:rsidRDefault="00A46D13" w:rsidP="00A51216">
      <w:pPr>
        <w:spacing w:before="120" w:line="480" w:lineRule="auto"/>
      </w:pPr>
    </w:p>
    <w:p w:rsidR="00A45CA4" w:rsidRPr="000F3552" w:rsidRDefault="00665BBC" w:rsidP="00A51216">
      <w:pPr>
        <w:spacing w:before="120" w:line="480" w:lineRule="auto"/>
        <w:rPr>
          <w:b/>
        </w:rPr>
      </w:pPr>
      <w:r w:rsidRPr="000F3552">
        <w:rPr>
          <w:b/>
        </w:rPr>
        <w:t>S</w:t>
      </w:r>
      <w:r w:rsidR="00932583" w:rsidRPr="000F3552">
        <w:rPr>
          <w:b/>
        </w:rPr>
        <w:t>upplementary</w:t>
      </w:r>
      <w:r w:rsidRPr="000F3552">
        <w:rPr>
          <w:b/>
        </w:rPr>
        <w:t xml:space="preserve"> </w:t>
      </w:r>
      <w:r w:rsidR="002207CF" w:rsidRPr="000F3552">
        <w:rPr>
          <w:b/>
        </w:rPr>
        <w:t>Fig</w:t>
      </w:r>
      <w:r w:rsidR="00A45CA4" w:rsidRPr="000F3552">
        <w:rPr>
          <w:b/>
        </w:rPr>
        <w:t>.</w:t>
      </w:r>
      <w:r w:rsidRPr="000F3552">
        <w:rPr>
          <w:b/>
        </w:rPr>
        <w:t xml:space="preserve"> </w:t>
      </w:r>
      <w:r w:rsidR="001C44BB" w:rsidRPr="000F3552">
        <w:rPr>
          <w:b/>
        </w:rPr>
        <w:t>6</w:t>
      </w:r>
    </w:p>
    <w:p w:rsidR="00EC1D7A" w:rsidRPr="000F3552" w:rsidRDefault="00EC1D7A" w:rsidP="00A51216">
      <w:pPr>
        <w:spacing w:before="120" w:line="480" w:lineRule="auto"/>
      </w:pPr>
      <w:r w:rsidRPr="000F3552">
        <w:rPr>
          <w:b/>
        </w:rPr>
        <w:lastRenderedPageBreak/>
        <w:t xml:space="preserve">Cytotoxic effects of </w:t>
      </w:r>
      <w:r w:rsidR="006F037C" w:rsidRPr="000F3552">
        <w:rPr>
          <w:b/>
        </w:rPr>
        <w:t>curcumin</w:t>
      </w:r>
      <w:r w:rsidRPr="000F3552">
        <w:rPr>
          <w:b/>
        </w:rPr>
        <w:t xml:space="preserve"> on ESCC cells.</w:t>
      </w:r>
      <w:r w:rsidRPr="000F3552">
        <w:t xml:space="preserve"> </w:t>
      </w:r>
      <w:r w:rsidR="00E611DF" w:rsidRPr="000F3552">
        <w:t>(a)</w:t>
      </w:r>
      <w:r w:rsidR="00E611DF" w:rsidRPr="000F3552">
        <w:rPr>
          <w:bCs/>
        </w:rPr>
        <w:t xml:space="preserve"> ROS production: </w:t>
      </w:r>
      <w:r w:rsidR="00E611DF" w:rsidRPr="000F3552">
        <w:t xml:space="preserve">ESCC cells were cultured with the indicated concentrations (0–20 </w:t>
      </w:r>
      <w:r w:rsidR="00E611DF" w:rsidRPr="000F3552">
        <w:sym w:font="Symbol" w:char="F06D"/>
      </w:r>
      <w:r w:rsidR="00E611DF" w:rsidRPr="000F3552">
        <w:t>M) of curcumin for 1 h. Intracellular ROS levels were measured using the DCF assay. Relative DCF fluorescence intensity of each cell treated with the indicated concentrations of curcumin relative to that of untreated cells is indicated</w:t>
      </w:r>
      <w:r w:rsidR="001C1AB4" w:rsidRPr="000F3552">
        <w:t>.</w:t>
      </w:r>
      <w:r w:rsidR="00E611DF" w:rsidRPr="000F3552">
        <w:t xml:space="preserve"> (**</w:t>
      </w:r>
      <w:r w:rsidR="00E611DF" w:rsidRPr="000F3552">
        <w:rPr>
          <w:i/>
          <w:iCs/>
        </w:rPr>
        <w:t xml:space="preserve">P &lt; </w:t>
      </w:r>
      <w:r w:rsidR="00E611DF" w:rsidRPr="000F3552">
        <w:t>0.01,</w:t>
      </w:r>
      <w:r w:rsidR="00E611DF" w:rsidRPr="000F3552">
        <w:rPr>
          <w:rFonts w:ascii="ＭＳ 明朝" w:hAnsi="ＭＳ 明朝" w:cs="ＭＳ 明朝"/>
        </w:rPr>
        <w:t> </w:t>
      </w:r>
      <w:r w:rsidR="00E611DF" w:rsidRPr="000F3552">
        <w:rPr>
          <w:i/>
        </w:rPr>
        <w:t>vs</w:t>
      </w:r>
      <w:r w:rsidR="00E611DF" w:rsidRPr="000F3552">
        <w:t xml:space="preserve"> untreated cells; n = 3)</w:t>
      </w:r>
      <w:r w:rsidR="001C1AB4" w:rsidRPr="000F3552">
        <w:t>.</w:t>
      </w:r>
      <w:r w:rsidR="00E611DF" w:rsidRPr="000F3552">
        <w:t xml:space="preserve"> (b) </w:t>
      </w:r>
      <w:r w:rsidR="00957466" w:rsidRPr="000F3552">
        <w:t>Cell viability</w:t>
      </w:r>
      <w:r w:rsidRPr="000F3552">
        <w:t>: ESCC cells were cultured with the indicated concentrations (0</w:t>
      </w:r>
      <w:r w:rsidR="00060159" w:rsidRPr="000F3552">
        <w:t xml:space="preserve">–50 </w:t>
      </w:r>
      <w:r w:rsidR="00060159" w:rsidRPr="000F3552">
        <w:sym w:font="Symbol" w:char="F06D"/>
      </w:r>
      <w:r w:rsidRPr="000F3552">
        <w:t xml:space="preserve">M) of </w:t>
      </w:r>
      <w:r w:rsidR="006F037C" w:rsidRPr="000F3552">
        <w:t>curcumin</w:t>
      </w:r>
      <w:r w:rsidR="00060159" w:rsidRPr="000F3552">
        <w:t xml:space="preserve"> for 96 h. </w:t>
      </w:r>
      <w:r w:rsidR="00957466" w:rsidRPr="000F3552">
        <w:t>Cell viability</w:t>
      </w:r>
      <w:r w:rsidRPr="000F3552">
        <w:t xml:space="preserve"> was measured using the W</w:t>
      </w:r>
      <w:r w:rsidR="00060159" w:rsidRPr="000F3552">
        <w:t xml:space="preserve">ST-1 assay. </w:t>
      </w:r>
      <w:r w:rsidR="00190B5A" w:rsidRPr="000F3552">
        <w:t>Viability</w:t>
      </w:r>
      <w:r w:rsidRPr="000F3552">
        <w:t xml:space="preserve"> of each cell</w:t>
      </w:r>
      <w:r w:rsidR="00060159" w:rsidRPr="000F3552">
        <w:t xml:space="preserve"> type</w:t>
      </w:r>
      <w:r w:rsidRPr="000F3552">
        <w:t xml:space="preserve"> treated with </w:t>
      </w:r>
      <w:r w:rsidR="006F037C" w:rsidRPr="000F3552">
        <w:t>curcumin</w:t>
      </w:r>
      <w:r w:rsidRPr="000F3552">
        <w:t xml:space="preserve"> relative to that of untreated cells is indicated. (*</w:t>
      </w:r>
      <w:r w:rsidR="00060159" w:rsidRPr="000F3552">
        <w:rPr>
          <w:i/>
          <w:iCs/>
        </w:rPr>
        <w:t xml:space="preserve">P &lt; </w:t>
      </w:r>
      <w:r w:rsidRPr="000F3552">
        <w:t>0.05, **</w:t>
      </w:r>
      <w:r w:rsidR="00060159" w:rsidRPr="000F3552">
        <w:rPr>
          <w:i/>
          <w:iCs/>
        </w:rPr>
        <w:t xml:space="preserve">P &lt; </w:t>
      </w:r>
      <w:r w:rsidRPr="000F3552">
        <w:t>0.01,</w:t>
      </w:r>
      <w:r w:rsidRPr="000F3552">
        <w:rPr>
          <w:rFonts w:ascii="Times New Roman" w:hAnsi="Times New Roman" w:cs="Times New Roman"/>
        </w:rPr>
        <w:t> </w:t>
      </w:r>
      <w:r w:rsidRPr="000F3552">
        <w:rPr>
          <w:i/>
        </w:rPr>
        <w:t>vs</w:t>
      </w:r>
      <w:r w:rsidRPr="000F3552">
        <w:t xml:space="preserve"> untreated cells; n</w:t>
      </w:r>
      <w:r w:rsidR="00060159" w:rsidRPr="000F3552">
        <w:rPr>
          <w:rFonts w:cs="Times New Roman"/>
        </w:rPr>
        <w:t xml:space="preserve"> = </w:t>
      </w:r>
      <w:r w:rsidRPr="000F3552">
        <w:t>3)</w:t>
      </w:r>
      <w:r w:rsidR="00060159" w:rsidRPr="000F3552">
        <w:t>.</w:t>
      </w:r>
      <w:r w:rsidR="00E611DF" w:rsidRPr="000F3552">
        <w:t xml:space="preserve"> (c) Assessment of apoptosis: TE-5 cells were cultured with the indicated concentrations (0–</w:t>
      </w:r>
      <w:r w:rsidR="00E611DF" w:rsidRPr="000F3552">
        <w:rPr>
          <w:rFonts w:hint="eastAsia"/>
        </w:rPr>
        <w:t>2</w:t>
      </w:r>
      <w:r w:rsidR="00E611DF" w:rsidRPr="000F3552">
        <w:t xml:space="preserve">0 </w:t>
      </w:r>
      <w:r w:rsidR="00E611DF" w:rsidRPr="000F3552">
        <w:sym w:font="Symbol" w:char="F06D"/>
      </w:r>
      <w:r w:rsidR="00E611DF" w:rsidRPr="000F3552">
        <w:t xml:space="preserve">M) of curcumin and ES936 (50 </w:t>
      </w:r>
      <w:proofErr w:type="spellStart"/>
      <w:r w:rsidR="00E611DF" w:rsidRPr="000F3552">
        <w:t>nM</w:t>
      </w:r>
      <w:proofErr w:type="spellEnd"/>
      <w:r w:rsidR="00E611DF" w:rsidRPr="000F3552">
        <w:t xml:space="preserve">) for 24 h. The cleavage of PARP was investigated by western blotting. </w:t>
      </w:r>
      <w:r w:rsidR="00E611DF" w:rsidRPr="000F3552">
        <w:sym w:font="Symbol" w:char="F062"/>
      </w:r>
      <w:r w:rsidR="00E611DF" w:rsidRPr="000F3552">
        <w:t>-actin served as a loading control.</w:t>
      </w:r>
    </w:p>
    <w:p w:rsidR="0015709B" w:rsidRPr="000F3552" w:rsidRDefault="0015709B" w:rsidP="00A51216">
      <w:pPr>
        <w:spacing w:before="120" w:line="480" w:lineRule="auto"/>
      </w:pPr>
    </w:p>
    <w:p w:rsidR="00A45CA4" w:rsidRPr="000F3552" w:rsidRDefault="00E86B05" w:rsidP="00A51216">
      <w:pPr>
        <w:spacing w:before="120" w:line="480" w:lineRule="auto"/>
        <w:rPr>
          <w:b/>
        </w:rPr>
      </w:pPr>
      <w:r w:rsidRPr="000F3552">
        <w:rPr>
          <w:b/>
        </w:rPr>
        <w:t>S</w:t>
      </w:r>
      <w:r w:rsidR="00060159" w:rsidRPr="000F3552">
        <w:rPr>
          <w:b/>
        </w:rPr>
        <w:t>upplementary</w:t>
      </w:r>
      <w:r w:rsidRPr="000F3552">
        <w:rPr>
          <w:b/>
        </w:rPr>
        <w:t xml:space="preserve"> </w:t>
      </w:r>
      <w:r w:rsidR="002207CF" w:rsidRPr="000F3552">
        <w:rPr>
          <w:b/>
        </w:rPr>
        <w:t>Fig</w:t>
      </w:r>
      <w:r w:rsidR="00A45CA4" w:rsidRPr="000F3552">
        <w:rPr>
          <w:b/>
        </w:rPr>
        <w:t>.</w:t>
      </w:r>
      <w:r w:rsidRPr="000F3552">
        <w:rPr>
          <w:b/>
        </w:rPr>
        <w:t xml:space="preserve"> </w:t>
      </w:r>
      <w:r w:rsidR="001C44BB" w:rsidRPr="000F3552">
        <w:rPr>
          <w:b/>
        </w:rPr>
        <w:t>7</w:t>
      </w:r>
    </w:p>
    <w:p w:rsidR="00E86B05" w:rsidRPr="000F3552" w:rsidRDefault="00E86B05" w:rsidP="00A51216">
      <w:pPr>
        <w:spacing w:before="120" w:line="480" w:lineRule="auto"/>
      </w:pPr>
      <w:r w:rsidRPr="000F3552">
        <w:rPr>
          <w:b/>
        </w:rPr>
        <w:t xml:space="preserve">Working model of </w:t>
      </w:r>
      <w:proofErr w:type="spellStart"/>
      <w:r w:rsidRPr="000F3552">
        <w:rPr>
          <w:b/>
        </w:rPr>
        <w:t>Theracurmin</w:t>
      </w:r>
      <w:proofErr w:type="spellEnd"/>
      <w:r w:rsidR="00060159" w:rsidRPr="000F3552">
        <w:rPr>
          <w:b/>
          <w:vertAlign w:val="superscript"/>
        </w:rPr>
        <w:sym w:font="Symbol" w:char="F0D2"/>
      </w:r>
      <w:r w:rsidRPr="000F3552">
        <w:rPr>
          <w:b/>
        </w:rPr>
        <w:t xml:space="preserve"> </w:t>
      </w:r>
      <w:r w:rsidR="00060159" w:rsidRPr="000F3552">
        <w:rPr>
          <w:b/>
        </w:rPr>
        <w:t xml:space="preserve">effects </w:t>
      </w:r>
      <w:r w:rsidRPr="000F3552">
        <w:rPr>
          <w:b/>
        </w:rPr>
        <w:t>on ESCC cells.</w:t>
      </w:r>
      <w:r w:rsidRPr="000F3552">
        <w:t xml:space="preserve"> </w:t>
      </w:r>
      <w:proofErr w:type="spellStart"/>
      <w:r w:rsidRPr="000F3552">
        <w:t>Theracurmin</w:t>
      </w:r>
      <w:proofErr w:type="spellEnd"/>
      <w:r w:rsidR="00060159" w:rsidRPr="000F3552">
        <w:rPr>
          <w:vertAlign w:val="superscript"/>
        </w:rPr>
        <w:sym w:font="Symbol" w:char="F0D2"/>
      </w:r>
      <w:r w:rsidRPr="000F3552">
        <w:t xml:space="preserve"> (THC) induce</w:t>
      </w:r>
      <w:r w:rsidR="00060159" w:rsidRPr="000F3552">
        <w:t>s</w:t>
      </w:r>
      <w:r w:rsidRPr="000F3552">
        <w:t xml:space="preserve"> ROS and mitochondrial damage, which le</w:t>
      </w:r>
      <w:r w:rsidR="00060159" w:rsidRPr="000F3552">
        <w:t>a</w:t>
      </w:r>
      <w:r w:rsidRPr="000F3552">
        <w:t>d</w:t>
      </w:r>
      <w:r w:rsidR="00060159" w:rsidRPr="000F3552">
        <w:t>s to</w:t>
      </w:r>
      <w:r w:rsidRPr="000F3552">
        <w:t xml:space="preserve"> cytotoxic and antitumor effects in ESCC cells. Here, THC upregulate</w:t>
      </w:r>
      <w:r w:rsidR="00060159" w:rsidRPr="000F3552">
        <w:t>s the</w:t>
      </w:r>
      <w:r w:rsidRPr="000F3552">
        <w:t xml:space="preserve"> N</w:t>
      </w:r>
      <w:r w:rsidR="00060159" w:rsidRPr="000F3552">
        <w:t>RF</w:t>
      </w:r>
      <w:r w:rsidRPr="000F3552">
        <w:t>2</w:t>
      </w:r>
      <w:r w:rsidR="00060159" w:rsidRPr="000F3552">
        <w:t>–</w:t>
      </w:r>
      <w:r w:rsidRPr="000F3552">
        <w:t>NMRAL2P</w:t>
      </w:r>
      <w:r w:rsidR="00060159" w:rsidRPr="000F3552">
        <w:t>–</w:t>
      </w:r>
      <w:r w:rsidRPr="000F3552">
        <w:t>NQO1 pathway, which attenuate</w:t>
      </w:r>
      <w:r w:rsidR="00060159" w:rsidRPr="000F3552">
        <w:t>s</w:t>
      </w:r>
      <w:r w:rsidRPr="000F3552">
        <w:t xml:space="preserve"> ROS production. NQO1</w:t>
      </w:r>
      <w:r w:rsidR="00060159" w:rsidRPr="000F3552">
        <w:t xml:space="preserve"> </w:t>
      </w:r>
      <w:r w:rsidRPr="000F3552">
        <w:t>inhibitor c</w:t>
      </w:r>
      <w:r w:rsidR="00060159" w:rsidRPr="000F3552">
        <w:t>an</w:t>
      </w:r>
      <w:r w:rsidRPr="000F3552">
        <w:t xml:space="preserve"> reinforce </w:t>
      </w:r>
      <w:r w:rsidR="00060159" w:rsidRPr="000F3552">
        <w:t xml:space="preserve">the </w:t>
      </w:r>
      <w:r w:rsidRPr="000F3552">
        <w:t>antitumor effects of THC.</w:t>
      </w:r>
    </w:p>
    <w:sectPr w:rsidR="00E86B05" w:rsidRPr="000F3552" w:rsidSect="00932583">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2BF" w:rsidRDefault="008272BF" w:rsidP="00E60348">
      <w:r>
        <w:separator/>
      </w:r>
    </w:p>
  </w:endnote>
  <w:endnote w:type="continuationSeparator" w:id="0">
    <w:p w:rsidR="008272BF" w:rsidRDefault="008272BF" w:rsidP="00E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2BF" w:rsidRDefault="008272BF" w:rsidP="00E60348">
      <w:r>
        <w:separator/>
      </w:r>
    </w:p>
  </w:footnote>
  <w:footnote w:type="continuationSeparator" w:id="0">
    <w:p w:rsidR="008272BF" w:rsidRDefault="008272BF" w:rsidP="00E6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YwtzCxMDc0NTNQ0lEKTi0uzszPAykwqgUA777fqSwAAAA="/>
  </w:docVars>
  <w:rsids>
    <w:rsidRoot w:val="007268A6"/>
    <w:rsid w:val="0001089E"/>
    <w:rsid w:val="0004037D"/>
    <w:rsid w:val="000408C2"/>
    <w:rsid w:val="0004114C"/>
    <w:rsid w:val="0005070E"/>
    <w:rsid w:val="000524CD"/>
    <w:rsid w:val="00060159"/>
    <w:rsid w:val="00060F10"/>
    <w:rsid w:val="0006295C"/>
    <w:rsid w:val="00080791"/>
    <w:rsid w:val="0008530F"/>
    <w:rsid w:val="000A27B2"/>
    <w:rsid w:val="000C019B"/>
    <w:rsid w:val="000C4BBD"/>
    <w:rsid w:val="000D776F"/>
    <w:rsid w:val="000E439D"/>
    <w:rsid w:val="000F1285"/>
    <w:rsid w:val="000F2DF7"/>
    <w:rsid w:val="000F3552"/>
    <w:rsid w:val="001041A5"/>
    <w:rsid w:val="00106B70"/>
    <w:rsid w:val="001273C4"/>
    <w:rsid w:val="00140608"/>
    <w:rsid w:val="00141DBE"/>
    <w:rsid w:val="00154BF1"/>
    <w:rsid w:val="0015709B"/>
    <w:rsid w:val="00165772"/>
    <w:rsid w:val="00166760"/>
    <w:rsid w:val="00172ABC"/>
    <w:rsid w:val="00185A6F"/>
    <w:rsid w:val="00190B5A"/>
    <w:rsid w:val="00192A97"/>
    <w:rsid w:val="00196CBC"/>
    <w:rsid w:val="001A14B4"/>
    <w:rsid w:val="001A18CF"/>
    <w:rsid w:val="001B1E5F"/>
    <w:rsid w:val="001C1AB4"/>
    <w:rsid w:val="001C44BB"/>
    <w:rsid w:val="001C66E6"/>
    <w:rsid w:val="001D2E98"/>
    <w:rsid w:val="001D3576"/>
    <w:rsid w:val="001D5AB4"/>
    <w:rsid w:val="001F7E9C"/>
    <w:rsid w:val="002024C0"/>
    <w:rsid w:val="002101C3"/>
    <w:rsid w:val="00211E11"/>
    <w:rsid w:val="00214A5D"/>
    <w:rsid w:val="002170BA"/>
    <w:rsid w:val="002207CF"/>
    <w:rsid w:val="00233FC7"/>
    <w:rsid w:val="00243C19"/>
    <w:rsid w:val="002473DC"/>
    <w:rsid w:val="00256822"/>
    <w:rsid w:val="0028360C"/>
    <w:rsid w:val="002841FD"/>
    <w:rsid w:val="0028484D"/>
    <w:rsid w:val="002906AC"/>
    <w:rsid w:val="00293C6D"/>
    <w:rsid w:val="002A40E9"/>
    <w:rsid w:val="002A56C2"/>
    <w:rsid w:val="002C2060"/>
    <w:rsid w:val="002C3712"/>
    <w:rsid w:val="002D1349"/>
    <w:rsid w:val="0030077C"/>
    <w:rsid w:val="00305101"/>
    <w:rsid w:val="00330A8E"/>
    <w:rsid w:val="003407B3"/>
    <w:rsid w:val="00344D17"/>
    <w:rsid w:val="00345C13"/>
    <w:rsid w:val="003665AD"/>
    <w:rsid w:val="00371F10"/>
    <w:rsid w:val="003825D8"/>
    <w:rsid w:val="00396A88"/>
    <w:rsid w:val="003A4131"/>
    <w:rsid w:val="003A56E9"/>
    <w:rsid w:val="003D061F"/>
    <w:rsid w:val="003F1A9D"/>
    <w:rsid w:val="00400408"/>
    <w:rsid w:val="00401927"/>
    <w:rsid w:val="00412EA7"/>
    <w:rsid w:val="00425860"/>
    <w:rsid w:val="00427858"/>
    <w:rsid w:val="00432447"/>
    <w:rsid w:val="00444F89"/>
    <w:rsid w:val="00453283"/>
    <w:rsid w:val="0046226A"/>
    <w:rsid w:val="004660E5"/>
    <w:rsid w:val="004C0D46"/>
    <w:rsid w:val="004C1DEB"/>
    <w:rsid w:val="004C2908"/>
    <w:rsid w:val="004C3E87"/>
    <w:rsid w:val="004D2844"/>
    <w:rsid w:val="004D63C2"/>
    <w:rsid w:val="004E06DA"/>
    <w:rsid w:val="004E2881"/>
    <w:rsid w:val="00511721"/>
    <w:rsid w:val="00513667"/>
    <w:rsid w:val="00523464"/>
    <w:rsid w:val="00526CF1"/>
    <w:rsid w:val="005313E2"/>
    <w:rsid w:val="00545BF4"/>
    <w:rsid w:val="00546FC7"/>
    <w:rsid w:val="005504CB"/>
    <w:rsid w:val="00552D49"/>
    <w:rsid w:val="00553F0B"/>
    <w:rsid w:val="005606BC"/>
    <w:rsid w:val="00562931"/>
    <w:rsid w:val="00577DFC"/>
    <w:rsid w:val="00595600"/>
    <w:rsid w:val="00596F5D"/>
    <w:rsid w:val="005A4F7C"/>
    <w:rsid w:val="005A5879"/>
    <w:rsid w:val="005C3F51"/>
    <w:rsid w:val="005D27AD"/>
    <w:rsid w:val="005E1F84"/>
    <w:rsid w:val="005E7FC4"/>
    <w:rsid w:val="00602AC3"/>
    <w:rsid w:val="006173E4"/>
    <w:rsid w:val="0062036D"/>
    <w:rsid w:val="00624E4E"/>
    <w:rsid w:val="00632020"/>
    <w:rsid w:val="006328AC"/>
    <w:rsid w:val="00640A5A"/>
    <w:rsid w:val="00653708"/>
    <w:rsid w:val="006615F6"/>
    <w:rsid w:val="0066258F"/>
    <w:rsid w:val="00665BBC"/>
    <w:rsid w:val="00673B8B"/>
    <w:rsid w:val="00675B52"/>
    <w:rsid w:val="006961D3"/>
    <w:rsid w:val="006B3D4A"/>
    <w:rsid w:val="006D3E45"/>
    <w:rsid w:val="006D6CF0"/>
    <w:rsid w:val="006E6704"/>
    <w:rsid w:val="006F02B0"/>
    <w:rsid w:val="006F037C"/>
    <w:rsid w:val="006F6450"/>
    <w:rsid w:val="006F6E87"/>
    <w:rsid w:val="0071352E"/>
    <w:rsid w:val="007163D3"/>
    <w:rsid w:val="00716D91"/>
    <w:rsid w:val="00723262"/>
    <w:rsid w:val="0072369F"/>
    <w:rsid w:val="007268A6"/>
    <w:rsid w:val="00740BEE"/>
    <w:rsid w:val="0074108E"/>
    <w:rsid w:val="0074500A"/>
    <w:rsid w:val="0074536F"/>
    <w:rsid w:val="00764AF0"/>
    <w:rsid w:val="0076600F"/>
    <w:rsid w:val="007701D3"/>
    <w:rsid w:val="00771DCC"/>
    <w:rsid w:val="0077726C"/>
    <w:rsid w:val="00784465"/>
    <w:rsid w:val="00790AA3"/>
    <w:rsid w:val="00790E4B"/>
    <w:rsid w:val="007A3171"/>
    <w:rsid w:val="007A62A5"/>
    <w:rsid w:val="007A6660"/>
    <w:rsid w:val="007B2566"/>
    <w:rsid w:val="007C0271"/>
    <w:rsid w:val="007C3414"/>
    <w:rsid w:val="007C3463"/>
    <w:rsid w:val="007C4512"/>
    <w:rsid w:val="007C66FE"/>
    <w:rsid w:val="007D369D"/>
    <w:rsid w:val="007E0AA7"/>
    <w:rsid w:val="007F04D2"/>
    <w:rsid w:val="00803A90"/>
    <w:rsid w:val="00803FE0"/>
    <w:rsid w:val="00807FD7"/>
    <w:rsid w:val="008119BA"/>
    <w:rsid w:val="00813EEF"/>
    <w:rsid w:val="008157E8"/>
    <w:rsid w:val="0082629C"/>
    <w:rsid w:val="008272BF"/>
    <w:rsid w:val="00832469"/>
    <w:rsid w:val="00832561"/>
    <w:rsid w:val="0083742A"/>
    <w:rsid w:val="0084048B"/>
    <w:rsid w:val="0085413A"/>
    <w:rsid w:val="00870572"/>
    <w:rsid w:val="008711A9"/>
    <w:rsid w:val="0087756D"/>
    <w:rsid w:val="0088046B"/>
    <w:rsid w:val="00882904"/>
    <w:rsid w:val="008B597A"/>
    <w:rsid w:val="008C07E1"/>
    <w:rsid w:val="008D05B3"/>
    <w:rsid w:val="00905DC8"/>
    <w:rsid w:val="00907CAE"/>
    <w:rsid w:val="00913DCA"/>
    <w:rsid w:val="00914173"/>
    <w:rsid w:val="00915952"/>
    <w:rsid w:val="00926BE8"/>
    <w:rsid w:val="00932583"/>
    <w:rsid w:val="00935B29"/>
    <w:rsid w:val="00943B05"/>
    <w:rsid w:val="00947F1B"/>
    <w:rsid w:val="00951B72"/>
    <w:rsid w:val="00957466"/>
    <w:rsid w:val="00966015"/>
    <w:rsid w:val="00973353"/>
    <w:rsid w:val="009747C3"/>
    <w:rsid w:val="009916F7"/>
    <w:rsid w:val="0099234A"/>
    <w:rsid w:val="009A5715"/>
    <w:rsid w:val="009B06D0"/>
    <w:rsid w:val="009B107D"/>
    <w:rsid w:val="009B4516"/>
    <w:rsid w:val="009B47B6"/>
    <w:rsid w:val="009D7648"/>
    <w:rsid w:val="009E1AF3"/>
    <w:rsid w:val="009F54F5"/>
    <w:rsid w:val="009F775F"/>
    <w:rsid w:val="00A12FFA"/>
    <w:rsid w:val="00A25E36"/>
    <w:rsid w:val="00A33C9A"/>
    <w:rsid w:val="00A42584"/>
    <w:rsid w:val="00A442F3"/>
    <w:rsid w:val="00A45CA4"/>
    <w:rsid w:val="00A46D13"/>
    <w:rsid w:val="00A47861"/>
    <w:rsid w:val="00A51216"/>
    <w:rsid w:val="00A5346F"/>
    <w:rsid w:val="00A545CB"/>
    <w:rsid w:val="00A56BEA"/>
    <w:rsid w:val="00A8368F"/>
    <w:rsid w:val="00AC0263"/>
    <w:rsid w:val="00AD012F"/>
    <w:rsid w:val="00AE05C2"/>
    <w:rsid w:val="00AF7AC6"/>
    <w:rsid w:val="00B006F5"/>
    <w:rsid w:val="00B12B6C"/>
    <w:rsid w:val="00B17157"/>
    <w:rsid w:val="00B45146"/>
    <w:rsid w:val="00B51850"/>
    <w:rsid w:val="00B852C0"/>
    <w:rsid w:val="00B9587C"/>
    <w:rsid w:val="00BA4FB5"/>
    <w:rsid w:val="00BB523C"/>
    <w:rsid w:val="00BD013A"/>
    <w:rsid w:val="00BD1B83"/>
    <w:rsid w:val="00BE3207"/>
    <w:rsid w:val="00BF0E22"/>
    <w:rsid w:val="00C007E8"/>
    <w:rsid w:val="00C0562A"/>
    <w:rsid w:val="00C06B88"/>
    <w:rsid w:val="00C252AC"/>
    <w:rsid w:val="00C35FF9"/>
    <w:rsid w:val="00C426AA"/>
    <w:rsid w:val="00C73A08"/>
    <w:rsid w:val="00C73DCE"/>
    <w:rsid w:val="00C77729"/>
    <w:rsid w:val="00C77ED8"/>
    <w:rsid w:val="00CB2D02"/>
    <w:rsid w:val="00CC509B"/>
    <w:rsid w:val="00CD1D40"/>
    <w:rsid w:val="00CD5B0B"/>
    <w:rsid w:val="00CD741F"/>
    <w:rsid w:val="00CE46A5"/>
    <w:rsid w:val="00CF7A8F"/>
    <w:rsid w:val="00D0219D"/>
    <w:rsid w:val="00D04309"/>
    <w:rsid w:val="00D1346B"/>
    <w:rsid w:val="00D371F6"/>
    <w:rsid w:val="00D524E2"/>
    <w:rsid w:val="00D53A5B"/>
    <w:rsid w:val="00D62C44"/>
    <w:rsid w:val="00D67258"/>
    <w:rsid w:val="00D71B69"/>
    <w:rsid w:val="00D96A62"/>
    <w:rsid w:val="00DC0A46"/>
    <w:rsid w:val="00DC6E1A"/>
    <w:rsid w:val="00DD1E55"/>
    <w:rsid w:val="00DE04B7"/>
    <w:rsid w:val="00DE7ED1"/>
    <w:rsid w:val="00E07276"/>
    <w:rsid w:val="00E3779D"/>
    <w:rsid w:val="00E53D65"/>
    <w:rsid w:val="00E55874"/>
    <w:rsid w:val="00E60348"/>
    <w:rsid w:val="00E611DF"/>
    <w:rsid w:val="00E65424"/>
    <w:rsid w:val="00E67824"/>
    <w:rsid w:val="00E707FA"/>
    <w:rsid w:val="00E71DAC"/>
    <w:rsid w:val="00E761D4"/>
    <w:rsid w:val="00E81128"/>
    <w:rsid w:val="00E85D25"/>
    <w:rsid w:val="00E86B05"/>
    <w:rsid w:val="00E876EF"/>
    <w:rsid w:val="00EC1D7A"/>
    <w:rsid w:val="00ED6363"/>
    <w:rsid w:val="00ED77CE"/>
    <w:rsid w:val="00ED7F6C"/>
    <w:rsid w:val="00EE14E1"/>
    <w:rsid w:val="00EE4826"/>
    <w:rsid w:val="00EF5F9D"/>
    <w:rsid w:val="00F10185"/>
    <w:rsid w:val="00F102C8"/>
    <w:rsid w:val="00F1111A"/>
    <w:rsid w:val="00F127B8"/>
    <w:rsid w:val="00F401C1"/>
    <w:rsid w:val="00F4332D"/>
    <w:rsid w:val="00F55E55"/>
    <w:rsid w:val="00F57BD8"/>
    <w:rsid w:val="00F63871"/>
    <w:rsid w:val="00F6578C"/>
    <w:rsid w:val="00F72A12"/>
    <w:rsid w:val="00F97C6E"/>
    <w:rsid w:val="00FA2A67"/>
    <w:rsid w:val="00FA4A23"/>
    <w:rsid w:val="00FB298F"/>
    <w:rsid w:val="00FB6DB2"/>
    <w:rsid w:val="00FC3CB5"/>
    <w:rsid w:val="00FE0B67"/>
    <w:rsid w:val="00FE0DDE"/>
    <w:rsid w:val="00FE3311"/>
    <w:rsid w:val="00FF40A8"/>
    <w:rsid w:val="00FF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F47D95"/>
  <w15:docId w15:val="{E0C34F56-4716-4CAF-A0D4-13A7777F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583"/>
    <w:pPr>
      <w:widowControl w:val="0"/>
      <w:jc w:val="both"/>
    </w:pPr>
  </w:style>
  <w:style w:type="paragraph" w:styleId="1">
    <w:name w:val="heading 1"/>
    <w:basedOn w:val="a"/>
    <w:next w:val="a"/>
    <w:link w:val="10"/>
    <w:uiPriority w:val="9"/>
    <w:qFormat/>
    <w:rsid w:val="00932583"/>
    <w:pPr>
      <w:keepNext/>
      <w:keepLines/>
      <w:spacing w:before="240" w:line="480" w:lineRule="auto"/>
      <w:jc w:val="left"/>
      <w:outlineLvl w:val="0"/>
    </w:pPr>
    <w:rPr>
      <w:rFonts w:eastAsiaTheme="majorEastAsia" w:cstheme="majorBidi"/>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7F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60348"/>
    <w:pPr>
      <w:tabs>
        <w:tab w:val="center" w:pos="4252"/>
        <w:tab w:val="right" w:pos="8504"/>
      </w:tabs>
      <w:snapToGrid w:val="0"/>
    </w:pPr>
  </w:style>
  <w:style w:type="character" w:customStyle="1" w:styleId="a4">
    <w:name w:val="ヘッダー (文字)"/>
    <w:basedOn w:val="a0"/>
    <w:link w:val="a3"/>
    <w:uiPriority w:val="99"/>
    <w:rsid w:val="00E60348"/>
  </w:style>
  <w:style w:type="paragraph" w:styleId="a5">
    <w:name w:val="footer"/>
    <w:basedOn w:val="a"/>
    <w:link w:val="a6"/>
    <w:uiPriority w:val="99"/>
    <w:unhideWhenUsed/>
    <w:rsid w:val="00E60348"/>
    <w:pPr>
      <w:tabs>
        <w:tab w:val="center" w:pos="4252"/>
        <w:tab w:val="right" w:pos="8504"/>
      </w:tabs>
      <w:snapToGrid w:val="0"/>
    </w:pPr>
  </w:style>
  <w:style w:type="character" w:customStyle="1" w:styleId="a6">
    <w:name w:val="フッター (文字)"/>
    <w:basedOn w:val="a0"/>
    <w:link w:val="a5"/>
    <w:uiPriority w:val="99"/>
    <w:rsid w:val="00E60348"/>
  </w:style>
  <w:style w:type="character" w:styleId="a7">
    <w:name w:val="annotation reference"/>
    <w:basedOn w:val="a0"/>
    <w:uiPriority w:val="99"/>
    <w:semiHidden/>
    <w:unhideWhenUsed/>
    <w:rsid w:val="00CD741F"/>
    <w:rPr>
      <w:sz w:val="18"/>
      <w:szCs w:val="18"/>
    </w:rPr>
  </w:style>
  <w:style w:type="paragraph" w:styleId="a8">
    <w:name w:val="annotation text"/>
    <w:basedOn w:val="a"/>
    <w:link w:val="a9"/>
    <w:uiPriority w:val="99"/>
    <w:semiHidden/>
    <w:unhideWhenUsed/>
    <w:rsid w:val="00CD741F"/>
    <w:pPr>
      <w:jc w:val="left"/>
    </w:pPr>
  </w:style>
  <w:style w:type="character" w:customStyle="1" w:styleId="a9">
    <w:name w:val="コメント文字列 (文字)"/>
    <w:basedOn w:val="a0"/>
    <w:link w:val="a8"/>
    <w:uiPriority w:val="99"/>
    <w:semiHidden/>
    <w:rsid w:val="00CD741F"/>
  </w:style>
  <w:style w:type="paragraph" w:styleId="aa">
    <w:name w:val="annotation subject"/>
    <w:basedOn w:val="a8"/>
    <w:next w:val="a8"/>
    <w:link w:val="ab"/>
    <w:uiPriority w:val="99"/>
    <w:semiHidden/>
    <w:unhideWhenUsed/>
    <w:rsid w:val="00CD741F"/>
    <w:rPr>
      <w:b/>
      <w:bCs/>
    </w:rPr>
  </w:style>
  <w:style w:type="character" w:customStyle="1" w:styleId="ab">
    <w:name w:val="コメント内容 (文字)"/>
    <w:basedOn w:val="a9"/>
    <w:link w:val="aa"/>
    <w:uiPriority w:val="99"/>
    <w:semiHidden/>
    <w:rsid w:val="00CD741F"/>
    <w:rPr>
      <w:b/>
      <w:bCs/>
    </w:rPr>
  </w:style>
  <w:style w:type="paragraph" w:styleId="ac">
    <w:name w:val="Balloon Text"/>
    <w:basedOn w:val="a"/>
    <w:link w:val="ad"/>
    <w:uiPriority w:val="99"/>
    <w:semiHidden/>
    <w:unhideWhenUsed/>
    <w:rsid w:val="00CD74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741F"/>
    <w:rPr>
      <w:rFonts w:asciiTheme="majorHAnsi" w:eastAsiaTheme="majorEastAsia" w:hAnsiTheme="majorHAnsi" w:cstheme="majorBidi"/>
      <w:sz w:val="18"/>
      <w:szCs w:val="18"/>
    </w:rPr>
  </w:style>
  <w:style w:type="character" w:customStyle="1" w:styleId="10">
    <w:name w:val="見出し 1 (文字)"/>
    <w:basedOn w:val="a0"/>
    <w:link w:val="1"/>
    <w:uiPriority w:val="9"/>
    <w:rsid w:val="00932583"/>
    <w:rPr>
      <w:rFonts w:eastAsiaTheme="majorEastAsi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1344">
      <w:bodyDiv w:val="1"/>
      <w:marLeft w:val="0"/>
      <w:marRight w:val="0"/>
      <w:marTop w:val="0"/>
      <w:marBottom w:val="0"/>
      <w:divBdr>
        <w:top w:val="none" w:sz="0" w:space="0" w:color="auto"/>
        <w:left w:val="none" w:sz="0" w:space="0" w:color="auto"/>
        <w:bottom w:val="none" w:sz="0" w:space="0" w:color="auto"/>
        <w:right w:val="none" w:sz="0" w:space="0" w:color="auto"/>
      </w:divBdr>
      <w:divsChild>
        <w:div w:id="1688679885">
          <w:marLeft w:val="0"/>
          <w:marRight w:val="0"/>
          <w:marTop w:val="0"/>
          <w:marBottom w:val="0"/>
          <w:divBdr>
            <w:top w:val="none" w:sz="0" w:space="0" w:color="auto"/>
            <w:left w:val="none" w:sz="0" w:space="0" w:color="auto"/>
            <w:bottom w:val="none" w:sz="0" w:space="0" w:color="auto"/>
            <w:right w:val="none" w:sz="0" w:space="0" w:color="auto"/>
          </w:divBdr>
          <w:divsChild>
            <w:div w:id="1337538133">
              <w:marLeft w:val="0"/>
              <w:marRight w:val="0"/>
              <w:marTop w:val="0"/>
              <w:marBottom w:val="0"/>
              <w:divBdr>
                <w:top w:val="none" w:sz="0" w:space="0" w:color="auto"/>
                <w:left w:val="none" w:sz="0" w:space="0" w:color="auto"/>
                <w:bottom w:val="none" w:sz="0" w:space="0" w:color="auto"/>
                <w:right w:val="none" w:sz="0" w:space="0" w:color="auto"/>
              </w:divBdr>
              <w:divsChild>
                <w:div w:id="1825926020">
                  <w:marLeft w:val="0"/>
                  <w:marRight w:val="0"/>
                  <w:marTop w:val="227"/>
                  <w:marBottom w:val="227"/>
                  <w:divBdr>
                    <w:top w:val="none" w:sz="0" w:space="0" w:color="auto"/>
                    <w:left w:val="none" w:sz="0" w:space="0" w:color="auto"/>
                    <w:bottom w:val="none" w:sz="0" w:space="0" w:color="auto"/>
                    <w:right w:val="none" w:sz="0" w:space="0" w:color="auto"/>
                  </w:divBdr>
                  <w:divsChild>
                    <w:div w:id="1362128379">
                      <w:marLeft w:val="0"/>
                      <w:marRight w:val="0"/>
                      <w:marTop w:val="0"/>
                      <w:marBottom w:val="0"/>
                      <w:divBdr>
                        <w:top w:val="none" w:sz="0" w:space="0" w:color="auto"/>
                        <w:left w:val="none" w:sz="0" w:space="0" w:color="auto"/>
                        <w:bottom w:val="none" w:sz="0" w:space="0" w:color="auto"/>
                        <w:right w:val="none" w:sz="0" w:space="0" w:color="auto"/>
                      </w:divBdr>
                      <w:divsChild>
                        <w:div w:id="1487161853">
                          <w:marLeft w:val="0"/>
                          <w:marRight w:val="0"/>
                          <w:marTop w:val="0"/>
                          <w:marBottom w:val="0"/>
                          <w:divBdr>
                            <w:top w:val="none" w:sz="0" w:space="0" w:color="auto"/>
                            <w:left w:val="none" w:sz="0" w:space="0" w:color="auto"/>
                            <w:bottom w:val="none" w:sz="0" w:space="0" w:color="auto"/>
                            <w:right w:val="none" w:sz="0" w:space="0" w:color="auto"/>
                          </w:divBdr>
                        </w:div>
                        <w:div w:id="4864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189245">
      <w:bodyDiv w:val="1"/>
      <w:marLeft w:val="0"/>
      <w:marRight w:val="0"/>
      <w:marTop w:val="0"/>
      <w:marBottom w:val="0"/>
      <w:divBdr>
        <w:top w:val="none" w:sz="0" w:space="0" w:color="auto"/>
        <w:left w:val="none" w:sz="0" w:space="0" w:color="auto"/>
        <w:bottom w:val="none" w:sz="0" w:space="0" w:color="auto"/>
        <w:right w:val="none" w:sz="0" w:space="0" w:color="auto"/>
      </w:divBdr>
    </w:div>
    <w:div w:id="381910418">
      <w:bodyDiv w:val="1"/>
      <w:marLeft w:val="0"/>
      <w:marRight w:val="0"/>
      <w:marTop w:val="0"/>
      <w:marBottom w:val="0"/>
      <w:divBdr>
        <w:top w:val="none" w:sz="0" w:space="0" w:color="auto"/>
        <w:left w:val="none" w:sz="0" w:space="0" w:color="auto"/>
        <w:bottom w:val="none" w:sz="0" w:space="0" w:color="auto"/>
        <w:right w:val="none" w:sz="0" w:space="0" w:color="auto"/>
      </w:divBdr>
    </w:div>
    <w:div w:id="401563101">
      <w:bodyDiv w:val="1"/>
      <w:marLeft w:val="0"/>
      <w:marRight w:val="0"/>
      <w:marTop w:val="0"/>
      <w:marBottom w:val="0"/>
      <w:divBdr>
        <w:top w:val="none" w:sz="0" w:space="0" w:color="auto"/>
        <w:left w:val="none" w:sz="0" w:space="0" w:color="auto"/>
        <w:bottom w:val="none" w:sz="0" w:space="0" w:color="auto"/>
        <w:right w:val="none" w:sz="0" w:space="0" w:color="auto"/>
      </w:divBdr>
    </w:div>
    <w:div w:id="441726931">
      <w:bodyDiv w:val="1"/>
      <w:marLeft w:val="0"/>
      <w:marRight w:val="0"/>
      <w:marTop w:val="0"/>
      <w:marBottom w:val="0"/>
      <w:divBdr>
        <w:top w:val="none" w:sz="0" w:space="0" w:color="auto"/>
        <w:left w:val="none" w:sz="0" w:space="0" w:color="auto"/>
        <w:bottom w:val="none" w:sz="0" w:space="0" w:color="auto"/>
        <w:right w:val="none" w:sz="0" w:space="0" w:color="auto"/>
      </w:divBdr>
    </w:div>
    <w:div w:id="872419951">
      <w:bodyDiv w:val="1"/>
      <w:marLeft w:val="0"/>
      <w:marRight w:val="0"/>
      <w:marTop w:val="0"/>
      <w:marBottom w:val="0"/>
      <w:divBdr>
        <w:top w:val="none" w:sz="0" w:space="0" w:color="auto"/>
        <w:left w:val="none" w:sz="0" w:space="0" w:color="auto"/>
        <w:bottom w:val="none" w:sz="0" w:space="0" w:color="auto"/>
        <w:right w:val="none" w:sz="0" w:space="0" w:color="auto"/>
      </w:divBdr>
    </w:div>
    <w:div w:id="946154404">
      <w:bodyDiv w:val="1"/>
      <w:marLeft w:val="0"/>
      <w:marRight w:val="0"/>
      <w:marTop w:val="0"/>
      <w:marBottom w:val="0"/>
      <w:divBdr>
        <w:top w:val="none" w:sz="0" w:space="0" w:color="auto"/>
        <w:left w:val="none" w:sz="0" w:space="0" w:color="auto"/>
        <w:bottom w:val="none" w:sz="0" w:space="0" w:color="auto"/>
        <w:right w:val="none" w:sz="0" w:space="0" w:color="auto"/>
      </w:divBdr>
    </w:div>
    <w:div w:id="957613318">
      <w:bodyDiv w:val="1"/>
      <w:marLeft w:val="0"/>
      <w:marRight w:val="0"/>
      <w:marTop w:val="0"/>
      <w:marBottom w:val="0"/>
      <w:divBdr>
        <w:top w:val="none" w:sz="0" w:space="0" w:color="auto"/>
        <w:left w:val="none" w:sz="0" w:space="0" w:color="auto"/>
        <w:bottom w:val="none" w:sz="0" w:space="0" w:color="auto"/>
        <w:right w:val="none" w:sz="0" w:space="0" w:color="auto"/>
      </w:divBdr>
    </w:div>
    <w:div w:id="962539585">
      <w:bodyDiv w:val="1"/>
      <w:marLeft w:val="0"/>
      <w:marRight w:val="0"/>
      <w:marTop w:val="0"/>
      <w:marBottom w:val="0"/>
      <w:divBdr>
        <w:top w:val="none" w:sz="0" w:space="0" w:color="auto"/>
        <w:left w:val="none" w:sz="0" w:space="0" w:color="auto"/>
        <w:bottom w:val="none" w:sz="0" w:space="0" w:color="auto"/>
        <w:right w:val="none" w:sz="0" w:space="0" w:color="auto"/>
      </w:divBdr>
    </w:div>
    <w:div w:id="1029602353">
      <w:bodyDiv w:val="1"/>
      <w:marLeft w:val="0"/>
      <w:marRight w:val="0"/>
      <w:marTop w:val="0"/>
      <w:marBottom w:val="0"/>
      <w:divBdr>
        <w:top w:val="none" w:sz="0" w:space="0" w:color="auto"/>
        <w:left w:val="none" w:sz="0" w:space="0" w:color="auto"/>
        <w:bottom w:val="none" w:sz="0" w:space="0" w:color="auto"/>
        <w:right w:val="none" w:sz="0" w:space="0" w:color="auto"/>
      </w:divBdr>
    </w:div>
    <w:div w:id="1093013123">
      <w:bodyDiv w:val="1"/>
      <w:marLeft w:val="0"/>
      <w:marRight w:val="0"/>
      <w:marTop w:val="0"/>
      <w:marBottom w:val="0"/>
      <w:divBdr>
        <w:top w:val="none" w:sz="0" w:space="0" w:color="auto"/>
        <w:left w:val="none" w:sz="0" w:space="0" w:color="auto"/>
        <w:bottom w:val="none" w:sz="0" w:space="0" w:color="auto"/>
        <w:right w:val="none" w:sz="0" w:space="0" w:color="auto"/>
      </w:divBdr>
      <w:divsChild>
        <w:div w:id="1243762738">
          <w:marLeft w:val="0"/>
          <w:marRight w:val="0"/>
          <w:marTop w:val="0"/>
          <w:marBottom w:val="0"/>
          <w:divBdr>
            <w:top w:val="none" w:sz="0" w:space="0" w:color="auto"/>
            <w:left w:val="none" w:sz="0" w:space="0" w:color="auto"/>
            <w:bottom w:val="none" w:sz="0" w:space="0" w:color="auto"/>
            <w:right w:val="none" w:sz="0" w:space="0" w:color="auto"/>
          </w:divBdr>
          <w:divsChild>
            <w:div w:id="1174340613">
              <w:marLeft w:val="0"/>
              <w:marRight w:val="0"/>
              <w:marTop w:val="0"/>
              <w:marBottom w:val="0"/>
              <w:divBdr>
                <w:top w:val="none" w:sz="0" w:space="0" w:color="auto"/>
                <w:left w:val="none" w:sz="0" w:space="0" w:color="auto"/>
                <w:bottom w:val="none" w:sz="0" w:space="0" w:color="auto"/>
                <w:right w:val="none" w:sz="0" w:space="0" w:color="auto"/>
              </w:divBdr>
              <w:divsChild>
                <w:div w:id="476723536">
                  <w:marLeft w:val="0"/>
                  <w:marRight w:val="0"/>
                  <w:marTop w:val="227"/>
                  <w:marBottom w:val="227"/>
                  <w:divBdr>
                    <w:top w:val="none" w:sz="0" w:space="0" w:color="auto"/>
                    <w:left w:val="none" w:sz="0" w:space="0" w:color="auto"/>
                    <w:bottom w:val="none" w:sz="0" w:space="0" w:color="auto"/>
                    <w:right w:val="none" w:sz="0" w:space="0" w:color="auto"/>
                  </w:divBdr>
                  <w:divsChild>
                    <w:div w:id="505824902">
                      <w:marLeft w:val="0"/>
                      <w:marRight w:val="0"/>
                      <w:marTop w:val="0"/>
                      <w:marBottom w:val="0"/>
                      <w:divBdr>
                        <w:top w:val="none" w:sz="0" w:space="0" w:color="auto"/>
                        <w:left w:val="none" w:sz="0" w:space="0" w:color="auto"/>
                        <w:bottom w:val="none" w:sz="0" w:space="0" w:color="auto"/>
                        <w:right w:val="none" w:sz="0" w:space="0" w:color="auto"/>
                      </w:divBdr>
                      <w:divsChild>
                        <w:div w:id="1315840821">
                          <w:marLeft w:val="0"/>
                          <w:marRight w:val="0"/>
                          <w:marTop w:val="0"/>
                          <w:marBottom w:val="0"/>
                          <w:divBdr>
                            <w:top w:val="none" w:sz="0" w:space="0" w:color="auto"/>
                            <w:left w:val="none" w:sz="0" w:space="0" w:color="auto"/>
                            <w:bottom w:val="none" w:sz="0" w:space="0" w:color="auto"/>
                            <w:right w:val="none" w:sz="0" w:space="0" w:color="auto"/>
                          </w:divBdr>
                        </w:div>
                        <w:div w:id="9460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368">
      <w:bodyDiv w:val="1"/>
      <w:marLeft w:val="0"/>
      <w:marRight w:val="0"/>
      <w:marTop w:val="0"/>
      <w:marBottom w:val="0"/>
      <w:divBdr>
        <w:top w:val="none" w:sz="0" w:space="0" w:color="auto"/>
        <w:left w:val="none" w:sz="0" w:space="0" w:color="auto"/>
        <w:bottom w:val="none" w:sz="0" w:space="0" w:color="auto"/>
        <w:right w:val="none" w:sz="0" w:space="0" w:color="auto"/>
      </w:divBdr>
    </w:div>
    <w:div w:id="1137914169">
      <w:bodyDiv w:val="1"/>
      <w:marLeft w:val="0"/>
      <w:marRight w:val="0"/>
      <w:marTop w:val="0"/>
      <w:marBottom w:val="0"/>
      <w:divBdr>
        <w:top w:val="none" w:sz="0" w:space="0" w:color="auto"/>
        <w:left w:val="none" w:sz="0" w:space="0" w:color="auto"/>
        <w:bottom w:val="none" w:sz="0" w:space="0" w:color="auto"/>
        <w:right w:val="none" w:sz="0" w:space="0" w:color="auto"/>
      </w:divBdr>
    </w:div>
    <w:div w:id="1359086577">
      <w:bodyDiv w:val="1"/>
      <w:marLeft w:val="0"/>
      <w:marRight w:val="0"/>
      <w:marTop w:val="0"/>
      <w:marBottom w:val="0"/>
      <w:divBdr>
        <w:top w:val="none" w:sz="0" w:space="0" w:color="auto"/>
        <w:left w:val="none" w:sz="0" w:space="0" w:color="auto"/>
        <w:bottom w:val="none" w:sz="0" w:space="0" w:color="auto"/>
        <w:right w:val="none" w:sz="0" w:space="0" w:color="auto"/>
      </w:divBdr>
      <w:divsChild>
        <w:div w:id="1850750244">
          <w:marLeft w:val="0"/>
          <w:marRight w:val="0"/>
          <w:marTop w:val="0"/>
          <w:marBottom w:val="0"/>
          <w:divBdr>
            <w:top w:val="none" w:sz="0" w:space="0" w:color="auto"/>
            <w:left w:val="none" w:sz="0" w:space="0" w:color="auto"/>
            <w:bottom w:val="none" w:sz="0" w:space="0" w:color="auto"/>
            <w:right w:val="none" w:sz="0" w:space="0" w:color="auto"/>
          </w:divBdr>
          <w:divsChild>
            <w:div w:id="1260917210">
              <w:marLeft w:val="0"/>
              <w:marRight w:val="0"/>
              <w:marTop w:val="0"/>
              <w:marBottom w:val="0"/>
              <w:divBdr>
                <w:top w:val="none" w:sz="0" w:space="0" w:color="auto"/>
                <w:left w:val="none" w:sz="0" w:space="0" w:color="auto"/>
                <w:bottom w:val="none" w:sz="0" w:space="0" w:color="auto"/>
                <w:right w:val="none" w:sz="0" w:space="0" w:color="auto"/>
              </w:divBdr>
              <w:divsChild>
                <w:div w:id="1361517021">
                  <w:marLeft w:val="0"/>
                  <w:marRight w:val="0"/>
                  <w:marTop w:val="227"/>
                  <w:marBottom w:val="227"/>
                  <w:divBdr>
                    <w:top w:val="none" w:sz="0" w:space="0" w:color="auto"/>
                    <w:left w:val="none" w:sz="0" w:space="0" w:color="auto"/>
                    <w:bottom w:val="none" w:sz="0" w:space="0" w:color="auto"/>
                    <w:right w:val="none" w:sz="0" w:space="0" w:color="auto"/>
                  </w:divBdr>
                  <w:divsChild>
                    <w:div w:id="1153645971">
                      <w:marLeft w:val="0"/>
                      <w:marRight w:val="0"/>
                      <w:marTop w:val="0"/>
                      <w:marBottom w:val="0"/>
                      <w:divBdr>
                        <w:top w:val="none" w:sz="0" w:space="0" w:color="auto"/>
                        <w:left w:val="none" w:sz="0" w:space="0" w:color="auto"/>
                        <w:bottom w:val="none" w:sz="0" w:space="0" w:color="auto"/>
                        <w:right w:val="none" w:sz="0" w:space="0" w:color="auto"/>
                      </w:divBdr>
                      <w:divsChild>
                        <w:div w:id="689069482">
                          <w:marLeft w:val="0"/>
                          <w:marRight w:val="0"/>
                          <w:marTop w:val="0"/>
                          <w:marBottom w:val="0"/>
                          <w:divBdr>
                            <w:top w:val="none" w:sz="0" w:space="0" w:color="auto"/>
                            <w:left w:val="none" w:sz="0" w:space="0" w:color="auto"/>
                            <w:bottom w:val="none" w:sz="0" w:space="0" w:color="auto"/>
                            <w:right w:val="none" w:sz="0" w:space="0" w:color="auto"/>
                          </w:divBdr>
                        </w:div>
                        <w:div w:id="1439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298959">
      <w:bodyDiv w:val="1"/>
      <w:marLeft w:val="0"/>
      <w:marRight w:val="0"/>
      <w:marTop w:val="0"/>
      <w:marBottom w:val="0"/>
      <w:divBdr>
        <w:top w:val="none" w:sz="0" w:space="0" w:color="auto"/>
        <w:left w:val="none" w:sz="0" w:space="0" w:color="auto"/>
        <w:bottom w:val="none" w:sz="0" w:space="0" w:color="auto"/>
        <w:right w:val="none" w:sz="0" w:space="0" w:color="auto"/>
      </w:divBdr>
      <w:divsChild>
        <w:div w:id="915482279">
          <w:marLeft w:val="0"/>
          <w:marRight w:val="0"/>
          <w:marTop w:val="0"/>
          <w:marBottom w:val="0"/>
          <w:divBdr>
            <w:top w:val="none" w:sz="0" w:space="0" w:color="auto"/>
            <w:left w:val="none" w:sz="0" w:space="0" w:color="auto"/>
            <w:bottom w:val="none" w:sz="0" w:space="0" w:color="auto"/>
            <w:right w:val="none" w:sz="0" w:space="0" w:color="auto"/>
          </w:divBdr>
          <w:divsChild>
            <w:div w:id="1340497518">
              <w:marLeft w:val="0"/>
              <w:marRight w:val="0"/>
              <w:marTop w:val="0"/>
              <w:marBottom w:val="0"/>
              <w:divBdr>
                <w:top w:val="none" w:sz="0" w:space="0" w:color="auto"/>
                <w:left w:val="none" w:sz="0" w:space="0" w:color="auto"/>
                <w:bottom w:val="none" w:sz="0" w:space="0" w:color="auto"/>
                <w:right w:val="none" w:sz="0" w:space="0" w:color="auto"/>
              </w:divBdr>
              <w:divsChild>
                <w:div w:id="1428691138">
                  <w:marLeft w:val="0"/>
                  <w:marRight w:val="0"/>
                  <w:marTop w:val="227"/>
                  <w:marBottom w:val="227"/>
                  <w:divBdr>
                    <w:top w:val="none" w:sz="0" w:space="0" w:color="auto"/>
                    <w:left w:val="none" w:sz="0" w:space="0" w:color="auto"/>
                    <w:bottom w:val="none" w:sz="0" w:space="0" w:color="auto"/>
                    <w:right w:val="none" w:sz="0" w:space="0" w:color="auto"/>
                  </w:divBdr>
                  <w:divsChild>
                    <w:div w:id="903225745">
                      <w:marLeft w:val="0"/>
                      <w:marRight w:val="0"/>
                      <w:marTop w:val="0"/>
                      <w:marBottom w:val="0"/>
                      <w:divBdr>
                        <w:top w:val="none" w:sz="0" w:space="0" w:color="auto"/>
                        <w:left w:val="none" w:sz="0" w:space="0" w:color="auto"/>
                        <w:bottom w:val="none" w:sz="0" w:space="0" w:color="auto"/>
                        <w:right w:val="none" w:sz="0" w:space="0" w:color="auto"/>
                      </w:divBdr>
                      <w:divsChild>
                        <w:div w:id="1245341242">
                          <w:marLeft w:val="0"/>
                          <w:marRight w:val="0"/>
                          <w:marTop w:val="0"/>
                          <w:marBottom w:val="0"/>
                          <w:divBdr>
                            <w:top w:val="none" w:sz="0" w:space="0" w:color="auto"/>
                            <w:left w:val="none" w:sz="0" w:space="0" w:color="auto"/>
                            <w:bottom w:val="none" w:sz="0" w:space="0" w:color="auto"/>
                            <w:right w:val="none" w:sz="0" w:space="0" w:color="auto"/>
                          </w:divBdr>
                        </w:div>
                        <w:div w:id="15154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941</Words>
  <Characters>5366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Legends</vt:lpstr>
      <vt:lpstr>Legends</vt:lpstr>
    </vt:vector>
  </TitlesOfParts>
  <Company>OLE</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Legends</dc:title>
  <dc:creator>OLE</dc:creator>
  <cp:lastModifiedBy>Ayaka</cp:lastModifiedBy>
  <cp:revision>9</cp:revision>
  <dcterms:created xsi:type="dcterms:W3CDTF">2018-12-27T08:17:00Z</dcterms:created>
  <dcterms:modified xsi:type="dcterms:W3CDTF">2019-02-01T15:15:00Z</dcterms:modified>
</cp:coreProperties>
</file>