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E828" w14:textId="77777777" w:rsidR="00772754" w:rsidRDefault="00772754">
      <w:pPr>
        <w:rPr>
          <w:u w:val="single"/>
        </w:rPr>
      </w:pPr>
      <w:r>
        <w:rPr>
          <w:u w:val="single"/>
        </w:rPr>
        <w:t>Supplementary material 1</w:t>
      </w:r>
    </w:p>
    <w:p w14:paraId="53340091" w14:textId="20DF819B" w:rsidR="000E2163" w:rsidRDefault="004259E1">
      <w:r w:rsidRPr="00167B2D">
        <w:rPr>
          <w:u w:val="single"/>
        </w:rPr>
        <w:t>Risk of bias</w:t>
      </w:r>
      <w:r w:rsidR="008F5BA7">
        <w:rPr>
          <w:u w:val="single"/>
        </w:rPr>
        <w:t xml:space="preserve"> (reported according to RoB2: a revised tool for assessing risk of bias in randomised trials. Sterne J et al, BMJ 2019;366:14898)</w:t>
      </w:r>
    </w:p>
    <w:p w14:paraId="59230171" w14:textId="77777777" w:rsidR="00C63B32" w:rsidRDefault="00C63B32"/>
    <w:p w14:paraId="2EFB2597" w14:textId="1822962A" w:rsidR="004259E1" w:rsidRDefault="00204F82" w:rsidP="00204F82">
      <w:r>
        <w:t xml:space="preserve">1. </w:t>
      </w:r>
      <w:r w:rsidR="004259E1">
        <w:t>Randomisation process.</w:t>
      </w:r>
    </w:p>
    <w:p w14:paraId="2400F954" w14:textId="2FED8C39" w:rsidR="00C63B32" w:rsidRDefault="001D41C3" w:rsidP="009C6DFA">
      <w:r>
        <w:t xml:space="preserve">Randomisation schedules were developed </w:t>
      </w:r>
      <w:r w:rsidRPr="009C6DFA">
        <w:t>for each site</w:t>
      </w:r>
      <w:r>
        <w:t xml:space="preserve"> using random number tables, computer generated at an independent centre (</w:t>
      </w:r>
      <w:r w:rsidR="00CF2E56">
        <w:t xml:space="preserve">Queensland </w:t>
      </w:r>
      <w:r w:rsidR="004F354A">
        <w:t>I</w:t>
      </w:r>
      <w:r w:rsidR="00CF2E56">
        <w:t>nstitute of Medical Research</w:t>
      </w:r>
      <w:r>
        <w:t>)</w:t>
      </w:r>
      <w:r w:rsidR="008F4BAA">
        <w:t xml:space="preserve"> by a statistician </w:t>
      </w:r>
      <w:r w:rsidR="00ED0F7B">
        <w:t>who played no other role in the study.</w:t>
      </w:r>
      <w:r w:rsidR="006F3ED1">
        <w:t xml:space="preserve"> </w:t>
      </w:r>
      <w:r w:rsidR="009C6DFA" w:rsidRPr="009C6DFA">
        <w:t xml:space="preserve">Treatment for each patient </w:t>
      </w:r>
      <w:r w:rsidR="009C6DFA">
        <w:t xml:space="preserve">was </w:t>
      </w:r>
      <w:r w:rsidR="009C6DFA" w:rsidRPr="009C6DFA">
        <w:t>allocated according to a block randomisation schedule held by the central registry</w:t>
      </w:r>
      <w:r w:rsidR="009C6DFA">
        <w:t xml:space="preserve"> and not disclosed to investigators.</w:t>
      </w:r>
      <w:r w:rsidR="009C6DFA" w:rsidRPr="009C6DFA">
        <w:t xml:space="preserve"> </w:t>
      </w:r>
      <w:r w:rsidR="00C63B32">
        <w:t>Each of the 5 sites had a separate randomisation schedule</w:t>
      </w:r>
      <w:r w:rsidR="009C6DFA">
        <w:t>.</w:t>
      </w:r>
    </w:p>
    <w:p w14:paraId="5469D851" w14:textId="4EAE3C5D" w:rsidR="00F66A6D" w:rsidRPr="009C6DFA" w:rsidRDefault="00C63B32" w:rsidP="009C6DFA">
      <w:pPr>
        <w:rPr>
          <w:color w:val="FF0000"/>
        </w:rPr>
      </w:pPr>
      <w:r w:rsidRPr="009C6DFA">
        <w:t xml:space="preserve">The randomisation schedules were sent to an independent clinical centre where </w:t>
      </w:r>
      <w:r w:rsidR="009C6DFA">
        <w:t xml:space="preserve">a </w:t>
      </w:r>
      <w:r w:rsidRPr="009C6DFA">
        <w:t>research assistant</w:t>
      </w:r>
      <w:r w:rsidR="009C6DFA">
        <w:t xml:space="preserve"> with no other role in the study</w:t>
      </w:r>
      <w:r w:rsidRPr="009C6DFA">
        <w:t xml:space="preserve"> placed notification of the </w:t>
      </w:r>
      <w:r w:rsidR="009C6DFA">
        <w:t xml:space="preserve">site, participation number and drug </w:t>
      </w:r>
      <w:r w:rsidRPr="009C6DFA">
        <w:t xml:space="preserve">allocation (drug </w:t>
      </w:r>
      <w:r w:rsidR="008F5BA7">
        <w:t>1</w:t>
      </w:r>
      <w:r w:rsidRPr="009C6DFA">
        <w:t xml:space="preserve"> or drug </w:t>
      </w:r>
      <w:r w:rsidR="009C6DFA">
        <w:t>2</w:t>
      </w:r>
      <w:r w:rsidRPr="009C6DFA">
        <w:t xml:space="preserve">) in opaque sealed envelopes. The front of the envelop listed the trial site name, and randomisation number only. </w:t>
      </w:r>
    </w:p>
    <w:p w14:paraId="47904B2C" w14:textId="3C13A9F4" w:rsidR="001D41C3" w:rsidRDefault="00BC0A46" w:rsidP="009C6DFA">
      <w:r w:rsidRPr="00BC0A46">
        <w:t xml:space="preserve">The allocation sequence was sent to trial </w:t>
      </w:r>
      <w:r w:rsidRPr="009C6DFA">
        <w:t xml:space="preserve">pharmacists in </w:t>
      </w:r>
      <w:r w:rsidR="009C6DFA">
        <w:t>4</w:t>
      </w:r>
      <w:r w:rsidRPr="009C6DFA">
        <w:t xml:space="preserve"> of the trial</w:t>
      </w:r>
      <w:r w:rsidRPr="00BC0A46">
        <w:t xml:space="preserve"> sites via password protected email. </w:t>
      </w:r>
      <w:r w:rsidR="009C6DFA">
        <w:t xml:space="preserve">Sites 1 and 2 utilised the same trial pharmacy. </w:t>
      </w:r>
      <w:r w:rsidR="001D41C3">
        <w:t>Pharmacy randomised the participant according to the schedule and dispensed active or inactive medication in a participant ID labelled bottle that did not indicate the arm.</w:t>
      </w:r>
    </w:p>
    <w:p w14:paraId="05A0A8A9" w14:textId="08973C65" w:rsidR="001D41C3" w:rsidRDefault="001D41C3" w:rsidP="009C6DFA">
      <w:r>
        <w:t>Two investigators at external sites not directly involved with participant care or randomisation were sent the randomisation schedules under password protected emails in case of the need for emergency unblinding</w:t>
      </w:r>
      <w:r w:rsidR="009C6DFA">
        <w:t xml:space="preserve"> </w:t>
      </w:r>
      <w:r w:rsidR="008F5BA7">
        <w:t xml:space="preserve">but was not required at any stage throughout the study. </w:t>
      </w:r>
    </w:p>
    <w:p w14:paraId="3E039653" w14:textId="6DCFDF50" w:rsidR="008F5BA7" w:rsidRDefault="008F5BA7" w:rsidP="008F5BA7">
      <w:r w:rsidRPr="008F5BA7">
        <w:t>All participants, caregivers, investigators and clinical staff remain</w:t>
      </w:r>
      <w:r>
        <w:t>ed</w:t>
      </w:r>
      <w:r w:rsidRPr="008F5BA7">
        <w:t xml:space="preserve"> blind to study assignment until trial completion</w:t>
      </w:r>
      <w:r>
        <w:t xml:space="preserve"> and completion of data analysis</w:t>
      </w:r>
      <w:r w:rsidRPr="008F5BA7">
        <w:t xml:space="preserve">. Treatment allocation </w:t>
      </w:r>
      <w:r>
        <w:t xml:space="preserve">was </w:t>
      </w:r>
      <w:r w:rsidRPr="008F5BA7">
        <w:t xml:space="preserve">not disclosed to study staff, treating clinicians or investigators. </w:t>
      </w:r>
    </w:p>
    <w:p w14:paraId="0B5C82C8" w14:textId="744EF269" w:rsidR="008F5BA7" w:rsidRDefault="008F5BA7" w:rsidP="009C6DFA">
      <w:r w:rsidRPr="008F5BA7">
        <w:t xml:space="preserve">All study drugs and placebo </w:t>
      </w:r>
      <w:r>
        <w:t xml:space="preserve">were </w:t>
      </w:r>
      <w:r w:rsidRPr="008F5BA7">
        <w:t xml:space="preserve">in oil solution form </w:t>
      </w:r>
      <w:r>
        <w:t xml:space="preserve">of </w:t>
      </w:r>
      <w:r w:rsidRPr="008F5BA7">
        <w:t>identical appearance</w:t>
      </w:r>
      <w:r>
        <w:t xml:space="preserve"> and </w:t>
      </w:r>
      <w:r w:rsidRPr="008F5BA7">
        <w:t>matched for taste, colour and bottle size to preserve the blinding irrespective of the contents</w:t>
      </w:r>
      <w:r>
        <w:t>. E</w:t>
      </w:r>
      <w:r w:rsidRPr="008F5BA7">
        <w:t>ach participant receive</w:t>
      </w:r>
      <w:r>
        <w:t>d</w:t>
      </w:r>
      <w:r w:rsidRPr="008F5BA7">
        <w:t xml:space="preserve"> the oil solution in a prepacked bottle labelled with their individual trial participation ID number, and consecutively numbered according to the randomisation scale. </w:t>
      </w:r>
    </w:p>
    <w:p w14:paraId="7BFD1375" w14:textId="77777777" w:rsidR="00661622" w:rsidRPr="00661622" w:rsidRDefault="00661622" w:rsidP="008F5BA7">
      <w:r w:rsidRPr="00661622">
        <w:t>Baseline demographics supported the randomisation process.</w:t>
      </w:r>
    </w:p>
    <w:p w14:paraId="36E0619F" w14:textId="7C856A96" w:rsidR="004259E1" w:rsidRDefault="00204F82" w:rsidP="00204F82">
      <w:r>
        <w:t xml:space="preserve">2. </w:t>
      </w:r>
      <w:r w:rsidR="004259E1">
        <w:t>Deviations from intended interventions.</w:t>
      </w:r>
    </w:p>
    <w:p w14:paraId="590DDCD0" w14:textId="7B049AF7" w:rsidR="004259E1" w:rsidRDefault="004259E1" w:rsidP="00664629">
      <w:r>
        <w:t>All participants</w:t>
      </w:r>
      <w:r w:rsidR="000B2E95">
        <w:t>, relatives, carers, research staff</w:t>
      </w:r>
      <w:r>
        <w:t xml:space="preserve"> and investigators remained blind to the treatment allocation until all participants had been recruited and data checking and locking process</w:t>
      </w:r>
      <w:r w:rsidR="00822DA8">
        <w:t>es</w:t>
      </w:r>
      <w:r>
        <w:t xml:space="preserve"> completed</w:t>
      </w:r>
      <w:r w:rsidR="00664629">
        <w:t>, and data analysis undertaken</w:t>
      </w:r>
      <w:r>
        <w:t>.</w:t>
      </w:r>
    </w:p>
    <w:p w14:paraId="17CF8EA8" w14:textId="5D11DC3F" w:rsidR="003D2BAF" w:rsidRDefault="00BF4568" w:rsidP="003D2BAF">
      <w:r>
        <w:t>As anticipated, there was a high attrition rate in this study. Reasons for drop out were carefully monitored and are presented. General estimating equation</w:t>
      </w:r>
      <w:r w:rsidR="003D2BAF">
        <w:t>s at day 28 were consistent with the primary outcome measure at day 14</w:t>
      </w:r>
      <w:r w:rsidR="00E66EC5">
        <w:t>.</w:t>
      </w:r>
      <w:r w:rsidR="003D2BAF">
        <w:t xml:space="preserve"> </w:t>
      </w:r>
    </w:p>
    <w:p w14:paraId="503F55E8" w14:textId="21B83E26" w:rsidR="000B2E95" w:rsidRPr="00204F82" w:rsidRDefault="00204F82" w:rsidP="00204F82">
      <w:pPr>
        <w:rPr>
          <w:color w:val="FF0000"/>
        </w:rPr>
      </w:pPr>
      <w:r>
        <w:t xml:space="preserve">3. </w:t>
      </w:r>
      <w:r w:rsidR="000B2E95">
        <w:t>Missing data.</w:t>
      </w:r>
    </w:p>
    <w:p w14:paraId="28CF7B4D" w14:textId="71812BC9" w:rsidR="000B2E95" w:rsidRDefault="00D24084" w:rsidP="00664629">
      <w:r>
        <w:t xml:space="preserve">As anticipated in a population of patients with advanced disease, there was </w:t>
      </w:r>
      <w:r w:rsidR="00B61918">
        <w:t xml:space="preserve">attrition throughout the study. </w:t>
      </w:r>
      <w:r w:rsidR="002025E7" w:rsidRPr="002025E7">
        <w:t xml:space="preserve"> As no participant provided any further trial data after the date of exit, we utilised a complete-</w:t>
      </w:r>
      <w:r w:rsidR="002025E7" w:rsidRPr="002025E7">
        <w:lastRenderedPageBreak/>
        <w:t xml:space="preserve">cases intention to treat analysis for our primary outcome measure.  </w:t>
      </w:r>
      <w:r w:rsidR="00046B84">
        <w:t xml:space="preserve">A number of </w:t>
      </w:r>
      <w:r w:rsidR="002025E7" w:rsidRPr="002025E7">
        <w:t>sensitivity analyses</w:t>
      </w:r>
      <w:r w:rsidR="00046B84">
        <w:t xml:space="preserve"> were undertaken</w:t>
      </w:r>
      <w:r w:rsidR="00E05451">
        <w:t xml:space="preserve"> to account for missing data</w:t>
      </w:r>
      <w:r w:rsidR="002025E7" w:rsidRPr="002025E7">
        <w:t xml:space="preserve"> including </w:t>
      </w:r>
      <w:r w:rsidR="00046B84" w:rsidRPr="00046B84">
        <w:t>imputed data (LOCF) and GEE and mixed models analysis</w:t>
      </w:r>
      <w:r w:rsidR="00046B84">
        <w:t>. These all</w:t>
      </w:r>
      <w:r w:rsidR="00046B84" w:rsidRPr="00046B84">
        <w:t xml:space="preserve"> </w:t>
      </w:r>
      <w:r w:rsidR="002025E7" w:rsidRPr="002025E7">
        <w:t>showed similar results to the primary analysis</w:t>
      </w:r>
      <w:r w:rsidR="002025E7">
        <w:t>.</w:t>
      </w:r>
      <w:r w:rsidR="002025E7" w:rsidRPr="002025E7">
        <w:t xml:space="preserve"> </w:t>
      </w:r>
      <w:r w:rsidR="000B2E95">
        <w:t xml:space="preserve">Data for the </w:t>
      </w:r>
      <w:r w:rsidR="009D721E">
        <w:t xml:space="preserve">per protocol analysis of primary and secondary </w:t>
      </w:r>
      <w:r w:rsidR="000B2E95">
        <w:t xml:space="preserve">outcomes were available for nearly all participants randomised. </w:t>
      </w:r>
      <w:r w:rsidR="000B16D0">
        <w:t>One</w:t>
      </w:r>
      <w:r w:rsidR="000B2E95">
        <w:t xml:space="preserve"> patient randomised </w:t>
      </w:r>
      <w:r w:rsidR="000B16D0">
        <w:t xml:space="preserve">was excluded from the trail and analysis as they </w:t>
      </w:r>
      <w:r w:rsidR="007D16A8">
        <w:t>became too unwell to participate.</w:t>
      </w:r>
      <w:r w:rsidR="007C3CA1">
        <w:t xml:space="preserve"> Data from one patient was missing</w:t>
      </w:r>
      <w:r w:rsidR="00A93767">
        <w:t xml:space="preserve"> from the QoL assessment.</w:t>
      </w:r>
    </w:p>
    <w:p w14:paraId="0CB326CB" w14:textId="38F8990E" w:rsidR="000B2E95" w:rsidRDefault="00914587" w:rsidP="0050040F">
      <w:r>
        <w:t xml:space="preserve">4. </w:t>
      </w:r>
      <w:r w:rsidR="000B2E95">
        <w:t>Measurement of the outcomes</w:t>
      </w:r>
    </w:p>
    <w:p w14:paraId="4FE3F4DD" w14:textId="1F456555" w:rsidR="000B2E95" w:rsidRDefault="000B2E95" w:rsidP="00A17C59">
      <w:r>
        <w:t>All participants, relatives, carers, research staff and investigators remained blind to the treatment allocation during all trial assessments</w:t>
      </w:r>
      <w:r w:rsidR="00A17C59">
        <w:t xml:space="preserve"> at all time points</w:t>
      </w:r>
      <w:r w:rsidR="007D16A8">
        <w:t>.</w:t>
      </w:r>
      <w:r w:rsidR="00A17C59">
        <w:t xml:space="preserve"> The pre-planned outcome measures were used consistently throughout as per the original protocol.</w:t>
      </w:r>
    </w:p>
    <w:p w14:paraId="7735A82F" w14:textId="081370FA" w:rsidR="000B2E95" w:rsidRDefault="0050040F" w:rsidP="0050040F">
      <w:r>
        <w:t xml:space="preserve">5. </w:t>
      </w:r>
      <w:r w:rsidR="000B2E95">
        <w:t>Selection of the reported result.</w:t>
      </w:r>
    </w:p>
    <w:p w14:paraId="60821479" w14:textId="492F84B9" w:rsidR="000B2E95" w:rsidRDefault="000B2E95" w:rsidP="00082F42">
      <w:r>
        <w:t>Results were reported as specified in the original protocol with the exception of</w:t>
      </w:r>
      <w:r w:rsidR="00183960">
        <w:t>:</w:t>
      </w:r>
    </w:p>
    <w:p w14:paraId="076331E3" w14:textId="49117726" w:rsidR="00671A83" w:rsidRDefault="00671A83" w:rsidP="00082F42">
      <w:r>
        <w:t xml:space="preserve">a). </w:t>
      </w:r>
      <w:r w:rsidR="00AB7DCA" w:rsidRPr="00AB7DCA">
        <w:t>RUG-ADL, Resource Utilization Groups – Activities of Daily Living Scale</w:t>
      </w:r>
      <w:r w:rsidR="00AB7DCA" w:rsidRPr="00AB7DCA">
        <w:t xml:space="preserve"> </w:t>
      </w:r>
      <w:r>
        <w:t>score</w:t>
      </w:r>
      <w:r w:rsidR="00AB7DCA">
        <w:t xml:space="preserve">s. These were reported at baseline (no difference between arms) but subsequently removed as not discussed at any point in the manuscript and of little relevance. </w:t>
      </w:r>
    </w:p>
    <w:p w14:paraId="79585A78" w14:textId="3D3B0371" w:rsidR="00183960" w:rsidRDefault="00AB7DCA" w:rsidP="00082F42">
      <w:r>
        <w:t>b</w:t>
      </w:r>
      <w:r w:rsidR="0015091F">
        <w:t>). C</w:t>
      </w:r>
      <w:r w:rsidR="00183960">
        <w:t xml:space="preserve">-reactive protein (CRP). </w:t>
      </w:r>
      <w:r w:rsidR="00C709AA">
        <w:t>This was initially included as a measure of anti-inflammation</w:t>
      </w:r>
      <w:r w:rsidR="00D01616">
        <w:t xml:space="preserve"> over time</w:t>
      </w:r>
      <w:r w:rsidR="00C709AA">
        <w:t xml:space="preserve">. </w:t>
      </w:r>
      <w:r w:rsidR="007137C1">
        <w:t xml:space="preserve">CRP levels were very low at baseline in one arm however, </w:t>
      </w:r>
      <w:r w:rsidR="00BA2958">
        <w:t xml:space="preserve">rendering the </w:t>
      </w:r>
      <w:r w:rsidR="007137C1">
        <w:t xml:space="preserve">interpretation of results </w:t>
      </w:r>
      <w:r w:rsidR="00BA2958">
        <w:t>meaningless.</w:t>
      </w:r>
    </w:p>
    <w:p w14:paraId="4D9398BE" w14:textId="431D356A" w:rsidR="008B55B8" w:rsidRDefault="00AB7DCA" w:rsidP="00082F42">
      <w:r>
        <w:t>c</w:t>
      </w:r>
      <w:r w:rsidR="0015091F">
        <w:t xml:space="preserve">). </w:t>
      </w:r>
      <w:r w:rsidR="004A4053">
        <w:t>Clinician</w:t>
      </w:r>
      <w:r w:rsidR="00D06DB9">
        <w:t>-administered dissociated states scale (CADSS).</w:t>
      </w:r>
      <w:r w:rsidR="004A4053">
        <w:t xml:space="preserve"> </w:t>
      </w:r>
      <w:r w:rsidR="00E33659">
        <w:t xml:space="preserve">The intention was to complete this scale if the participant scored </w:t>
      </w:r>
      <w:r w:rsidR="000F5D41">
        <w:t xml:space="preserve">&gt;0 on the psychoactive components of the adverse-events assessments. This was not done </w:t>
      </w:r>
      <w:r w:rsidR="00205C21">
        <w:t>consistently</w:t>
      </w:r>
      <w:r w:rsidR="000F5D41">
        <w:t xml:space="preserve"> </w:t>
      </w:r>
      <w:r w:rsidR="00205C21">
        <w:t>and therefore excluded from the analysis.</w:t>
      </w:r>
    </w:p>
    <w:p w14:paraId="32578146" w14:textId="03432AE0" w:rsidR="00500C5C" w:rsidRDefault="00AB7DCA" w:rsidP="00082F42">
      <w:r>
        <w:t>d</w:t>
      </w:r>
      <w:r w:rsidR="0015091F">
        <w:t xml:space="preserve">). </w:t>
      </w:r>
      <w:r w:rsidR="008B55B8">
        <w:t>Disease progression</w:t>
      </w:r>
      <w:r w:rsidR="00056984">
        <w:t xml:space="preserve">. </w:t>
      </w:r>
      <w:r w:rsidR="0029146E">
        <w:t>Further analysis of clinical records</w:t>
      </w:r>
      <w:r w:rsidR="00500C5C">
        <w:t>, radiology and biochemical screens is required before this can be reported.</w:t>
      </w:r>
    </w:p>
    <w:p w14:paraId="62072282" w14:textId="51CA0DC9" w:rsidR="003371AC" w:rsidRDefault="00AB7DCA" w:rsidP="00082F42">
      <w:r>
        <w:t>e</w:t>
      </w:r>
      <w:r w:rsidR="0015091F">
        <w:t xml:space="preserve">). </w:t>
      </w:r>
      <w:r w:rsidR="00500C5C">
        <w:t>Liver function</w:t>
      </w:r>
      <w:r w:rsidR="00D9074F">
        <w:t xml:space="preserve">. </w:t>
      </w:r>
      <w:r w:rsidR="006925AE">
        <w:t xml:space="preserve">Further analysis of </w:t>
      </w:r>
      <w:r w:rsidR="003371AC">
        <w:t xml:space="preserve">clinical records, radiology and biochemical screens is required before any potential </w:t>
      </w:r>
      <w:r w:rsidR="008A5A81">
        <w:t>effect</w:t>
      </w:r>
      <w:r w:rsidR="003371AC">
        <w:t xml:space="preserve"> </w:t>
      </w:r>
      <w:r w:rsidR="008A5A81">
        <w:t xml:space="preserve">of cannabinoids </w:t>
      </w:r>
      <w:r w:rsidR="00DE3772">
        <w:t xml:space="preserve">on liver function </w:t>
      </w:r>
      <w:r w:rsidR="003371AC">
        <w:t>can be reported.</w:t>
      </w:r>
    </w:p>
    <w:p w14:paraId="79ABC501" w14:textId="77777777" w:rsidR="00082F42" w:rsidRDefault="00082F42" w:rsidP="00BF65D9">
      <w:pPr>
        <w:spacing w:after="0"/>
      </w:pPr>
    </w:p>
    <w:p w14:paraId="46C3CB63" w14:textId="2FE830FA" w:rsidR="00153C38" w:rsidRDefault="00BF65D9" w:rsidP="00BF65D9">
      <w:pPr>
        <w:spacing w:after="0"/>
      </w:pPr>
      <w:r>
        <w:t xml:space="preserve">6. </w:t>
      </w:r>
      <w:r w:rsidR="00720E6D">
        <w:t xml:space="preserve">Overall bias. </w:t>
      </w:r>
    </w:p>
    <w:p w14:paraId="605E7FF6" w14:textId="77777777" w:rsidR="000B2E95" w:rsidRDefault="000B2E95" w:rsidP="00082F42">
      <w:pPr>
        <w:spacing w:after="0"/>
      </w:pPr>
      <w:bookmarkStart w:id="0" w:name="_Hlk174632570"/>
      <w:r>
        <w:t>Cannabis</w:t>
      </w:r>
      <w:r w:rsidR="00720E6D">
        <w:t xml:space="preserve"> and </w:t>
      </w:r>
      <w:r>
        <w:t>placebo</w:t>
      </w:r>
      <w:r w:rsidR="008341F0">
        <w:t xml:space="preserve"> oil</w:t>
      </w:r>
      <w:r>
        <w:t xml:space="preserve"> w</w:t>
      </w:r>
      <w:r w:rsidR="00720E6D">
        <w:t>ere</w:t>
      </w:r>
      <w:r>
        <w:t xml:space="preserve"> </w:t>
      </w:r>
      <w:bookmarkEnd w:id="0"/>
      <w:r>
        <w:t>developed</w:t>
      </w:r>
      <w:r w:rsidR="00720E6D">
        <w:t xml:space="preserve"> by </w:t>
      </w:r>
      <w:bookmarkStart w:id="1" w:name="_Hlk174632590"/>
      <w:r w:rsidR="00720E6D">
        <w:t>Little Green Pharma Ltd</w:t>
      </w:r>
      <w:r>
        <w:t xml:space="preserve"> </w:t>
      </w:r>
      <w:bookmarkEnd w:id="1"/>
      <w:r>
        <w:t>to be identical in taste, smell and appearance. It was provided to participants in matched opaque bottles</w:t>
      </w:r>
      <w:r w:rsidR="00CB23E1">
        <w:t xml:space="preserve">, labelled </w:t>
      </w:r>
      <w:r w:rsidR="00720E6D">
        <w:t>to</w:t>
      </w:r>
      <w:r w:rsidR="00CB23E1">
        <w:t xml:space="preserve"> prevent any indication of allocated arm.</w:t>
      </w:r>
    </w:p>
    <w:p w14:paraId="245FE8E5" w14:textId="77777777" w:rsidR="00FC1280" w:rsidRDefault="00FC1280" w:rsidP="00082F42">
      <w:pPr>
        <w:spacing w:after="0"/>
      </w:pPr>
      <w:r w:rsidRPr="00FC1280">
        <w:t>Cannabis and placebo oil were</w:t>
      </w:r>
      <w:r>
        <w:t xml:space="preserve"> provided free of charge by </w:t>
      </w:r>
      <w:r w:rsidRPr="00FC1280">
        <w:t>Little Green Pharma Ltd</w:t>
      </w:r>
      <w:r>
        <w:t xml:space="preserve"> who had </w:t>
      </w:r>
      <w:r w:rsidR="006450FA">
        <w:t xml:space="preserve">no role in the design of the study, its execution, the collection or analysis of data, nor in the publication of results. </w:t>
      </w:r>
    </w:p>
    <w:sectPr w:rsidR="00FC1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13FA"/>
    <w:multiLevelType w:val="hybridMultilevel"/>
    <w:tmpl w:val="3CC25BE0"/>
    <w:lvl w:ilvl="0" w:tplc="BE682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B5D61"/>
    <w:multiLevelType w:val="hybridMultilevel"/>
    <w:tmpl w:val="C8C021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72264"/>
    <w:multiLevelType w:val="hybridMultilevel"/>
    <w:tmpl w:val="A7BEAB0E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F254E"/>
    <w:multiLevelType w:val="hybridMultilevel"/>
    <w:tmpl w:val="5060F75A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D6081"/>
    <w:multiLevelType w:val="hybridMultilevel"/>
    <w:tmpl w:val="B292022C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C2836"/>
    <w:multiLevelType w:val="hybridMultilevel"/>
    <w:tmpl w:val="E5BCE3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732"/>
    <w:multiLevelType w:val="hybridMultilevel"/>
    <w:tmpl w:val="952C62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0751B"/>
    <w:multiLevelType w:val="hybridMultilevel"/>
    <w:tmpl w:val="D24E7F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8378617">
    <w:abstractNumId w:val="1"/>
  </w:num>
  <w:num w:numId="2" w16cid:durableId="306516218">
    <w:abstractNumId w:val="0"/>
  </w:num>
  <w:num w:numId="3" w16cid:durableId="510219775">
    <w:abstractNumId w:val="7"/>
  </w:num>
  <w:num w:numId="4" w16cid:durableId="1735198181">
    <w:abstractNumId w:val="6"/>
  </w:num>
  <w:num w:numId="5" w16cid:durableId="784078535">
    <w:abstractNumId w:val="5"/>
  </w:num>
  <w:num w:numId="6" w16cid:durableId="2040816725">
    <w:abstractNumId w:val="2"/>
  </w:num>
  <w:num w:numId="7" w16cid:durableId="1752240247">
    <w:abstractNumId w:val="4"/>
  </w:num>
  <w:num w:numId="8" w16cid:durableId="1790972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E1"/>
    <w:rsid w:val="00046B84"/>
    <w:rsid w:val="00056984"/>
    <w:rsid w:val="00082F42"/>
    <w:rsid w:val="000B16D0"/>
    <w:rsid w:val="000B2E95"/>
    <w:rsid w:val="000E2163"/>
    <w:rsid w:val="000F5D41"/>
    <w:rsid w:val="00125EA3"/>
    <w:rsid w:val="00125F97"/>
    <w:rsid w:val="0015091F"/>
    <w:rsid w:val="00153C38"/>
    <w:rsid w:val="00167B2D"/>
    <w:rsid w:val="00183960"/>
    <w:rsid w:val="001C39F4"/>
    <w:rsid w:val="001C5670"/>
    <w:rsid w:val="001D41C3"/>
    <w:rsid w:val="002025E7"/>
    <w:rsid w:val="00204F82"/>
    <w:rsid w:val="00205C21"/>
    <w:rsid w:val="0029146E"/>
    <w:rsid w:val="00297488"/>
    <w:rsid w:val="00335679"/>
    <w:rsid w:val="003371AC"/>
    <w:rsid w:val="0036161C"/>
    <w:rsid w:val="00362FC6"/>
    <w:rsid w:val="003D2BAF"/>
    <w:rsid w:val="003E0256"/>
    <w:rsid w:val="003F4757"/>
    <w:rsid w:val="004259E1"/>
    <w:rsid w:val="004311B3"/>
    <w:rsid w:val="00495BEE"/>
    <w:rsid w:val="004A4053"/>
    <w:rsid w:val="004E05F8"/>
    <w:rsid w:val="004F354A"/>
    <w:rsid w:val="0050040F"/>
    <w:rsid w:val="00500C5C"/>
    <w:rsid w:val="0054618D"/>
    <w:rsid w:val="006138F8"/>
    <w:rsid w:val="006450FA"/>
    <w:rsid w:val="00661622"/>
    <w:rsid w:val="00664629"/>
    <w:rsid w:val="00671A83"/>
    <w:rsid w:val="006925AE"/>
    <w:rsid w:val="006B6F97"/>
    <w:rsid w:val="006C66EE"/>
    <w:rsid w:val="006F3ACD"/>
    <w:rsid w:val="006F3ED1"/>
    <w:rsid w:val="007137C1"/>
    <w:rsid w:val="00720E6D"/>
    <w:rsid w:val="00772754"/>
    <w:rsid w:val="007C3CA1"/>
    <w:rsid w:val="007D16A8"/>
    <w:rsid w:val="00822DA8"/>
    <w:rsid w:val="008341F0"/>
    <w:rsid w:val="00863C2F"/>
    <w:rsid w:val="008A245E"/>
    <w:rsid w:val="008A5A81"/>
    <w:rsid w:val="008B55B8"/>
    <w:rsid w:val="008F4BAA"/>
    <w:rsid w:val="008F5BA7"/>
    <w:rsid w:val="00914587"/>
    <w:rsid w:val="009C4F3F"/>
    <w:rsid w:val="009C6DFA"/>
    <w:rsid w:val="009C7D4E"/>
    <w:rsid w:val="009D721E"/>
    <w:rsid w:val="00A17C59"/>
    <w:rsid w:val="00A93767"/>
    <w:rsid w:val="00AB7DCA"/>
    <w:rsid w:val="00AE156F"/>
    <w:rsid w:val="00B61918"/>
    <w:rsid w:val="00B93BBF"/>
    <w:rsid w:val="00BA2958"/>
    <w:rsid w:val="00BC0A46"/>
    <w:rsid w:val="00BF4568"/>
    <w:rsid w:val="00BF65D9"/>
    <w:rsid w:val="00C36490"/>
    <w:rsid w:val="00C63B32"/>
    <w:rsid w:val="00C709AA"/>
    <w:rsid w:val="00C86C04"/>
    <w:rsid w:val="00CB23E1"/>
    <w:rsid w:val="00CF2E56"/>
    <w:rsid w:val="00D01616"/>
    <w:rsid w:val="00D06DB9"/>
    <w:rsid w:val="00D24084"/>
    <w:rsid w:val="00D25B18"/>
    <w:rsid w:val="00D302BE"/>
    <w:rsid w:val="00D9074F"/>
    <w:rsid w:val="00DE3772"/>
    <w:rsid w:val="00E05451"/>
    <w:rsid w:val="00E33659"/>
    <w:rsid w:val="00E368DD"/>
    <w:rsid w:val="00E66EC5"/>
    <w:rsid w:val="00ED0F7B"/>
    <w:rsid w:val="00F657B0"/>
    <w:rsid w:val="00F66A6D"/>
    <w:rsid w:val="00FC1280"/>
    <w:rsid w:val="00FC34C2"/>
    <w:rsid w:val="00FE0719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140E"/>
  <w15:chartTrackingRefBased/>
  <w15:docId w15:val="{2051FD10-A831-4A79-8908-C8D92FD1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9E1"/>
    <w:pPr>
      <w:ind w:left="720"/>
      <w:contextualSpacing/>
    </w:pPr>
  </w:style>
  <w:style w:type="paragraph" w:customStyle="1" w:styleId="Default">
    <w:name w:val="Default"/>
    <w:rsid w:val="00C63B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Ross Pinkerton</cp:lastModifiedBy>
  <cp:revision>7</cp:revision>
  <dcterms:created xsi:type="dcterms:W3CDTF">2025-03-06T00:47:00Z</dcterms:created>
  <dcterms:modified xsi:type="dcterms:W3CDTF">2025-03-06T01:05:00Z</dcterms:modified>
</cp:coreProperties>
</file>